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jc w:val="center"/>
        <w:ind w:right="8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157480</wp:posOffset>
            </wp:positionH>
            <wp:positionV relativeFrom="page">
              <wp:posOffset>620395</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t>UNITED STATES</w:t>
      </w:r>
    </w:p>
    <w:p>
      <w:pPr>
        <w:spacing w:after="0" w:line="23"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SECURITIES AND EXCHANGE COMMISSION</w:t>
      </w:r>
    </w:p>
    <w:p>
      <w:pPr>
        <w:spacing w:after="0" w:line="23"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Washington, D.C. 20549</w:t>
      </w:r>
    </w:p>
    <w:p>
      <w:pPr>
        <w:spacing w:after="0" w:line="247" w:lineRule="exact"/>
        <w:rPr>
          <w:sz w:val="20"/>
          <w:szCs w:val="20"/>
          <w:color w:val="auto"/>
        </w:rPr>
      </w:pPr>
    </w:p>
    <w:p>
      <w:pPr>
        <w:jc w:val="center"/>
        <w:ind w:right="80"/>
        <w:spacing w:after="0"/>
        <w:rPr>
          <w:sz w:val="20"/>
          <w:szCs w:val="20"/>
          <w:color w:val="auto"/>
        </w:rPr>
      </w:pPr>
      <w:r>
        <w:rPr>
          <w:rFonts w:ascii="Arial" w:cs="Arial" w:eastAsia="Arial" w:hAnsi="Arial"/>
          <w:sz w:val="18"/>
          <w:szCs w:val="18"/>
          <w:b w:val="1"/>
          <w:bCs w:val="1"/>
          <w:color w:val="auto"/>
        </w:rPr>
        <w:t>FORM 10-Q</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(Mark One)</w:t>
      </w:r>
    </w:p>
    <w:p>
      <w:pPr>
        <w:spacing w:after="0" w:line="23" w:lineRule="exact"/>
        <w:rPr>
          <w:sz w:val="20"/>
          <w:szCs w:val="20"/>
          <w:color w:val="auto"/>
        </w:rPr>
      </w:pPr>
    </w:p>
    <w:p>
      <w:pPr>
        <w:ind w:left="640" w:hanging="632"/>
        <w:spacing w:after="0"/>
        <w:tabs>
          <w:tab w:leader="none" w:pos="640" w:val="left"/>
        </w:tabs>
        <w:numPr>
          <w:ilvl w:val="0"/>
          <w:numId w:val="1"/>
        </w:numPr>
        <w:rPr>
          <w:rFonts w:ascii="Arial" w:cs="Arial" w:eastAsia="Arial" w:hAnsi="Arial"/>
          <w:sz w:val="18"/>
          <w:szCs w:val="18"/>
          <w:color w:val="auto"/>
        </w:rPr>
      </w:pPr>
      <w:r>
        <w:rPr>
          <w:rFonts w:ascii="Arial" w:cs="Arial" w:eastAsia="Arial" w:hAnsi="Arial"/>
          <w:sz w:val="18"/>
          <w:szCs w:val="18"/>
          <w:b w:val="1"/>
          <w:bCs w:val="1"/>
          <w:color w:val="auto"/>
        </w:rPr>
        <w:t>QUARTERLY REPORT PURSUANT TO SECTION 13 OR 15(d) OF THE SECURITIES EXCHANGE ACT OF 1934</w:t>
      </w:r>
    </w:p>
    <w:p>
      <w:pPr>
        <w:spacing w:after="0" w:line="23" w:lineRule="exact"/>
        <w:rPr>
          <w:sz w:val="20"/>
          <w:szCs w:val="20"/>
          <w:color w:val="auto"/>
        </w:rPr>
      </w:pPr>
    </w:p>
    <w:p>
      <w:pPr>
        <w:ind w:left="640"/>
        <w:spacing w:after="0"/>
        <w:tabs>
          <w:tab w:leader="none" w:pos="5980" w:val="left"/>
        </w:tabs>
        <w:rPr>
          <w:sz w:val="20"/>
          <w:szCs w:val="20"/>
          <w:color w:val="auto"/>
        </w:rPr>
      </w:pPr>
      <w:r>
        <w:rPr>
          <w:rFonts w:ascii="Arial" w:cs="Arial" w:eastAsia="Arial" w:hAnsi="Arial"/>
          <w:sz w:val="18"/>
          <w:szCs w:val="18"/>
          <w:color w:val="auto"/>
        </w:rPr>
        <w:t>For the quarterly period ended</w:t>
      </w:r>
      <w:r>
        <w:rPr>
          <w:sz w:val="20"/>
          <w:szCs w:val="20"/>
          <w:color w:val="auto"/>
        </w:rPr>
        <w:tab/>
      </w:r>
      <w:r>
        <w:rPr>
          <w:rFonts w:ascii="Arial" w:cs="Arial" w:eastAsia="Arial" w:hAnsi="Arial"/>
          <w:sz w:val="15"/>
          <w:szCs w:val="15"/>
          <w:color w:val="auto"/>
        </w:rPr>
        <w:t>June 30, 2011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3812540</wp:posOffset>
            </wp:positionH>
            <wp:positionV relativeFrom="paragraph">
              <wp:posOffset>14605</wp:posOffset>
            </wp:positionV>
            <wp:extent cx="343916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439160" cy="17145"/>
                    </a:xfrm>
                    <a:prstGeom prst="rect">
                      <a:avLst/>
                    </a:prstGeom>
                    <a:noFill/>
                  </pic:spPr>
                </pic:pic>
              </a:graphicData>
            </a:graphic>
          </wp:anchor>
        </w:drawing>
      </w:r>
    </w:p>
    <w:p>
      <w:pPr>
        <w:spacing w:after="0" w:line="272" w:lineRule="exact"/>
        <w:rPr>
          <w:sz w:val="20"/>
          <w:szCs w:val="20"/>
          <w:color w:val="auto"/>
        </w:rPr>
      </w:pPr>
    </w:p>
    <w:p>
      <w:pPr>
        <w:jc w:val="center"/>
        <w:ind w:left="560"/>
        <w:spacing w:after="0"/>
        <w:rPr>
          <w:sz w:val="20"/>
          <w:szCs w:val="20"/>
          <w:color w:val="auto"/>
        </w:rPr>
      </w:pPr>
      <w:r>
        <w:rPr>
          <w:rFonts w:ascii="Arial" w:cs="Arial" w:eastAsia="Arial" w:hAnsi="Arial"/>
          <w:sz w:val="18"/>
          <w:szCs w:val="18"/>
          <w:color w:val="auto"/>
        </w:rPr>
        <w:t>or</w:t>
      </w:r>
    </w:p>
    <w:p>
      <w:pPr>
        <w:spacing w:after="0" w:line="262" w:lineRule="exact"/>
        <w:rPr>
          <w:sz w:val="20"/>
          <w:szCs w:val="20"/>
          <w:color w:val="auto"/>
        </w:rPr>
      </w:pPr>
    </w:p>
    <w:p>
      <w:pPr>
        <w:ind w:left="200" w:hanging="192"/>
        <w:spacing w:after="0"/>
        <w:tabs>
          <w:tab w:leader="none" w:pos="200" w:val="left"/>
        </w:tabs>
        <w:numPr>
          <w:ilvl w:val="0"/>
          <w:numId w:val="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7"/>
          <w:szCs w:val="17"/>
          <w:b w:val="1"/>
          <w:bCs w:val="1"/>
          <w:color w:val="auto"/>
        </w:rPr>
        <w:t>TRANSITION REPORT PURSUANT TO SECTION 13 OR 15(d) OF THE SECURITIES EXCHANGE ACT OF 1934</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20" w:type="dxa"/>
            <w:vAlign w:val="bottom"/>
          </w:tcPr>
          <w:p>
            <w:pPr>
              <w:spacing w:after="0"/>
              <w:rPr>
                <w:sz w:val="22"/>
                <w:szCs w:val="22"/>
                <w:color w:val="auto"/>
              </w:rPr>
            </w:pPr>
          </w:p>
        </w:tc>
        <w:tc>
          <w:tcPr>
            <w:tcW w:w="5980" w:type="dxa"/>
            <w:vAlign w:val="bottom"/>
            <w:gridSpan w:val="3"/>
          </w:tcPr>
          <w:p>
            <w:pPr>
              <w:ind w:left="620"/>
              <w:spacing w:after="0"/>
              <w:rPr>
                <w:sz w:val="20"/>
                <w:szCs w:val="20"/>
                <w:color w:val="auto"/>
              </w:rPr>
            </w:pPr>
            <w:r>
              <w:rPr>
                <w:rFonts w:ascii="Arial" w:cs="Arial" w:eastAsia="Arial" w:hAnsi="Arial"/>
                <w:sz w:val="18"/>
                <w:szCs w:val="18"/>
                <w:color w:val="auto"/>
              </w:rPr>
              <w:t>For the transition period from</w:t>
            </w:r>
          </w:p>
        </w:tc>
        <w:tc>
          <w:tcPr>
            <w:tcW w:w="1960" w:type="dxa"/>
            <w:vAlign w:val="bottom"/>
            <w:gridSpan w:val="2"/>
          </w:tcPr>
          <w:p>
            <w:pPr>
              <w:ind w:left="600"/>
              <w:spacing w:after="0"/>
              <w:rPr>
                <w:sz w:val="20"/>
                <w:szCs w:val="20"/>
                <w:color w:val="auto"/>
              </w:rPr>
            </w:pPr>
            <w:r>
              <w:rPr>
                <w:rFonts w:ascii="Arial" w:cs="Arial" w:eastAsia="Arial" w:hAnsi="Arial"/>
                <w:sz w:val="18"/>
                <w:szCs w:val="18"/>
                <w:color w:val="auto"/>
              </w:rPr>
              <w:t>to</w:t>
            </w:r>
          </w:p>
        </w:tc>
        <w:tc>
          <w:tcPr>
            <w:tcW w:w="1600" w:type="dxa"/>
            <w:vAlign w:val="bottom"/>
          </w:tcPr>
          <w:p>
            <w:pPr>
              <w:spacing w:after="0"/>
              <w:rPr>
                <w:sz w:val="22"/>
                <w:szCs w:val="22"/>
                <w:color w:val="auto"/>
              </w:rPr>
            </w:pPr>
          </w:p>
        </w:tc>
        <w:tc>
          <w:tcPr>
            <w:tcW w:w="1860" w:type="dxa"/>
            <w:vAlign w:val="bottom"/>
          </w:tcPr>
          <w:p>
            <w:pPr>
              <w:spacing w:after="0"/>
              <w:rPr>
                <w:sz w:val="22"/>
                <w:szCs w:val="22"/>
                <w:color w:val="auto"/>
              </w:rPr>
            </w:pPr>
          </w:p>
        </w:tc>
      </w:tr>
      <w:tr>
        <w:trPr>
          <w:trHeight w:val="661"/>
        </w:trPr>
        <w:tc>
          <w:tcPr>
            <w:tcW w:w="2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2280" w:type="dxa"/>
            <w:vAlign w:val="bottom"/>
            <w:tcBorders>
              <w:top w:val="single" w:sz="8" w:color="auto"/>
            </w:tcBorders>
          </w:tcPr>
          <w:p>
            <w:pPr>
              <w:spacing w:after="0"/>
              <w:rPr>
                <w:sz w:val="24"/>
                <w:szCs w:val="24"/>
                <w:color w:val="auto"/>
              </w:rPr>
            </w:pPr>
          </w:p>
        </w:tc>
        <w:tc>
          <w:tcPr>
            <w:tcW w:w="1420" w:type="dxa"/>
            <w:vAlign w:val="bottom"/>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1600" w:type="dxa"/>
            <w:vAlign w:val="bottom"/>
            <w:tcBorders>
              <w:top w:val="single" w:sz="8" w:color="auto"/>
            </w:tcBorders>
          </w:tcPr>
          <w:p>
            <w:pPr>
              <w:spacing w:after="0"/>
              <w:rPr>
                <w:sz w:val="24"/>
                <w:szCs w:val="24"/>
                <w:color w:val="auto"/>
              </w:rPr>
            </w:pPr>
          </w:p>
        </w:tc>
        <w:tc>
          <w:tcPr>
            <w:tcW w:w="18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0"/>
              </w:rPr>
              <w:t>Former name, former</w:t>
            </w:r>
          </w:p>
        </w:tc>
      </w:tr>
      <w:tr>
        <w:trPr>
          <w:trHeight w:val="230"/>
        </w:trPr>
        <w:tc>
          <w:tcPr>
            <w:tcW w:w="20" w:type="dxa"/>
            <w:vAlign w:val="bottom"/>
          </w:tcPr>
          <w:p>
            <w:pPr>
              <w:spacing w:after="0"/>
              <w:rPr>
                <w:sz w:val="19"/>
                <w:szCs w:val="19"/>
                <w:color w:val="auto"/>
              </w:rPr>
            </w:pPr>
          </w:p>
        </w:tc>
        <w:tc>
          <w:tcPr>
            <w:tcW w:w="198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228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860" w:type="dxa"/>
            <w:vAlign w:val="bottom"/>
          </w:tcPr>
          <w:p>
            <w:pPr>
              <w:jc w:val="center"/>
              <w:spacing w:after="0"/>
              <w:rPr>
                <w:sz w:val="20"/>
                <w:szCs w:val="20"/>
                <w:color w:val="auto"/>
              </w:rPr>
            </w:pPr>
            <w:r>
              <w:rPr>
                <w:rFonts w:ascii="Arial" w:cs="Arial" w:eastAsia="Arial" w:hAnsi="Arial"/>
                <w:sz w:val="18"/>
                <w:szCs w:val="18"/>
                <w:color w:val="auto"/>
                <w:w w:val="88"/>
              </w:rPr>
              <w:t>address and former</w:t>
            </w:r>
          </w:p>
        </w:tc>
      </w:tr>
      <w:tr>
        <w:trPr>
          <w:trHeight w:val="230"/>
        </w:trPr>
        <w:tc>
          <w:tcPr>
            <w:tcW w:w="20" w:type="dxa"/>
            <w:vAlign w:val="bottom"/>
          </w:tcPr>
          <w:p>
            <w:pPr>
              <w:spacing w:after="0"/>
              <w:rPr>
                <w:sz w:val="19"/>
                <w:szCs w:val="19"/>
                <w:color w:val="auto"/>
              </w:rPr>
            </w:pPr>
          </w:p>
        </w:tc>
        <w:tc>
          <w:tcPr>
            <w:tcW w:w="1980" w:type="dxa"/>
            <w:vAlign w:val="bottom"/>
          </w:tcPr>
          <w:p>
            <w:pPr>
              <w:spacing w:after="0"/>
              <w:rPr>
                <w:sz w:val="19"/>
                <w:szCs w:val="19"/>
                <w:color w:val="auto"/>
              </w:rPr>
            </w:pPr>
          </w:p>
        </w:tc>
        <w:tc>
          <w:tcPr>
            <w:tcW w:w="4000" w:type="dxa"/>
            <w:vAlign w:val="bottom"/>
            <w:gridSpan w:val="2"/>
          </w:tcPr>
          <w:p>
            <w:pPr>
              <w:ind w:left="340"/>
              <w:spacing w:after="0"/>
              <w:rPr>
                <w:sz w:val="20"/>
                <w:szCs w:val="20"/>
                <w:color w:val="auto"/>
              </w:rPr>
            </w:pPr>
            <w:r>
              <w:rPr>
                <w:rFonts w:ascii="Arial" w:cs="Arial" w:eastAsia="Arial" w:hAnsi="Arial"/>
                <w:sz w:val="18"/>
                <w:szCs w:val="18"/>
                <w:color w:val="auto"/>
                <w:w w:val="96"/>
              </w:rPr>
              <w:t>Exact Name of Registrants as Specified in their</w:t>
            </w:r>
          </w:p>
        </w:tc>
        <w:tc>
          <w:tcPr>
            <w:tcW w:w="14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600" w:type="dxa"/>
            <w:vAlign w:val="bottom"/>
          </w:tcPr>
          <w:p>
            <w:pPr>
              <w:jc w:val="center"/>
              <w:spacing w:after="0"/>
              <w:rPr>
                <w:sz w:val="20"/>
                <w:szCs w:val="20"/>
                <w:color w:val="auto"/>
              </w:rPr>
            </w:pPr>
            <w:r>
              <w:rPr>
                <w:rFonts w:ascii="Arial" w:cs="Arial" w:eastAsia="Arial" w:hAnsi="Arial"/>
                <w:sz w:val="18"/>
                <w:szCs w:val="18"/>
                <w:color w:val="auto"/>
                <w:w w:val="93"/>
              </w:rPr>
              <w:t>I.R.S. Employer</w:t>
            </w:r>
          </w:p>
        </w:tc>
        <w:tc>
          <w:tcPr>
            <w:tcW w:w="1860" w:type="dxa"/>
            <w:vAlign w:val="bottom"/>
          </w:tcPr>
          <w:p>
            <w:pPr>
              <w:jc w:val="center"/>
              <w:spacing w:after="0"/>
              <w:rPr>
                <w:sz w:val="20"/>
                <w:szCs w:val="20"/>
                <w:color w:val="auto"/>
              </w:rPr>
            </w:pPr>
            <w:r>
              <w:rPr>
                <w:rFonts w:ascii="Arial" w:cs="Arial" w:eastAsia="Arial" w:hAnsi="Arial"/>
                <w:sz w:val="18"/>
                <w:szCs w:val="18"/>
                <w:color w:val="auto"/>
                <w:w w:val="90"/>
              </w:rPr>
              <w:t>fiscal year, if changed</w:t>
            </w:r>
          </w:p>
        </w:tc>
      </w:tr>
      <w:tr>
        <w:trPr>
          <w:trHeight w:val="237"/>
        </w:trPr>
        <w:tc>
          <w:tcPr>
            <w:tcW w:w="20" w:type="dxa"/>
            <w:vAlign w:val="bottom"/>
          </w:tcPr>
          <w:p>
            <w:pPr>
              <w:spacing w:after="0"/>
              <w:rPr>
                <w:sz w:val="20"/>
                <w:szCs w:val="20"/>
                <w:color w:val="auto"/>
              </w:rPr>
            </w:pPr>
          </w:p>
        </w:tc>
        <w:tc>
          <w:tcPr>
            <w:tcW w:w="19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Commission File No.</w:t>
            </w:r>
          </w:p>
        </w:tc>
        <w:tc>
          <w:tcPr>
            <w:tcW w:w="4000" w:type="dxa"/>
            <w:vAlign w:val="bottom"/>
            <w:tcBorders>
              <w:bottom w:val="single" w:sz="8" w:color="auto"/>
            </w:tcBorders>
            <w:gridSpan w:val="2"/>
          </w:tcPr>
          <w:p>
            <w:pPr>
              <w:ind w:left="540"/>
              <w:spacing w:after="0"/>
              <w:rPr>
                <w:sz w:val="20"/>
                <w:szCs w:val="20"/>
                <w:color w:val="auto"/>
              </w:rPr>
            </w:pPr>
            <w:r>
              <w:rPr>
                <w:rFonts w:ascii="Arial" w:cs="Arial" w:eastAsia="Arial" w:hAnsi="Arial"/>
                <w:sz w:val="18"/>
                <w:szCs w:val="18"/>
                <w:color w:val="auto"/>
              </w:rPr>
              <w:t>Charters, Address and Telephone Number</w:t>
            </w:r>
          </w:p>
        </w:tc>
        <w:tc>
          <w:tcPr>
            <w:tcW w:w="1960" w:type="dxa"/>
            <w:vAlign w:val="bottom"/>
            <w:tcBorders>
              <w:bottom w:val="single" w:sz="8" w:color="auto"/>
            </w:tcBorders>
            <w:gridSpan w:val="2"/>
          </w:tcPr>
          <w:p>
            <w:pPr>
              <w:ind w:left="160"/>
              <w:spacing w:after="0"/>
              <w:rPr>
                <w:sz w:val="20"/>
                <w:szCs w:val="20"/>
                <w:color w:val="auto"/>
              </w:rPr>
            </w:pPr>
            <w:r>
              <w:rPr>
                <w:rFonts w:ascii="Arial" w:cs="Arial" w:eastAsia="Arial" w:hAnsi="Arial"/>
                <w:sz w:val="18"/>
                <w:szCs w:val="18"/>
                <w:color w:val="auto"/>
                <w:w w:val="98"/>
              </w:rPr>
              <w:t>States of Incorporation</w:t>
            </w:r>
          </w:p>
        </w:tc>
        <w:tc>
          <w:tcPr>
            <w:tcW w:w="16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3"/>
              </w:rPr>
              <w:t>Identification Nos.</w:t>
            </w:r>
          </w:p>
        </w:tc>
        <w:tc>
          <w:tcPr>
            <w:tcW w:w="18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since last report</w:t>
            </w:r>
          </w:p>
        </w:tc>
      </w:tr>
      <w:tr>
        <w:trPr>
          <w:trHeight w:val="257"/>
        </w:trPr>
        <w:tc>
          <w:tcPr>
            <w:tcW w:w="20" w:type="dxa"/>
            <w:vAlign w:val="bottom"/>
          </w:tcPr>
          <w:p>
            <w:pPr>
              <w:spacing w:after="0"/>
              <w:rPr>
                <w:sz w:val="22"/>
                <w:szCs w:val="22"/>
                <w:color w:val="auto"/>
              </w:rPr>
            </w:pPr>
          </w:p>
        </w:tc>
        <w:tc>
          <w:tcPr>
            <w:tcW w:w="1980" w:type="dxa"/>
            <w:vAlign w:val="bottom"/>
          </w:tcPr>
          <w:p>
            <w:pPr>
              <w:jc w:val="right"/>
              <w:ind w:right="1310"/>
              <w:spacing w:after="0"/>
              <w:rPr>
                <w:sz w:val="20"/>
                <w:szCs w:val="20"/>
                <w:color w:val="auto"/>
              </w:rPr>
            </w:pPr>
            <w:r>
              <w:rPr>
                <w:rFonts w:ascii="Arial" w:cs="Arial" w:eastAsia="Arial" w:hAnsi="Arial"/>
                <w:sz w:val="18"/>
                <w:szCs w:val="18"/>
                <w:color w:val="auto"/>
                <w:w w:val="84"/>
              </w:rPr>
              <w:t>1-14201</w:t>
            </w:r>
          </w:p>
        </w:tc>
        <w:tc>
          <w:tcPr>
            <w:tcW w:w="4000" w:type="dxa"/>
            <w:vAlign w:val="bottom"/>
            <w:gridSpan w:val="2"/>
          </w:tcPr>
          <w:p>
            <w:pPr>
              <w:ind w:left="180"/>
              <w:spacing w:after="0"/>
              <w:rPr>
                <w:sz w:val="20"/>
                <w:szCs w:val="20"/>
                <w:color w:val="auto"/>
              </w:rPr>
            </w:pPr>
            <w:r>
              <w:rPr>
                <w:rFonts w:ascii="Arial" w:cs="Arial" w:eastAsia="Arial" w:hAnsi="Arial"/>
                <w:sz w:val="18"/>
                <w:szCs w:val="18"/>
                <w:color w:val="auto"/>
              </w:rPr>
              <w:t>SEMPRA ENERGY</w:t>
            </w:r>
          </w:p>
        </w:tc>
        <w:tc>
          <w:tcPr>
            <w:tcW w:w="1960" w:type="dxa"/>
            <w:vAlign w:val="bottom"/>
            <w:gridSpan w:val="2"/>
          </w:tcPr>
          <w:p>
            <w:pPr>
              <w:ind w:left="620"/>
              <w:spacing w:after="0"/>
              <w:rPr>
                <w:sz w:val="20"/>
                <w:szCs w:val="20"/>
                <w:color w:val="auto"/>
              </w:rPr>
            </w:pPr>
            <w:r>
              <w:rPr>
                <w:rFonts w:ascii="Arial" w:cs="Arial" w:eastAsia="Arial" w:hAnsi="Arial"/>
                <w:sz w:val="18"/>
                <w:szCs w:val="18"/>
                <w:color w:val="auto"/>
              </w:rPr>
              <w:t>California</w:t>
            </w:r>
          </w:p>
        </w:tc>
        <w:tc>
          <w:tcPr>
            <w:tcW w:w="1600" w:type="dxa"/>
            <w:vAlign w:val="bottom"/>
          </w:tcPr>
          <w:p>
            <w:pPr>
              <w:jc w:val="center"/>
              <w:spacing w:after="0"/>
              <w:rPr>
                <w:sz w:val="20"/>
                <w:szCs w:val="20"/>
                <w:color w:val="auto"/>
              </w:rPr>
            </w:pPr>
            <w:r>
              <w:rPr>
                <w:rFonts w:ascii="Arial" w:cs="Arial" w:eastAsia="Arial" w:hAnsi="Arial"/>
                <w:sz w:val="18"/>
                <w:szCs w:val="18"/>
                <w:color w:val="auto"/>
                <w:w w:val="89"/>
              </w:rPr>
              <w:t>33-0732627</w:t>
            </w:r>
          </w:p>
        </w:tc>
        <w:tc>
          <w:tcPr>
            <w:tcW w:w="1860" w:type="dxa"/>
            <w:vAlign w:val="bottom"/>
          </w:tcPr>
          <w:p>
            <w:pPr>
              <w:jc w:val="center"/>
              <w:spacing w:after="0"/>
              <w:rPr>
                <w:sz w:val="20"/>
                <w:szCs w:val="20"/>
                <w:color w:val="auto"/>
              </w:rPr>
            </w:pPr>
            <w:r>
              <w:rPr>
                <w:rFonts w:ascii="Arial" w:cs="Arial" w:eastAsia="Arial" w:hAnsi="Arial"/>
                <w:sz w:val="18"/>
                <w:szCs w:val="18"/>
                <w:color w:val="auto"/>
                <w:w w:val="89"/>
              </w:rPr>
              <w:t>No change</w:t>
            </w:r>
          </w:p>
        </w:tc>
      </w:tr>
      <w:tr>
        <w:trPr>
          <w:trHeight w:val="256"/>
        </w:trPr>
        <w:tc>
          <w:tcPr>
            <w:tcW w:w="20" w:type="dxa"/>
            <w:vAlign w:val="bottom"/>
          </w:tcPr>
          <w:p>
            <w:pPr>
              <w:spacing w:after="0"/>
              <w:rPr>
                <w:sz w:val="22"/>
                <w:szCs w:val="22"/>
                <w:color w:val="auto"/>
              </w:rPr>
            </w:pPr>
          </w:p>
        </w:tc>
        <w:tc>
          <w:tcPr>
            <w:tcW w:w="1980" w:type="dxa"/>
            <w:vAlign w:val="bottom"/>
          </w:tcPr>
          <w:p>
            <w:pPr>
              <w:spacing w:after="0"/>
              <w:rPr>
                <w:sz w:val="22"/>
                <w:szCs w:val="22"/>
                <w:color w:val="auto"/>
              </w:rPr>
            </w:pPr>
          </w:p>
        </w:tc>
        <w:tc>
          <w:tcPr>
            <w:tcW w:w="4000" w:type="dxa"/>
            <w:vAlign w:val="bottom"/>
            <w:gridSpan w:val="2"/>
          </w:tcPr>
          <w:p>
            <w:pPr>
              <w:ind w:left="180"/>
              <w:spacing w:after="0"/>
              <w:rPr>
                <w:sz w:val="20"/>
                <w:szCs w:val="20"/>
                <w:color w:val="auto"/>
              </w:rPr>
            </w:pPr>
            <w:r>
              <w:rPr>
                <w:rFonts w:ascii="Arial" w:cs="Arial" w:eastAsia="Arial" w:hAnsi="Arial"/>
                <w:sz w:val="18"/>
                <w:szCs w:val="18"/>
                <w:color w:val="auto"/>
              </w:rPr>
              <w:t>101 Ash Street</w:t>
            </w:r>
          </w:p>
        </w:tc>
        <w:tc>
          <w:tcPr>
            <w:tcW w:w="14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600" w:type="dxa"/>
            <w:vAlign w:val="bottom"/>
          </w:tcPr>
          <w:p>
            <w:pPr>
              <w:spacing w:after="0"/>
              <w:rPr>
                <w:sz w:val="22"/>
                <w:szCs w:val="22"/>
                <w:color w:val="auto"/>
              </w:rPr>
            </w:pPr>
          </w:p>
        </w:tc>
        <w:tc>
          <w:tcPr>
            <w:tcW w:w="1860" w:type="dxa"/>
            <w:vAlign w:val="bottom"/>
          </w:tcPr>
          <w:p>
            <w:pPr>
              <w:spacing w:after="0"/>
              <w:rPr>
                <w:sz w:val="22"/>
                <w:szCs w:val="22"/>
                <w:color w:val="auto"/>
              </w:rPr>
            </w:pPr>
          </w:p>
        </w:tc>
      </w:tr>
      <w:tr>
        <w:trPr>
          <w:trHeight w:val="230"/>
        </w:trPr>
        <w:tc>
          <w:tcPr>
            <w:tcW w:w="20" w:type="dxa"/>
            <w:vAlign w:val="bottom"/>
          </w:tcPr>
          <w:p>
            <w:pPr>
              <w:spacing w:after="0"/>
              <w:rPr>
                <w:sz w:val="19"/>
                <w:szCs w:val="19"/>
                <w:color w:val="auto"/>
              </w:rPr>
            </w:pPr>
          </w:p>
        </w:tc>
        <w:tc>
          <w:tcPr>
            <w:tcW w:w="1980" w:type="dxa"/>
            <w:vAlign w:val="bottom"/>
          </w:tcPr>
          <w:p>
            <w:pPr>
              <w:spacing w:after="0"/>
              <w:rPr>
                <w:sz w:val="19"/>
                <w:szCs w:val="19"/>
                <w:color w:val="auto"/>
              </w:rPr>
            </w:pPr>
          </w:p>
        </w:tc>
        <w:tc>
          <w:tcPr>
            <w:tcW w:w="4000" w:type="dxa"/>
            <w:vAlign w:val="bottom"/>
            <w:gridSpan w:val="2"/>
          </w:tcPr>
          <w:p>
            <w:pPr>
              <w:ind w:left="180"/>
              <w:spacing w:after="0"/>
              <w:rPr>
                <w:sz w:val="20"/>
                <w:szCs w:val="20"/>
                <w:color w:val="auto"/>
              </w:rPr>
            </w:pPr>
            <w:r>
              <w:rPr>
                <w:rFonts w:ascii="Arial" w:cs="Arial" w:eastAsia="Arial" w:hAnsi="Arial"/>
                <w:sz w:val="18"/>
                <w:szCs w:val="18"/>
                <w:color w:val="auto"/>
              </w:rPr>
              <w:t>San Diego, California 92101</w:t>
            </w:r>
          </w:p>
        </w:tc>
        <w:tc>
          <w:tcPr>
            <w:tcW w:w="14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860" w:type="dxa"/>
            <w:vAlign w:val="bottom"/>
          </w:tcPr>
          <w:p>
            <w:pPr>
              <w:spacing w:after="0"/>
              <w:rPr>
                <w:sz w:val="19"/>
                <w:szCs w:val="19"/>
                <w:color w:val="auto"/>
              </w:rPr>
            </w:pPr>
          </w:p>
        </w:tc>
      </w:tr>
      <w:tr>
        <w:trPr>
          <w:trHeight w:val="230"/>
        </w:trPr>
        <w:tc>
          <w:tcPr>
            <w:tcW w:w="2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1720" w:type="dxa"/>
            <w:vAlign w:val="bottom"/>
          </w:tcPr>
          <w:p>
            <w:pPr>
              <w:ind w:left="180"/>
              <w:spacing w:after="0"/>
              <w:rPr>
                <w:sz w:val="20"/>
                <w:szCs w:val="20"/>
                <w:color w:val="auto"/>
              </w:rPr>
            </w:pPr>
            <w:r>
              <w:rPr>
                <w:rFonts w:ascii="Arial" w:cs="Arial" w:eastAsia="Arial" w:hAnsi="Arial"/>
                <w:sz w:val="18"/>
                <w:szCs w:val="18"/>
                <w:color w:val="auto"/>
              </w:rPr>
              <w:t>(619)696-2000</w:t>
            </w:r>
          </w:p>
        </w:tc>
        <w:tc>
          <w:tcPr>
            <w:tcW w:w="228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860" w:type="dxa"/>
            <w:vAlign w:val="bottom"/>
          </w:tcPr>
          <w:p>
            <w:pPr>
              <w:spacing w:after="0"/>
              <w:rPr>
                <w:sz w:val="20"/>
                <w:szCs w:val="20"/>
                <w:color w:val="auto"/>
              </w:rPr>
            </w:pPr>
          </w:p>
        </w:tc>
      </w:tr>
    </w:tbl>
    <w:p>
      <w:pPr>
        <w:spacing w:after="0" w:line="200" w:lineRule="exact"/>
        <w:rPr>
          <w:sz w:val="20"/>
          <w:szCs w:val="20"/>
          <w:color w:val="auto"/>
        </w:rPr>
      </w:pPr>
    </w:p>
    <w:p>
      <w:pPr>
        <w:sectPr>
          <w:pgSz w:w="11900" w:h="16838" w:orient="portrait"/>
          <w:cols w:equalWidth="0" w:num="1">
            <w:col w:w="11420"/>
          </w:cols>
          <w:pgMar w:left="240" w:top="1246" w:right="239" w:bottom="1440" w:gutter="0" w:footer="0" w:header="0"/>
        </w:sectPr>
      </w:pP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360" w:type="dxa"/>
            <w:vAlign w:val="bottom"/>
          </w:tcPr>
          <w:p>
            <w:pPr>
              <w:jc w:val="right"/>
              <w:ind w:right="750"/>
              <w:spacing w:after="0"/>
              <w:rPr>
                <w:sz w:val="20"/>
                <w:szCs w:val="20"/>
                <w:color w:val="auto"/>
              </w:rPr>
            </w:pPr>
            <w:r>
              <w:rPr>
                <w:rFonts w:ascii="Arial" w:cs="Arial" w:eastAsia="Arial" w:hAnsi="Arial"/>
                <w:sz w:val="18"/>
                <w:szCs w:val="18"/>
                <w:color w:val="auto"/>
                <w:w w:val="89"/>
              </w:rPr>
              <w:t>1-3779</w:t>
            </w:r>
          </w:p>
        </w:tc>
        <w:tc>
          <w:tcPr>
            <w:tcW w:w="4260" w:type="dxa"/>
            <w:vAlign w:val="bottom"/>
          </w:tcPr>
          <w:p>
            <w:pPr>
              <w:ind w:left="820"/>
              <w:spacing w:after="0"/>
              <w:rPr>
                <w:sz w:val="20"/>
                <w:szCs w:val="20"/>
                <w:color w:val="auto"/>
              </w:rPr>
            </w:pPr>
            <w:r>
              <w:rPr>
                <w:rFonts w:ascii="Arial" w:cs="Arial" w:eastAsia="Arial" w:hAnsi="Arial"/>
                <w:sz w:val="18"/>
                <w:szCs w:val="18"/>
                <w:color w:val="auto"/>
                <w:w w:val="97"/>
              </w:rPr>
              <w:t>SAN DIEGO GAS &amp; ELECTRIC COMPANY</w:t>
            </w:r>
          </w:p>
        </w:tc>
      </w:tr>
      <w:tr>
        <w:trPr>
          <w:trHeight w:val="283"/>
        </w:trPr>
        <w:tc>
          <w:tcPr>
            <w:tcW w:w="1360" w:type="dxa"/>
            <w:vAlign w:val="bottom"/>
          </w:tcPr>
          <w:p>
            <w:pPr>
              <w:spacing w:after="0"/>
              <w:rPr>
                <w:sz w:val="24"/>
                <w:szCs w:val="24"/>
                <w:color w:val="auto"/>
              </w:rPr>
            </w:pPr>
          </w:p>
        </w:tc>
        <w:tc>
          <w:tcPr>
            <w:tcW w:w="4260" w:type="dxa"/>
            <w:vAlign w:val="bottom"/>
          </w:tcPr>
          <w:p>
            <w:pPr>
              <w:ind w:left="820"/>
              <w:spacing w:after="0"/>
              <w:rPr>
                <w:sz w:val="20"/>
                <w:szCs w:val="20"/>
                <w:color w:val="auto"/>
              </w:rPr>
            </w:pPr>
            <w:r>
              <w:rPr>
                <w:rFonts w:ascii="Arial" w:cs="Arial" w:eastAsia="Arial" w:hAnsi="Arial"/>
                <w:sz w:val="18"/>
                <w:szCs w:val="18"/>
                <w:color w:val="auto"/>
              </w:rPr>
              <w:t>8326 Century Park Court</w:t>
            </w:r>
          </w:p>
        </w:tc>
      </w:tr>
      <w:tr>
        <w:trPr>
          <w:trHeight w:val="230"/>
        </w:trPr>
        <w:tc>
          <w:tcPr>
            <w:tcW w:w="1360" w:type="dxa"/>
            <w:vAlign w:val="bottom"/>
          </w:tcPr>
          <w:p>
            <w:pPr>
              <w:spacing w:after="0"/>
              <w:rPr>
                <w:sz w:val="19"/>
                <w:szCs w:val="19"/>
                <w:color w:val="auto"/>
              </w:rPr>
            </w:pPr>
          </w:p>
        </w:tc>
        <w:tc>
          <w:tcPr>
            <w:tcW w:w="4260" w:type="dxa"/>
            <w:vAlign w:val="bottom"/>
          </w:tcPr>
          <w:p>
            <w:pPr>
              <w:ind w:left="820"/>
              <w:spacing w:after="0"/>
              <w:rPr>
                <w:sz w:val="20"/>
                <w:szCs w:val="20"/>
                <w:color w:val="auto"/>
              </w:rPr>
            </w:pPr>
            <w:r>
              <w:rPr>
                <w:rFonts w:ascii="Arial" w:cs="Arial" w:eastAsia="Arial" w:hAnsi="Arial"/>
                <w:sz w:val="18"/>
                <w:szCs w:val="18"/>
                <w:color w:val="auto"/>
              </w:rPr>
              <w:t>San Diego, California 92123</w:t>
            </w:r>
          </w:p>
        </w:tc>
      </w:tr>
      <w:tr>
        <w:trPr>
          <w:trHeight w:val="230"/>
        </w:trPr>
        <w:tc>
          <w:tcPr>
            <w:tcW w:w="1360" w:type="dxa"/>
            <w:vAlign w:val="bottom"/>
          </w:tcPr>
          <w:p>
            <w:pPr>
              <w:spacing w:after="0"/>
              <w:rPr>
                <w:sz w:val="20"/>
                <w:szCs w:val="20"/>
                <w:color w:val="auto"/>
              </w:rPr>
            </w:pPr>
          </w:p>
        </w:tc>
        <w:tc>
          <w:tcPr>
            <w:tcW w:w="4260" w:type="dxa"/>
            <w:vAlign w:val="bottom"/>
          </w:tcPr>
          <w:p>
            <w:pPr>
              <w:ind w:left="820"/>
              <w:spacing w:after="0"/>
              <w:rPr>
                <w:sz w:val="20"/>
                <w:szCs w:val="20"/>
                <w:color w:val="auto"/>
              </w:rPr>
            </w:pPr>
            <w:r>
              <w:rPr>
                <w:rFonts w:ascii="Arial" w:cs="Arial" w:eastAsia="Arial" w:hAnsi="Arial"/>
                <w:sz w:val="18"/>
                <w:szCs w:val="18"/>
                <w:color w:val="auto"/>
              </w:rPr>
              <w:t>(619)696-2000</w:t>
            </w:r>
          </w:p>
        </w:tc>
      </w:tr>
      <w:tr>
        <w:trPr>
          <w:trHeight w:val="446"/>
        </w:trPr>
        <w:tc>
          <w:tcPr>
            <w:tcW w:w="1360" w:type="dxa"/>
            <w:vAlign w:val="bottom"/>
          </w:tcPr>
          <w:p>
            <w:pPr>
              <w:jc w:val="right"/>
              <w:ind w:right="750"/>
              <w:spacing w:after="0"/>
              <w:rPr>
                <w:sz w:val="20"/>
                <w:szCs w:val="20"/>
                <w:color w:val="auto"/>
              </w:rPr>
            </w:pPr>
            <w:r>
              <w:rPr>
                <w:rFonts w:ascii="Arial" w:cs="Arial" w:eastAsia="Arial" w:hAnsi="Arial"/>
                <w:sz w:val="18"/>
                <w:szCs w:val="18"/>
                <w:color w:val="auto"/>
                <w:w w:val="89"/>
              </w:rPr>
              <w:t>1-1402</w:t>
            </w:r>
          </w:p>
        </w:tc>
        <w:tc>
          <w:tcPr>
            <w:tcW w:w="4260" w:type="dxa"/>
            <w:vAlign w:val="bottom"/>
          </w:tcPr>
          <w:p>
            <w:pPr>
              <w:ind w:left="820"/>
              <w:spacing w:after="0"/>
              <w:rPr>
                <w:sz w:val="20"/>
                <w:szCs w:val="20"/>
                <w:color w:val="auto"/>
              </w:rPr>
            </w:pPr>
            <w:r>
              <w:rPr>
                <w:rFonts w:ascii="Arial" w:cs="Arial" w:eastAsia="Arial" w:hAnsi="Arial"/>
                <w:sz w:val="18"/>
                <w:szCs w:val="18"/>
                <w:color w:val="auto"/>
                <w:w w:val="96"/>
              </w:rPr>
              <w:t>SOUTHERN CALIFORNIA GAS COMPANY</w:t>
            </w:r>
          </w:p>
        </w:tc>
      </w:tr>
      <w:tr>
        <w:trPr>
          <w:trHeight w:val="283"/>
        </w:trPr>
        <w:tc>
          <w:tcPr>
            <w:tcW w:w="1360" w:type="dxa"/>
            <w:vAlign w:val="bottom"/>
          </w:tcPr>
          <w:p>
            <w:pPr>
              <w:spacing w:after="0"/>
              <w:rPr>
                <w:sz w:val="24"/>
                <w:szCs w:val="24"/>
                <w:color w:val="auto"/>
              </w:rPr>
            </w:pPr>
          </w:p>
        </w:tc>
        <w:tc>
          <w:tcPr>
            <w:tcW w:w="4260" w:type="dxa"/>
            <w:vAlign w:val="bottom"/>
          </w:tcPr>
          <w:p>
            <w:pPr>
              <w:ind w:left="820"/>
              <w:spacing w:after="0"/>
              <w:rPr>
                <w:sz w:val="20"/>
                <w:szCs w:val="20"/>
                <w:color w:val="auto"/>
              </w:rPr>
            </w:pPr>
            <w:r>
              <w:rPr>
                <w:rFonts w:ascii="Arial" w:cs="Arial" w:eastAsia="Arial" w:hAnsi="Arial"/>
                <w:sz w:val="18"/>
                <w:szCs w:val="18"/>
                <w:color w:val="auto"/>
              </w:rPr>
              <w:t>555 West Fifth Street</w:t>
            </w:r>
          </w:p>
        </w:tc>
      </w:tr>
      <w:tr>
        <w:trPr>
          <w:trHeight w:val="230"/>
        </w:trPr>
        <w:tc>
          <w:tcPr>
            <w:tcW w:w="1360" w:type="dxa"/>
            <w:vAlign w:val="bottom"/>
          </w:tcPr>
          <w:p>
            <w:pPr>
              <w:spacing w:after="0"/>
              <w:rPr>
                <w:sz w:val="19"/>
                <w:szCs w:val="19"/>
                <w:color w:val="auto"/>
              </w:rPr>
            </w:pPr>
          </w:p>
        </w:tc>
        <w:tc>
          <w:tcPr>
            <w:tcW w:w="4260" w:type="dxa"/>
            <w:vAlign w:val="bottom"/>
          </w:tcPr>
          <w:p>
            <w:pPr>
              <w:ind w:left="820"/>
              <w:spacing w:after="0"/>
              <w:rPr>
                <w:sz w:val="20"/>
                <w:szCs w:val="20"/>
                <w:color w:val="auto"/>
              </w:rPr>
            </w:pPr>
            <w:r>
              <w:rPr>
                <w:rFonts w:ascii="Arial" w:cs="Arial" w:eastAsia="Arial" w:hAnsi="Arial"/>
                <w:sz w:val="18"/>
                <w:szCs w:val="18"/>
                <w:color w:val="auto"/>
              </w:rPr>
              <w:t>Los Angeles, California 90013</w:t>
            </w:r>
          </w:p>
        </w:tc>
      </w:tr>
      <w:tr>
        <w:trPr>
          <w:trHeight w:val="230"/>
        </w:trPr>
        <w:tc>
          <w:tcPr>
            <w:tcW w:w="1360" w:type="dxa"/>
            <w:vAlign w:val="bottom"/>
          </w:tcPr>
          <w:p>
            <w:pPr>
              <w:spacing w:after="0"/>
              <w:rPr>
                <w:sz w:val="20"/>
                <w:szCs w:val="20"/>
                <w:color w:val="auto"/>
              </w:rPr>
            </w:pPr>
          </w:p>
        </w:tc>
        <w:tc>
          <w:tcPr>
            <w:tcW w:w="4260" w:type="dxa"/>
            <w:vAlign w:val="bottom"/>
          </w:tcPr>
          <w:p>
            <w:pPr>
              <w:ind w:left="820"/>
              <w:spacing w:after="0"/>
              <w:rPr>
                <w:sz w:val="20"/>
                <w:szCs w:val="20"/>
                <w:color w:val="auto"/>
              </w:rPr>
            </w:pPr>
            <w:r>
              <w:rPr>
                <w:rFonts w:ascii="Arial" w:cs="Arial" w:eastAsia="Arial" w:hAnsi="Arial"/>
                <w:sz w:val="18"/>
                <w:szCs w:val="18"/>
                <w:color w:val="auto"/>
              </w:rPr>
              <w:t>(213)244-1200</w:t>
            </w:r>
          </w:p>
        </w:tc>
      </w:tr>
    </w:tbl>
    <w:p>
      <w:pPr>
        <w:spacing w:after="0" w:line="20" w:lineRule="exact"/>
        <w:rPr>
          <w:sz w:val="20"/>
          <w:szCs w:val="20"/>
          <w:color w:val="auto"/>
        </w:rPr>
      </w:pPr>
      <w:r>
        <w:rPr>
          <w:sz w:val="20"/>
          <w:szCs w:val="20"/>
          <w:color w:val="auto"/>
        </w:rPr>
        <w:br w:type="column"/>
      </w:r>
    </w:p>
    <w:p>
      <w:pPr>
        <w:spacing w:after="0" w:line="22" w:lineRule="exact"/>
        <w:rPr>
          <w:sz w:val="20"/>
          <w:szCs w:val="20"/>
          <w:color w:val="auto"/>
        </w:rPr>
      </w:pPr>
    </w:p>
    <w:p>
      <w:pPr>
        <w:spacing w:after="0"/>
        <w:tabs>
          <w:tab w:leader="none" w:pos="1720" w:val="left"/>
          <w:tab w:leader="none" w:pos="3440" w:val="left"/>
        </w:tabs>
        <w:rPr>
          <w:sz w:val="20"/>
          <w:szCs w:val="20"/>
          <w:color w:val="auto"/>
        </w:rPr>
      </w:pPr>
      <w:r>
        <w:rPr>
          <w:rFonts w:ascii="Arial" w:cs="Arial" w:eastAsia="Arial" w:hAnsi="Arial"/>
          <w:sz w:val="18"/>
          <w:szCs w:val="18"/>
          <w:color w:val="auto"/>
        </w:rPr>
        <w:t>California</w:t>
      </w:r>
      <w:r>
        <w:rPr>
          <w:sz w:val="20"/>
          <w:szCs w:val="20"/>
          <w:color w:val="auto"/>
        </w:rPr>
        <w:tab/>
      </w:r>
      <w:r>
        <w:rPr>
          <w:rFonts w:ascii="Arial" w:cs="Arial" w:eastAsia="Arial" w:hAnsi="Arial"/>
          <w:sz w:val="18"/>
          <w:szCs w:val="18"/>
          <w:color w:val="auto"/>
        </w:rPr>
        <w:t>95-1184800</w:t>
      </w:r>
      <w:r>
        <w:rPr>
          <w:sz w:val="20"/>
          <w:szCs w:val="20"/>
          <w:color w:val="auto"/>
        </w:rPr>
        <w:tab/>
      </w:r>
      <w:r>
        <w:rPr>
          <w:rFonts w:ascii="Arial" w:cs="Arial" w:eastAsia="Arial" w:hAnsi="Arial"/>
          <w:sz w:val="16"/>
          <w:szCs w:val="16"/>
          <w:color w:val="auto"/>
        </w:rPr>
        <w:t>No change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spacing w:after="0"/>
        <w:tabs>
          <w:tab w:leader="none" w:pos="1720" w:val="left"/>
          <w:tab w:leader="none" w:pos="3440" w:val="left"/>
        </w:tabs>
        <w:rPr>
          <w:sz w:val="20"/>
          <w:szCs w:val="20"/>
          <w:color w:val="auto"/>
        </w:rPr>
      </w:pPr>
      <w:r>
        <w:rPr>
          <w:rFonts w:ascii="Arial" w:cs="Arial" w:eastAsia="Arial" w:hAnsi="Arial"/>
          <w:sz w:val="18"/>
          <w:szCs w:val="18"/>
          <w:color w:val="auto"/>
        </w:rPr>
        <w:t>California</w:t>
      </w:r>
      <w:r>
        <w:rPr>
          <w:sz w:val="20"/>
          <w:szCs w:val="20"/>
          <w:color w:val="auto"/>
        </w:rPr>
        <w:tab/>
      </w:r>
      <w:r>
        <w:rPr>
          <w:rFonts w:ascii="Arial" w:cs="Arial" w:eastAsia="Arial" w:hAnsi="Arial"/>
          <w:sz w:val="18"/>
          <w:szCs w:val="18"/>
          <w:color w:val="auto"/>
        </w:rPr>
        <w:t>95-1240705</w:t>
      </w:r>
      <w:r>
        <w:rPr>
          <w:sz w:val="20"/>
          <w:szCs w:val="20"/>
          <w:color w:val="auto"/>
        </w:rPr>
        <w:tab/>
      </w:r>
      <w:r>
        <w:rPr>
          <w:rFonts w:ascii="Arial" w:cs="Arial" w:eastAsia="Arial" w:hAnsi="Arial"/>
          <w:sz w:val="16"/>
          <w:szCs w:val="16"/>
          <w:color w:val="auto"/>
        </w:rPr>
        <w:t>No change</w:t>
      </w:r>
    </w:p>
    <w:p>
      <w:pPr>
        <w:spacing w:after="0" w:line="939" w:lineRule="exact"/>
        <w:rPr>
          <w:sz w:val="20"/>
          <w:szCs w:val="20"/>
          <w:color w:val="auto"/>
        </w:rPr>
      </w:pPr>
    </w:p>
    <w:p>
      <w:pPr>
        <w:sectPr>
          <w:pgSz w:w="11900" w:h="16838" w:orient="portrait"/>
          <w:cols w:equalWidth="0" w:num="2">
            <w:col w:w="5900" w:space="720"/>
            <w:col w:w="4800"/>
          </w:cols>
          <w:pgMar w:left="240" w:top="1246" w:right="239" w:bottom="1440" w:gutter="0" w:footer="0" w:header="0"/>
          <w:type w:val="continuous"/>
        </w:sectPr>
      </w:pPr>
    </w:p>
    <w:p>
      <w:pPr>
        <w:spacing w:after="0" w:line="200" w:lineRule="exact"/>
        <w:rPr>
          <w:sz w:val="20"/>
          <w:szCs w:val="20"/>
          <w:color w:val="auto"/>
        </w:rPr>
      </w:pPr>
    </w:p>
    <w:p>
      <w:pPr>
        <w:spacing w:after="0" w:line="261" w:lineRule="exact"/>
        <w:rPr>
          <w:sz w:val="20"/>
          <w:szCs w:val="20"/>
          <w:color w:val="auto"/>
        </w:rPr>
      </w:pPr>
    </w:p>
    <w:p>
      <w:pPr>
        <w:ind w:right="300"/>
        <w:spacing w:after="0" w:line="279" w:lineRule="auto"/>
        <w:rPr>
          <w:sz w:val="20"/>
          <w:szCs w:val="20"/>
          <w:color w:val="auto"/>
        </w:rPr>
      </w:pPr>
      <w:r>
        <w:rPr>
          <w:rFonts w:ascii="Arial" w:cs="Arial" w:eastAsia="Arial" w:hAnsi="Arial"/>
          <w:sz w:val="18"/>
          <w:szCs w:val="18"/>
          <w:color w:val="auto"/>
        </w:rPr>
        <w:t>Indicate by check mark whether the registrants (1) have filed all reports required to be filed by Section 13 or 15(d) of the Securities Exchange Act of 1934 during the preceding 12 months (or for such shorter period that the registrants were required to file such reports), and (2) have been subject to such filing requirements for the past 90 days.</w:t>
      </w:r>
    </w:p>
    <w:p>
      <w:pPr>
        <w:spacing w:after="0" w:line="210" w:lineRule="exact"/>
        <w:rPr>
          <w:sz w:val="20"/>
          <w:szCs w:val="20"/>
          <w:color w:val="auto"/>
        </w:rPr>
      </w:pPr>
    </w:p>
    <w:p>
      <w:pPr>
        <w:ind w:left="7080"/>
        <w:spacing w:after="0"/>
        <w:tabs>
          <w:tab w:leader="none" w:pos="7940" w:val="left"/>
          <w:tab w:leader="none" w:pos="9780" w:val="left"/>
        </w:tabs>
        <w:rPr>
          <w:sz w:val="20"/>
          <w:szCs w:val="20"/>
          <w:color w:val="auto"/>
        </w:rPr>
      </w:pPr>
      <w:r>
        <w:rPr>
          <w:rFonts w:ascii="Arial" w:cs="Arial" w:eastAsia="Arial" w:hAnsi="Arial"/>
          <w:sz w:val="18"/>
          <w:szCs w:val="18"/>
          <w:color w:val="auto"/>
        </w:rPr>
        <w:t>Yes</w:t>
      </w:r>
      <w:r>
        <w:rPr>
          <w:sz w:val="20"/>
          <w:szCs w:val="20"/>
          <w:color w:val="auto"/>
        </w:rPr>
        <w:tab/>
      </w:r>
      <w:r>
        <w:rPr>
          <w:rFonts w:ascii="Arial" w:cs="Arial" w:eastAsia="Arial" w:hAnsi="Arial"/>
          <w:sz w:val="18"/>
          <w:szCs w:val="18"/>
          <w:color w:val="auto"/>
        </w:rPr>
        <w:t>X</w:t>
      </w:r>
      <w:r>
        <w:rPr>
          <w:sz w:val="20"/>
          <w:szCs w:val="20"/>
          <w:color w:val="auto"/>
        </w:rPr>
        <w:tab/>
      </w:r>
      <w:r>
        <w:rPr>
          <w:rFonts w:ascii="Arial" w:cs="Arial" w:eastAsia="Arial" w:hAnsi="Arial"/>
          <w:sz w:val="17"/>
          <w:szCs w:val="17"/>
          <w:color w:val="auto"/>
        </w:rPr>
        <w:t>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4712970</wp:posOffset>
            </wp:positionH>
            <wp:positionV relativeFrom="paragraph">
              <wp:posOffset>31750</wp:posOffset>
            </wp:positionV>
            <wp:extent cx="814705"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14705" cy="17145"/>
                    </a:xfrm>
                    <a:prstGeom prst="rect">
                      <a:avLst/>
                    </a:prstGeom>
                    <a:noFill/>
                  </pic:spPr>
                </pic:pic>
              </a:graphicData>
            </a:graphic>
          </wp:anchor>
        </w:drawing>
        <w:drawing>
          <wp:anchor simplePos="0" relativeHeight="251657728" behindDoc="1" locked="0" layoutInCell="0" allowOverlap="1">
            <wp:simplePos x="0" y="0"/>
            <wp:positionH relativeFrom="column">
              <wp:posOffset>6419850</wp:posOffset>
            </wp:positionH>
            <wp:positionV relativeFrom="paragraph">
              <wp:posOffset>31750</wp:posOffset>
            </wp:positionV>
            <wp:extent cx="83185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831850" cy="17145"/>
                    </a:xfrm>
                    <a:prstGeom prst="rect">
                      <a:avLst/>
                    </a:prstGeom>
                    <a:noFill/>
                  </pic:spPr>
                </pic:pic>
              </a:graphicData>
            </a:graphic>
          </wp:anchor>
        </w:drawing>
      </w:r>
    </w:p>
    <w:p>
      <w:pPr>
        <w:sectPr>
          <w:pgSz w:w="11900" w:h="16838" w:orient="portrait"/>
          <w:cols w:equalWidth="0" w:num="1">
            <w:col w:w="11420"/>
          </w:cols>
          <w:pgMar w:left="240" w:top="1246" w:right="239" w:bottom="1440" w:gutter="0" w:footer="0" w:header="0"/>
          <w:type w:val="continuous"/>
        </w:sectPr>
      </w:pPr>
    </w:p>
    <w:bookmarkStart w:id="2" w:name="page3"/>
    <w:bookmarkEnd w:id="2"/>
    <w:p>
      <w:pPr>
        <w:ind w:right="240"/>
        <w:spacing w:after="0" w:line="279" w:lineRule="auto"/>
        <w:rPr>
          <w:sz w:val="20"/>
          <w:szCs w:val="20"/>
          <w:color w:val="auto"/>
        </w:rPr>
      </w:pPr>
      <w:r>
        <w:rPr>
          <w:rFonts w:ascii="Arial" w:cs="Arial" w:eastAsia="Arial" w:hAnsi="Arial"/>
          <w:sz w:val="18"/>
          <w:szCs w:val="18"/>
          <w:color w:val="auto"/>
        </w:rPr>
        <w:t>Indicate by check mark whether the registrant has submitted electronically and posted on its corporate Web site, if any, every Interactive Data File required to be submitted and posted pursuant to Rule 405 of Regulation S-T during the preceding 12 months (or for such shorter period that the registrants were required to submit and post such files).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4860" w:type="dxa"/>
            <w:vAlign w:val="bottom"/>
          </w:tcPr>
          <w:p>
            <w:pPr>
              <w:spacing w:after="0"/>
              <w:rPr>
                <w:sz w:val="20"/>
                <w:szCs w:val="20"/>
                <w:color w:val="auto"/>
              </w:rPr>
            </w:pPr>
            <w:r>
              <w:rPr>
                <w:rFonts w:ascii="Arial" w:cs="Arial" w:eastAsia="Arial" w:hAnsi="Arial"/>
                <w:sz w:val="18"/>
                <w:szCs w:val="18"/>
                <w:color w:val="auto"/>
              </w:rPr>
              <w:t>Sempra Energy</w:t>
            </w:r>
          </w:p>
        </w:tc>
        <w:tc>
          <w:tcPr>
            <w:tcW w:w="2580" w:type="dxa"/>
            <w:vAlign w:val="bottom"/>
          </w:tcPr>
          <w:p>
            <w:pPr>
              <w:ind w:left="2240"/>
              <w:spacing w:after="0"/>
              <w:rPr>
                <w:sz w:val="20"/>
                <w:szCs w:val="20"/>
                <w:color w:val="auto"/>
              </w:rPr>
            </w:pPr>
            <w:r>
              <w:rPr>
                <w:rFonts w:ascii="Arial" w:cs="Arial" w:eastAsia="Arial" w:hAnsi="Arial"/>
                <w:sz w:val="18"/>
                <w:szCs w:val="18"/>
                <w:color w:val="auto"/>
              </w:rPr>
              <w:t>Yes</w:t>
            </w:r>
          </w:p>
        </w:tc>
        <w:tc>
          <w:tcPr>
            <w:tcW w:w="1280" w:type="dxa"/>
            <w:vAlign w:val="bottom"/>
          </w:tcPr>
          <w:p>
            <w:pPr>
              <w:ind w:left="540"/>
              <w:spacing w:after="0"/>
              <w:rPr>
                <w:sz w:val="20"/>
                <w:szCs w:val="20"/>
                <w:color w:val="auto"/>
              </w:rPr>
            </w:pPr>
            <w:r>
              <w:rPr>
                <w:rFonts w:ascii="Arial" w:cs="Arial" w:eastAsia="Arial" w:hAnsi="Arial"/>
                <w:sz w:val="18"/>
                <w:szCs w:val="18"/>
                <w:color w:val="auto"/>
              </w:rPr>
              <w:t>X</w:t>
            </w:r>
          </w:p>
        </w:tc>
        <w:tc>
          <w:tcPr>
            <w:tcW w:w="1300" w:type="dxa"/>
            <w:vAlign w:val="bottom"/>
          </w:tcPr>
          <w:p>
            <w:pPr>
              <w:ind w:left="1080"/>
              <w:spacing w:after="0"/>
              <w:rPr>
                <w:sz w:val="20"/>
                <w:szCs w:val="20"/>
                <w:color w:val="auto"/>
              </w:rPr>
            </w:pPr>
            <w:r>
              <w:rPr>
                <w:rFonts w:ascii="Arial" w:cs="Arial" w:eastAsia="Arial" w:hAnsi="Arial"/>
                <w:sz w:val="18"/>
                <w:szCs w:val="18"/>
                <w:color w:val="auto"/>
                <w:w w:val="86"/>
              </w:rPr>
              <w:t>No</w:t>
            </w:r>
          </w:p>
        </w:tc>
        <w:tc>
          <w:tcPr>
            <w:tcW w:w="0" w:type="dxa"/>
            <w:vAlign w:val="bottom"/>
          </w:tcPr>
          <w:p>
            <w:pPr>
              <w:spacing w:after="0"/>
              <w:rPr>
                <w:sz w:val="1"/>
                <w:szCs w:val="1"/>
                <w:color w:val="auto"/>
              </w:rPr>
            </w:pPr>
          </w:p>
        </w:tc>
      </w:tr>
      <w:tr>
        <w:trPr>
          <w:trHeight w:val="34"/>
        </w:trPr>
        <w:tc>
          <w:tcPr>
            <w:tcW w:w="4860" w:type="dxa"/>
            <w:vAlign w:val="bottom"/>
            <w:vMerge w:val="restart"/>
          </w:tcPr>
          <w:p>
            <w:pPr>
              <w:spacing w:after="0"/>
              <w:rPr>
                <w:sz w:val="20"/>
                <w:szCs w:val="20"/>
                <w:color w:val="auto"/>
              </w:rPr>
            </w:pPr>
            <w:r>
              <w:rPr>
                <w:rFonts w:ascii="Arial" w:cs="Arial" w:eastAsia="Arial" w:hAnsi="Arial"/>
                <w:sz w:val="18"/>
                <w:szCs w:val="18"/>
                <w:color w:val="auto"/>
              </w:rPr>
              <w:t>San Diego Gas &amp; Electric Company</w:t>
            </w:r>
          </w:p>
        </w:tc>
        <w:tc>
          <w:tcPr>
            <w:tcW w:w="2580" w:type="dxa"/>
            <w:vAlign w:val="bottom"/>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860" w:type="dxa"/>
            <w:vAlign w:val="bottom"/>
            <w:vMerge w:val="continue"/>
          </w:tcPr>
          <w:p>
            <w:pPr>
              <w:spacing w:after="0"/>
              <w:rPr>
                <w:sz w:val="22"/>
                <w:szCs w:val="22"/>
                <w:color w:val="auto"/>
              </w:rPr>
            </w:pPr>
          </w:p>
        </w:tc>
        <w:tc>
          <w:tcPr>
            <w:tcW w:w="2580" w:type="dxa"/>
            <w:vAlign w:val="bottom"/>
          </w:tcPr>
          <w:p>
            <w:pPr>
              <w:ind w:left="2240"/>
              <w:spacing w:after="0"/>
              <w:rPr>
                <w:sz w:val="20"/>
                <w:szCs w:val="20"/>
                <w:color w:val="auto"/>
              </w:rPr>
            </w:pPr>
            <w:r>
              <w:rPr>
                <w:rFonts w:ascii="Arial" w:cs="Arial" w:eastAsia="Arial" w:hAnsi="Arial"/>
                <w:sz w:val="18"/>
                <w:szCs w:val="18"/>
                <w:color w:val="auto"/>
              </w:rPr>
              <w:t>Yes</w:t>
            </w:r>
          </w:p>
        </w:tc>
        <w:tc>
          <w:tcPr>
            <w:tcW w:w="1280" w:type="dxa"/>
            <w:vAlign w:val="bottom"/>
          </w:tcPr>
          <w:p>
            <w:pPr>
              <w:ind w:left="540"/>
              <w:spacing w:after="0"/>
              <w:rPr>
                <w:sz w:val="20"/>
                <w:szCs w:val="20"/>
                <w:color w:val="auto"/>
              </w:rPr>
            </w:pPr>
            <w:r>
              <w:rPr>
                <w:rFonts w:ascii="Arial" w:cs="Arial" w:eastAsia="Arial" w:hAnsi="Arial"/>
                <w:sz w:val="18"/>
                <w:szCs w:val="18"/>
                <w:color w:val="auto"/>
              </w:rPr>
              <w:t>X</w:t>
            </w:r>
          </w:p>
        </w:tc>
        <w:tc>
          <w:tcPr>
            <w:tcW w:w="1300" w:type="dxa"/>
            <w:vAlign w:val="bottom"/>
          </w:tcPr>
          <w:p>
            <w:pPr>
              <w:ind w:left="1080"/>
              <w:spacing w:after="0"/>
              <w:rPr>
                <w:sz w:val="20"/>
                <w:szCs w:val="20"/>
                <w:color w:val="auto"/>
              </w:rPr>
            </w:pPr>
            <w:r>
              <w:rPr>
                <w:rFonts w:ascii="Arial" w:cs="Arial" w:eastAsia="Arial" w:hAnsi="Arial"/>
                <w:sz w:val="18"/>
                <w:szCs w:val="18"/>
                <w:color w:val="auto"/>
                <w:w w:val="86"/>
              </w:rPr>
              <w:t>No</w:t>
            </w:r>
          </w:p>
        </w:tc>
        <w:tc>
          <w:tcPr>
            <w:tcW w:w="0" w:type="dxa"/>
            <w:vAlign w:val="bottom"/>
          </w:tcPr>
          <w:p>
            <w:pPr>
              <w:spacing w:after="0"/>
              <w:rPr>
                <w:sz w:val="1"/>
                <w:szCs w:val="1"/>
                <w:color w:val="auto"/>
              </w:rPr>
            </w:pPr>
          </w:p>
        </w:tc>
      </w:tr>
      <w:tr>
        <w:trPr>
          <w:trHeight w:val="34"/>
        </w:trPr>
        <w:tc>
          <w:tcPr>
            <w:tcW w:w="4860" w:type="dxa"/>
            <w:vAlign w:val="bottom"/>
            <w:vMerge w:val="restart"/>
          </w:tcPr>
          <w:p>
            <w:pPr>
              <w:spacing w:after="0"/>
              <w:rPr>
                <w:sz w:val="20"/>
                <w:szCs w:val="20"/>
                <w:color w:val="auto"/>
              </w:rPr>
            </w:pPr>
            <w:r>
              <w:rPr>
                <w:rFonts w:ascii="Arial" w:cs="Arial" w:eastAsia="Arial" w:hAnsi="Arial"/>
                <w:sz w:val="18"/>
                <w:szCs w:val="18"/>
                <w:color w:val="auto"/>
              </w:rPr>
              <w:t>Southern California Gas Company</w:t>
            </w:r>
          </w:p>
        </w:tc>
        <w:tc>
          <w:tcPr>
            <w:tcW w:w="2580" w:type="dxa"/>
            <w:vAlign w:val="bottom"/>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860" w:type="dxa"/>
            <w:vAlign w:val="bottom"/>
            <w:vMerge w:val="continue"/>
          </w:tcPr>
          <w:p>
            <w:pPr>
              <w:spacing w:after="0"/>
              <w:rPr>
                <w:sz w:val="22"/>
                <w:szCs w:val="22"/>
                <w:color w:val="auto"/>
              </w:rPr>
            </w:pPr>
          </w:p>
        </w:tc>
        <w:tc>
          <w:tcPr>
            <w:tcW w:w="2580" w:type="dxa"/>
            <w:vAlign w:val="bottom"/>
          </w:tcPr>
          <w:p>
            <w:pPr>
              <w:ind w:left="2240"/>
              <w:spacing w:after="0"/>
              <w:rPr>
                <w:sz w:val="20"/>
                <w:szCs w:val="20"/>
                <w:color w:val="auto"/>
              </w:rPr>
            </w:pPr>
            <w:r>
              <w:rPr>
                <w:rFonts w:ascii="Arial" w:cs="Arial" w:eastAsia="Arial" w:hAnsi="Arial"/>
                <w:sz w:val="18"/>
                <w:szCs w:val="18"/>
                <w:color w:val="auto"/>
              </w:rPr>
              <w:t>Yes</w:t>
            </w:r>
          </w:p>
        </w:tc>
        <w:tc>
          <w:tcPr>
            <w:tcW w:w="1280" w:type="dxa"/>
            <w:vAlign w:val="bottom"/>
          </w:tcPr>
          <w:p>
            <w:pPr>
              <w:ind w:left="540"/>
              <w:spacing w:after="0"/>
              <w:rPr>
                <w:sz w:val="20"/>
                <w:szCs w:val="20"/>
                <w:color w:val="auto"/>
              </w:rPr>
            </w:pPr>
            <w:r>
              <w:rPr>
                <w:rFonts w:ascii="Arial" w:cs="Arial" w:eastAsia="Arial" w:hAnsi="Arial"/>
                <w:sz w:val="18"/>
                <w:szCs w:val="18"/>
                <w:color w:val="auto"/>
              </w:rPr>
              <w:t>X</w:t>
            </w:r>
          </w:p>
        </w:tc>
        <w:tc>
          <w:tcPr>
            <w:tcW w:w="1300" w:type="dxa"/>
            <w:vAlign w:val="bottom"/>
          </w:tcPr>
          <w:p>
            <w:pPr>
              <w:ind w:left="1080"/>
              <w:spacing w:after="0"/>
              <w:rPr>
                <w:sz w:val="20"/>
                <w:szCs w:val="20"/>
                <w:color w:val="auto"/>
              </w:rPr>
            </w:pPr>
            <w:r>
              <w:rPr>
                <w:rFonts w:ascii="Arial" w:cs="Arial" w:eastAsia="Arial" w:hAnsi="Arial"/>
                <w:sz w:val="18"/>
                <w:szCs w:val="18"/>
                <w:color w:val="auto"/>
                <w:w w:val="86"/>
              </w:rPr>
              <w:t>No</w:t>
            </w:r>
          </w:p>
        </w:tc>
        <w:tc>
          <w:tcPr>
            <w:tcW w:w="0" w:type="dxa"/>
            <w:vAlign w:val="bottom"/>
          </w:tcPr>
          <w:p>
            <w:pPr>
              <w:spacing w:after="0"/>
              <w:rPr>
                <w:sz w:val="1"/>
                <w:szCs w:val="1"/>
                <w:color w:val="auto"/>
              </w:rPr>
            </w:pPr>
          </w:p>
        </w:tc>
      </w:tr>
      <w:tr>
        <w:trPr>
          <w:trHeight w:val="34"/>
        </w:trPr>
        <w:tc>
          <w:tcPr>
            <w:tcW w:w="4860" w:type="dxa"/>
            <w:vAlign w:val="bottom"/>
          </w:tcPr>
          <w:p>
            <w:pPr>
              <w:spacing w:after="0"/>
              <w:rPr>
                <w:sz w:val="2"/>
                <w:szCs w:val="2"/>
                <w:color w:val="auto"/>
              </w:rPr>
            </w:pPr>
          </w:p>
        </w:tc>
        <w:tc>
          <w:tcPr>
            <w:tcW w:w="2580" w:type="dxa"/>
            <w:vAlign w:val="bottom"/>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6419850</wp:posOffset>
            </wp:positionH>
            <wp:positionV relativeFrom="paragraph">
              <wp:posOffset>-410845</wp:posOffset>
            </wp:positionV>
            <wp:extent cx="83185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831850" cy="17145"/>
                    </a:xfrm>
                    <a:prstGeom prst="rect">
                      <a:avLst/>
                    </a:prstGeom>
                    <a:noFill/>
                  </pic:spPr>
                </pic:pic>
              </a:graphicData>
            </a:graphic>
          </wp:anchor>
        </w:drawing>
        <w:drawing>
          <wp:anchor simplePos="0" relativeHeight="251657728" behindDoc="1" locked="0" layoutInCell="0" allowOverlap="1">
            <wp:simplePos x="0" y="0"/>
            <wp:positionH relativeFrom="column">
              <wp:posOffset>6419850</wp:posOffset>
            </wp:positionH>
            <wp:positionV relativeFrom="paragraph">
              <wp:posOffset>-213995</wp:posOffset>
            </wp:positionV>
            <wp:extent cx="83185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831850" cy="17145"/>
                    </a:xfrm>
                    <a:prstGeom prst="rect">
                      <a:avLst/>
                    </a:prstGeom>
                    <a:noFill/>
                  </pic:spPr>
                </pic:pic>
              </a:graphicData>
            </a:graphic>
          </wp:anchor>
        </w:drawing>
        <w:drawing>
          <wp:anchor simplePos="0" relativeHeight="251657728" behindDoc="1" locked="0" layoutInCell="0" allowOverlap="1">
            <wp:simplePos x="0" y="0"/>
            <wp:positionH relativeFrom="column">
              <wp:posOffset>6419850</wp:posOffset>
            </wp:positionH>
            <wp:positionV relativeFrom="paragraph">
              <wp:posOffset>-16510</wp:posOffset>
            </wp:positionV>
            <wp:extent cx="83185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831850" cy="17145"/>
                    </a:xfrm>
                    <a:prstGeom prst="rect">
                      <a:avLst/>
                    </a:prstGeom>
                    <a:noFill/>
                  </pic:spPr>
                </pic:pic>
              </a:graphicData>
            </a:graphic>
          </wp:anchor>
        </w:drawing>
      </w:r>
    </w:p>
    <w:p>
      <w:pPr>
        <w:spacing w:after="0" w:line="209" w:lineRule="exact"/>
        <w:rPr>
          <w:sz w:val="20"/>
          <w:szCs w:val="20"/>
          <w:color w:val="auto"/>
        </w:rPr>
      </w:pPr>
    </w:p>
    <w:p>
      <w:pPr>
        <w:ind w:right="180"/>
        <w:spacing w:after="0" w:line="324"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4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960" w:type="dxa"/>
            <w:vAlign w:val="bottom"/>
            <w:gridSpan w:val="2"/>
          </w:tcPr>
          <w:p>
            <w:pPr>
              <w:ind w:left="500"/>
              <w:spacing w:after="0"/>
              <w:rPr>
                <w:sz w:val="20"/>
                <w:szCs w:val="20"/>
                <w:color w:val="auto"/>
              </w:rPr>
            </w:pPr>
            <w:r>
              <w:rPr>
                <w:rFonts w:ascii="Arial" w:cs="Arial" w:eastAsia="Arial" w:hAnsi="Arial"/>
                <w:sz w:val="18"/>
                <w:szCs w:val="18"/>
                <w:color w:val="auto"/>
              </w:rPr>
              <w:t>Large</w:t>
            </w:r>
          </w:p>
        </w:tc>
        <w:tc>
          <w:tcPr>
            <w:tcW w:w="13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860" w:type="dxa"/>
            <w:vAlign w:val="bottom"/>
            <w:gridSpan w:val="3"/>
          </w:tcPr>
          <w:p>
            <w:pPr>
              <w:jc w:val="right"/>
              <w:ind w:right="230"/>
              <w:spacing w:after="0"/>
              <w:rPr>
                <w:sz w:val="20"/>
                <w:szCs w:val="20"/>
                <w:color w:val="auto"/>
              </w:rPr>
            </w:pPr>
            <w:r>
              <w:rPr>
                <w:rFonts w:ascii="Arial" w:cs="Arial" w:eastAsia="Arial" w:hAnsi="Arial"/>
                <w:sz w:val="18"/>
                <w:szCs w:val="18"/>
                <w:color w:val="auto"/>
              </w:rPr>
              <w:t>Smaller reporting</w:t>
            </w:r>
          </w:p>
        </w:tc>
        <w:tc>
          <w:tcPr>
            <w:tcW w:w="0" w:type="dxa"/>
            <w:vAlign w:val="bottom"/>
          </w:tcPr>
          <w:p>
            <w:pPr>
              <w:spacing w:after="0"/>
              <w:rPr>
                <w:sz w:val="1"/>
                <w:szCs w:val="1"/>
                <w:color w:val="auto"/>
              </w:rPr>
            </w:pPr>
          </w:p>
        </w:tc>
      </w:tr>
      <w:tr>
        <w:trPr>
          <w:trHeight w:val="284"/>
        </w:trPr>
        <w:tc>
          <w:tcPr>
            <w:tcW w:w="24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960" w:type="dxa"/>
            <w:vAlign w:val="bottom"/>
            <w:gridSpan w:val="2"/>
          </w:tcPr>
          <w:p>
            <w:pPr>
              <w:ind w:left="120"/>
              <w:spacing w:after="0"/>
              <w:rPr>
                <w:sz w:val="20"/>
                <w:szCs w:val="20"/>
                <w:color w:val="auto"/>
              </w:rPr>
            </w:pPr>
            <w:r>
              <w:rPr>
                <w:rFonts w:ascii="Arial" w:cs="Arial" w:eastAsia="Arial" w:hAnsi="Arial"/>
                <w:sz w:val="18"/>
                <w:szCs w:val="18"/>
                <w:color w:val="auto"/>
              </w:rPr>
              <w:t>accelerated filer</w:t>
            </w:r>
          </w:p>
        </w:tc>
        <w:tc>
          <w:tcPr>
            <w:tcW w:w="2280" w:type="dxa"/>
            <w:vAlign w:val="bottom"/>
            <w:gridSpan w:val="2"/>
          </w:tcPr>
          <w:p>
            <w:pPr>
              <w:jc w:val="right"/>
              <w:ind w:right="290"/>
              <w:spacing w:after="0"/>
              <w:rPr>
                <w:sz w:val="20"/>
                <w:szCs w:val="20"/>
                <w:color w:val="auto"/>
              </w:rPr>
            </w:pPr>
            <w:r>
              <w:rPr>
                <w:rFonts w:ascii="Arial" w:cs="Arial" w:eastAsia="Arial" w:hAnsi="Arial"/>
                <w:sz w:val="18"/>
                <w:szCs w:val="18"/>
                <w:color w:val="auto"/>
              </w:rPr>
              <w:t>Accelerated filer</w:t>
            </w:r>
          </w:p>
        </w:tc>
        <w:tc>
          <w:tcPr>
            <w:tcW w:w="720" w:type="dxa"/>
            <w:vAlign w:val="bottom"/>
          </w:tcPr>
          <w:p>
            <w:pPr>
              <w:spacing w:after="0"/>
              <w:rPr>
                <w:sz w:val="24"/>
                <w:szCs w:val="24"/>
                <w:color w:val="auto"/>
              </w:rPr>
            </w:pPr>
          </w:p>
        </w:tc>
        <w:tc>
          <w:tcPr>
            <w:tcW w:w="1860" w:type="dxa"/>
            <w:vAlign w:val="bottom"/>
            <w:gridSpan w:val="3"/>
          </w:tcPr>
          <w:p>
            <w:pPr>
              <w:ind w:left="80"/>
              <w:spacing w:after="0"/>
              <w:rPr>
                <w:sz w:val="20"/>
                <w:szCs w:val="20"/>
                <w:color w:val="auto"/>
              </w:rPr>
            </w:pPr>
            <w:r>
              <w:rPr>
                <w:rFonts w:ascii="Arial" w:cs="Arial" w:eastAsia="Arial" w:hAnsi="Arial"/>
                <w:sz w:val="18"/>
                <w:szCs w:val="18"/>
                <w:color w:val="auto"/>
              </w:rPr>
              <w:t>Non-accelerated filer</w:t>
            </w:r>
          </w:p>
        </w:tc>
        <w:tc>
          <w:tcPr>
            <w:tcW w:w="540" w:type="dxa"/>
            <w:vAlign w:val="bottom"/>
          </w:tcPr>
          <w:p>
            <w:pPr>
              <w:spacing w:after="0"/>
              <w:rPr>
                <w:sz w:val="24"/>
                <w:szCs w:val="24"/>
                <w:color w:val="auto"/>
              </w:rPr>
            </w:pPr>
          </w:p>
        </w:tc>
        <w:tc>
          <w:tcPr>
            <w:tcW w:w="1320" w:type="dxa"/>
            <w:vAlign w:val="bottom"/>
            <w:gridSpan w:val="2"/>
          </w:tcPr>
          <w:p>
            <w:pPr>
              <w:jc w:val="right"/>
              <w:ind w:right="530"/>
              <w:spacing w:after="0"/>
              <w:rPr>
                <w:sz w:val="20"/>
                <w:szCs w:val="20"/>
                <w:color w:val="auto"/>
              </w:rPr>
            </w:pPr>
            <w:r>
              <w:rPr>
                <w:rFonts w:ascii="Arial" w:cs="Arial" w:eastAsia="Arial" w:hAnsi="Arial"/>
                <w:sz w:val="18"/>
                <w:szCs w:val="18"/>
                <w:color w:val="auto"/>
                <w:w w:val="93"/>
              </w:rPr>
              <w:t>company</w:t>
            </w:r>
          </w:p>
        </w:tc>
        <w:tc>
          <w:tcPr>
            <w:tcW w:w="0" w:type="dxa"/>
            <w:vAlign w:val="bottom"/>
          </w:tcPr>
          <w:p>
            <w:pPr>
              <w:spacing w:after="0"/>
              <w:rPr>
                <w:sz w:val="1"/>
                <w:szCs w:val="1"/>
                <w:color w:val="auto"/>
              </w:rPr>
            </w:pPr>
          </w:p>
        </w:tc>
      </w:tr>
      <w:tr>
        <w:trPr>
          <w:trHeight w:val="34"/>
        </w:trPr>
        <w:tc>
          <w:tcPr>
            <w:tcW w:w="24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3"/>
        </w:trPr>
        <w:tc>
          <w:tcPr>
            <w:tcW w:w="2740" w:type="dxa"/>
            <w:vAlign w:val="bottom"/>
            <w:gridSpan w:val="2"/>
          </w:tcPr>
          <w:p>
            <w:pPr>
              <w:spacing w:after="0"/>
              <w:rPr>
                <w:sz w:val="20"/>
                <w:szCs w:val="20"/>
                <w:color w:val="auto"/>
              </w:rPr>
            </w:pPr>
            <w:r>
              <w:rPr>
                <w:rFonts w:ascii="Arial" w:cs="Arial" w:eastAsia="Arial" w:hAnsi="Arial"/>
                <w:sz w:val="18"/>
                <w:szCs w:val="18"/>
                <w:color w:val="auto"/>
              </w:rPr>
              <w:t>Sempra Energy</w:t>
            </w:r>
          </w:p>
        </w:tc>
        <w:tc>
          <w:tcPr>
            <w:tcW w:w="580" w:type="dxa"/>
            <w:vAlign w:val="bottom"/>
          </w:tcPr>
          <w:p>
            <w:pPr>
              <w:ind w:left="480"/>
              <w:spacing w:after="0"/>
              <w:rPr>
                <w:sz w:val="20"/>
                <w:szCs w:val="20"/>
                <w:color w:val="auto"/>
              </w:rPr>
            </w:pPr>
            <w:r>
              <w:rPr>
                <w:rFonts w:ascii="Arial" w:cs="Arial" w:eastAsia="Arial" w:hAnsi="Arial"/>
                <w:sz w:val="18"/>
                <w:szCs w:val="18"/>
                <w:color w:val="auto"/>
              </w:rPr>
              <w:t>[</w:t>
            </w:r>
          </w:p>
        </w:tc>
        <w:tc>
          <w:tcPr>
            <w:tcW w:w="1380" w:type="dxa"/>
            <w:vAlign w:val="bottom"/>
          </w:tcPr>
          <w:p>
            <w:pPr>
              <w:jc w:val="right"/>
              <w:ind w:right="950"/>
              <w:spacing w:after="0"/>
              <w:rPr>
                <w:sz w:val="20"/>
                <w:szCs w:val="20"/>
                <w:color w:val="auto"/>
              </w:rPr>
            </w:pPr>
            <w:r>
              <w:rPr>
                <w:rFonts w:ascii="Arial" w:cs="Arial" w:eastAsia="Arial" w:hAnsi="Arial"/>
                <w:sz w:val="18"/>
                <w:szCs w:val="18"/>
                <w:color w:val="auto"/>
              </w:rPr>
              <w:t>X ]</w:t>
            </w:r>
          </w:p>
        </w:tc>
        <w:tc>
          <w:tcPr>
            <w:tcW w:w="13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690"/>
              <w:spacing w:after="0"/>
              <w:rPr>
                <w:sz w:val="20"/>
                <w:szCs w:val="20"/>
                <w:color w:val="auto"/>
              </w:rPr>
            </w:pPr>
            <w:r>
              <w:rPr>
                <w:rFonts w:ascii="Arial" w:cs="Arial" w:eastAsia="Arial" w:hAnsi="Arial"/>
                <w:sz w:val="18"/>
                <w:szCs w:val="18"/>
                <w:color w:val="auto"/>
              </w:rPr>
              <w:t>]</w:t>
            </w:r>
          </w:p>
        </w:tc>
        <w:tc>
          <w:tcPr>
            <w:tcW w:w="1580" w:type="dxa"/>
            <w:vAlign w:val="bottom"/>
            <w:gridSpan w:val="2"/>
          </w:tcPr>
          <w:p>
            <w:pPr>
              <w:ind w:left="1360"/>
              <w:spacing w:after="0"/>
              <w:rPr>
                <w:sz w:val="20"/>
                <w:szCs w:val="20"/>
                <w:color w:val="auto"/>
              </w:rPr>
            </w:pPr>
            <w:r>
              <w:rPr>
                <w:rFonts w:ascii="Arial" w:cs="Arial" w:eastAsia="Arial" w:hAnsi="Arial"/>
                <w:sz w:val="18"/>
                <w:szCs w:val="18"/>
                <w:color w:val="auto"/>
              </w:rPr>
              <w:t>[</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spacing w:after="0"/>
              <w:rPr>
                <w:sz w:val="24"/>
                <w:szCs w:val="24"/>
                <w:color w:val="auto"/>
              </w:rPr>
            </w:pPr>
          </w:p>
        </w:tc>
        <w:tc>
          <w:tcPr>
            <w:tcW w:w="92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67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740" w:type="dxa"/>
            <w:vAlign w:val="bottom"/>
            <w:gridSpan w:val="2"/>
          </w:tcPr>
          <w:p>
            <w:pPr>
              <w:spacing w:after="0"/>
              <w:rPr>
                <w:sz w:val="20"/>
                <w:szCs w:val="20"/>
                <w:color w:val="auto"/>
              </w:rPr>
            </w:pPr>
            <w:r>
              <w:rPr>
                <w:rFonts w:ascii="Arial" w:cs="Arial" w:eastAsia="Arial" w:hAnsi="Arial"/>
                <w:sz w:val="18"/>
                <w:szCs w:val="18"/>
                <w:color w:val="auto"/>
              </w:rPr>
              <w:t>San Diego Gas &amp; Electric</w:t>
            </w:r>
          </w:p>
        </w:tc>
        <w:tc>
          <w:tcPr>
            <w:tcW w:w="580" w:type="dxa"/>
            <w:vAlign w:val="bottom"/>
            <w:vMerge w:val="restart"/>
          </w:tcPr>
          <w:p>
            <w:pPr>
              <w:ind w:left="480"/>
              <w:spacing w:after="0"/>
              <w:rPr>
                <w:sz w:val="20"/>
                <w:szCs w:val="20"/>
                <w:color w:val="auto"/>
              </w:rPr>
            </w:pPr>
            <w:r>
              <w:rPr>
                <w:rFonts w:ascii="Arial" w:cs="Arial" w:eastAsia="Arial" w:hAnsi="Arial"/>
                <w:sz w:val="18"/>
                <w:szCs w:val="18"/>
                <w:color w:val="auto"/>
              </w:rPr>
              <w:t>[</w:t>
            </w:r>
          </w:p>
        </w:tc>
        <w:tc>
          <w:tcPr>
            <w:tcW w:w="1380" w:type="dxa"/>
            <w:vAlign w:val="bottom"/>
            <w:vMerge w:val="restart"/>
          </w:tcPr>
          <w:p>
            <w:pPr>
              <w:jc w:val="right"/>
              <w:ind w:right="950"/>
              <w:spacing w:after="0"/>
              <w:rPr>
                <w:sz w:val="20"/>
                <w:szCs w:val="20"/>
                <w:color w:val="auto"/>
              </w:rPr>
            </w:pPr>
            <w:r>
              <w:rPr>
                <w:rFonts w:ascii="Arial" w:cs="Arial" w:eastAsia="Arial" w:hAnsi="Arial"/>
                <w:sz w:val="18"/>
                <w:szCs w:val="18"/>
                <w:color w:val="auto"/>
              </w:rPr>
              <w:t>]</w:t>
            </w:r>
          </w:p>
        </w:tc>
        <w:tc>
          <w:tcPr>
            <w:tcW w:w="1300" w:type="dxa"/>
            <w:vAlign w:val="bottom"/>
            <w:vMerge w:val="restart"/>
          </w:tcPr>
          <w:p>
            <w:pPr>
              <w:jc w:val="right"/>
              <w:ind w:right="50"/>
              <w:spacing w:after="0"/>
              <w:rPr>
                <w:sz w:val="20"/>
                <w:szCs w:val="20"/>
                <w:color w:val="auto"/>
              </w:rPr>
            </w:pPr>
            <w:r>
              <w:rPr>
                <w:rFonts w:ascii="Arial" w:cs="Arial" w:eastAsia="Arial" w:hAnsi="Arial"/>
                <w:sz w:val="18"/>
                <w:szCs w:val="18"/>
                <w:color w:val="auto"/>
              </w:rPr>
              <w:t>[</w:t>
            </w:r>
          </w:p>
        </w:tc>
        <w:tc>
          <w:tcPr>
            <w:tcW w:w="980" w:type="dxa"/>
            <w:vAlign w:val="bottom"/>
            <w:vMerge w:val="restart"/>
          </w:tcPr>
          <w:p>
            <w:pPr>
              <w:jc w:val="right"/>
              <w:ind w:right="690"/>
              <w:spacing w:after="0"/>
              <w:rPr>
                <w:sz w:val="20"/>
                <w:szCs w:val="20"/>
                <w:color w:val="auto"/>
              </w:rPr>
            </w:pPr>
            <w:r>
              <w:rPr>
                <w:rFonts w:ascii="Arial" w:cs="Arial" w:eastAsia="Arial" w:hAnsi="Arial"/>
                <w:sz w:val="18"/>
                <w:szCs w:val="18"/>
                <w:color w:val="auto"/>
              </w:rPr>
              <w:t>]</w:t>
            </w:r>
          </w:p>
        </w:tc>
        <w:tc>
          <w:tcPr>
            <w:tcW w:w="720" w:type="dxa"/>
            <w:vAlign w:val="bottom"/>
          </w:tcPr>
          <w:p>
            <w:pPr>
              <w:spacing w:after="0"/>
              <w:rPr>
                <w:sz w:val="19"/>
                <w:szCs w:val="19"/>
                <w:color w:val="auto"/>
              </w:rPr>
            </w:pPr>
          </w:p>
        </w:tc>
        <w:tc>
          <w:tcPr>
            <w:tcW w:w="1860" w:type="dxa"/>
            <w:vAlign w:val="bottom"/>
            <w:gridSpan w:val="3"/>
            <w:vMerge w:val="restart"/>
          </w:tcPr>
          <w:p>
            <w:pPr>
              <w:ind w:left="640"/>
              <w:spacing w:after="0"/>
              <w:rPr>
                <w:sz w:val="20"/>
                <w:szCs w:val="20"/>
                <w:color w:val="auto"/>
              </w:rPr>
            </w:pPr>
            <w:r>
              <w:rPr>
                <w:rFonts w:ascii="Arial" w:cs="Arial" w:eastAsia="Arial" w:hAnsi="Arial"/>
                <w:sz w:val="18"/>
                <w:szCs w:val="18"/>
                <w:color w:val="auto"/>
              </w:rPr>
              <w:t>[ X ]</w:t>
            </w:r>
          </w:p>
        </w:tc>
        <w:tc>
          <w:tcPr>
            <w:tcW w:w="920" w:type="dxa"/>
            <w:vAlign w:val="bottom"/>
            <w:gridSpan w:val="2"/>
            <w:vMerge w:val="restart"/>
          </w:tcPr>
          <w:p>
            <w:pPr>
              <w:jc w:val="right"/>
              <w:ind w:right="50"/>
              <w:spacing w:after="0"/>
              <w:rPr>
                <w:sz w:val="20"/>
                <w:szCs w:val="20"/>
                <w:color w:val="auto"/>
              </w:rPr>
            </w:pPr>
            <w:r>
              <w:rPr>
                <w:rFonts w:ascii="Arial" w:cs="Arial" w:eastAsia="Arial" w:hAnsi="Arial"/>
                <w:sz w:val="18"/>
                <w:szCs w:val="18"/>
                <w:color w:val="auto"/>
              </w:rPr>
              <w:t>[</w:t>
            </w:r>
          </w:p>
        </w:tc>
        <w:tc>
          <w:tcPr>
            <w:tcW w:w="940" w:type="dxa"/>
            <w:vAlign w:val="bottom"/>
            <w:vMerge w:val="restart"/>
          </w:tcPr>
          <w:p>
            <w:pPr>
              <w:jc w:val="right"/>
              <w:ind w:right="67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740" w:type="dxa"/>
            <w:vAlign w:val="bottom"/>
            <w:gridSpan w:val="2"/>
          </w:tcPr>
          <w:p>
            <w:pPr>
              <w:ind w:left="340"/>
              <w:spacing w:after="0"/>
              <w:rPr>
                <w:sz w:val="20"/>
                <w:szCs w:val="20"/>
                <w:color w:val="auto"/>
              </w:rPr>
            </w:pPr>
            <w:r>
              <w:rPr>
                <w:rFonts w:ascii="Arial" w:cs="Arial" w:eastAsia="Arial" w:hAnsi="Arial"/>
                <w:sz w:val="18"/>
                <w:szCs w:val="18"/>
                <w:color w:val="auto"/>
              </w:rPr>
              <w:t>Company</w:t>
            </w:r>
          </w:p>
        </w:tc>
        <w:tc>
          <w:tcPr>
            <w:tcW w:w="580" w:type="dxa"/>
            <w:vAlign w:val="bottom"/>
            <w:vMerge w:val="continue"/>
          </w:tcPr>
          <w:p>
            <w:pPr>
              <w:spacing w:after="0"/>
              <w:rPr>
                <w:sz w:val="19"/>
                <w:szCs w:val="19"/>
                <w:color w:val="auto"/>
              </w:rPr>
            </w:pPr>
          </w:p>
        </w:tc>
        <w:tc>
          <w:tcPr>
            <w:tcW w:w="1380" w:type="dxa"/>
            <w:vAlign w:val="bottom"/>
            <w:vMerge w:val="continue"/>
          </w:tcPr>
          <w:p>
            <w:pPr>
              <w:spacing w:after="0"/>
              <w:rPr>
                <w:sz w:val="19"/>
                <w:szCs w:val="19"/>
                <w:color w:val="auto"/>
              </w:rPr>
            </w:pPr>
          </w:p>
        </w:tc>
        <w:tc>
          <w:tcPr>
            <w:tcW w:w="1300" w:type="dxa"/>
            <w:vAlign w:val="bottom"/>
            <w:vMerge w:val="continue"/>
          </w:tcPr>
          <w:p>
            <w:pPr>
              <w:spacing w:after="0"/>
              <w:rPr>
                <w:sz w:val="19"/>
                <w:szCs w:val="19"/>
                <w:color w:val="auto"/>
              </w:rPr>
            </w:pPr>
          </w:p>
        </w:tc>
        <w:tc>
          <w:tcPr>
            <w:tcW w:w="980" w:type="dxa"/>
            <w:vAlign w:val="bottom"/>
            <w:vMerge w:val="continue"/>
          </w:tcPr>
          <w:p>
            <w:pPr>
              <w:spacing w:after="0"/>
              <w:rPr>
                <w:sz w:val="19"/>
                <w:szCs w:val="19"/>
                <w:color w:val="auto"/>
              </w:rPr>
            </w:pPr>
          </w:p>
        </w:tc>
        <w:tc>
          <w:tcPr>
            <w:tcW w:w="720" w:type="dxa"/>
            <w:vAlign w:val="bottom"/>
          </w:tcPr>
          <w:p>
            <w:pPr>
              <w:spacing w:after="0"/>
              <w:rPr>
                <w:sz w:val="19"/>
                <w:szCs w:val="19"/>
                <w:color w:val="auto"/>
              </w:rPr>
            </w:pPr>
          </w:p>
        </w:tc>
        <w:tc>
          <w:tcPr>
            <w:tcW w:w="1860" w:type="dxa"/>
            <w:vAlign w:val="bottom"/>
            <w:gridSpan w:val="3"/>
            <w:vMerge w:val="continue"/>
          </w:tcPr>
          <w:p>
            <w:pPr>
              <w:spacing w:after="0"/>
              <w:rPr>
                <w:sz w:val="19"/>
                <w:szCs w:val="19"/>
                <w:color w:val="auto"/>
              </w:rPr>
            </w:pPr>
          </w:p>
        </w:tc>
        <w:tc>
          <w:tcPr>
            <w:tcW w:w="920" w:type="dxa"/>
            <w:vAlign w:val="bottom"/>
            <w:gridSpan w:val="2"/>
            <w:vMerge w:val="continue"/>
          </w:tcPr>
          <w:p>
            <w:pPr>
              <w:spacing w:after="0"/>
              <w:rPr>
                <w:sz w:val="19"/>
                <w:szCs w:val="19"/>
                <w:color w:val="auto"/>
              </w:rPr>
            </w:pPr>
          </w:p>
        </w:tc>
        <w:tc>
          <w:tcPr>
            <w:tcW w:w="9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740" w:type="dxa"/>
            <w:vAlign w:val="bottom"/>
            <w:gridSpan w:val="2"/>
          </w:tcPr>
          <w:p>
            <w:pPr>
              <w:spacing w:after="0"/>
              <w:rPr>
                <w:sz w:val="20"/>
                <w:szCs w:val="20"/>
                <w:color w:val="auto"/>
              </w:rPr>
            </w:pPr>
            <w:r>
              <w:rPr>
                <w:rFonts w:ascii="Arial" w:cs="Arial" w:eastAsia="Arial" w:hAnsi="Arial"/>
                <w:sz w:val="18"/>
                <w:szCs w:val="18"/>
                <w:color w:val="auto"/>
              </w:rPr>
              <w:t>Southern California Gas</w:t>
            </w:r>
          </w:p>
        </w:tc>
        <w:tc>
          <w:tcPr>
            <w:tcW w:w="580" w:type="dxa"/>
            <w:vAlign w:val="bottom"/>
            <w:vMerge w:val="restart"/>
          </w:tcPr>
          <w:p>
            <w:pPr>
              <w:ind w:left="480"/>
              <w:spacing w:after="0"/>
              <w:rPr>
                <w:sz w:val="20"/>
                <w:szCs w:val="20"/>
                <w:color w:val="auto"/>
              </w:rPr>
            </w:pPr>
            <w:r>
              <w:rPr>
                <w:rFonts w:ascii="Arial" w:cs="Arial" w:eastAsia="Arial" w:hAnsi="Arial"/>
                <w:sz w:val="18"/>
                <w:szCs w:val="18"/>
                <w:color w:val="auto"/>
              </w:rPr>
              <w:t>[</w:t>
            </w:r>
          </w:p>
        </w:tc>
        <w:tc>
          <w:tcPr>
            <w:tcW w:w="1380" w:type="dxa"/>
            <w:vAlign w:val="bottom"/>
            <w:vMerge w:val="restart"/>
          </w:tcPr>
          <w:p>
            <w:pPr>
              <w:jc w:val="right"/>
              <w:ind w:right="950"/>
              <w:spacing w:after="0"/>
              <w:rPr>
                <w:sz w:val="20"/>
                <w:szCs w:val="20"/>
                <w:color w:val="auto"/>
              </w:rPr>
            </w:pPr>
            <w:r>
              <w:rPr>
                <w:rFonts w:ascii="Arial" w:cs="Arial" w:eastAsia="Arial" w:hAnsi="Arial"/>
                <w:sz w:val="18"/>
                <w:szCs w:val="18"/>
                <w:color w:val="auto"/>
              </w:rPr>
              <w:t>]</w:t>
            </w:r>
          </w:p>
        </w:tc>
        <w:tc>
          <w:tcPr>
            <w:tcW w:w="1300" w:type="dxa"/>
            <w:vAlign w:val="bottom"/>
            <w:vMerge w:val="restart"/>
          </w:tcPr>
          <w:p>
            <w:pPr>
              <w:jc w:val="right"/>
              <w:ind w:right="50"/>
              <w:spacing w:after="0"/>
              <w:rPr>
                <w:sz w:val="20"/>
                <w:szCs w:val="20"/>
                <w:color w:val="auto"/>
              </w:rPr>
            </w:pPr>
            <w:r>
              <w:rPr>
                <w:rFonts w:ascii="Arial" w:cs="Arial" w:eastAsia="Arial" w:hAnsi="Arial"/>
                <w:sz w:val="18"/>
                <w:szCs w:val="18"/>
                <w:color w:val="auto"/>
              </w:rPr>
              <w:t>[</w:t>
            </w:r>
          </w:p>
        </w:tc>
        <w:tc>
          <w:tcPr>
            <w:tcW w:w="980" w:type="dxa"/>
            <w:vAlign w:val="bottom"/>
            <w:vMerge w:val="restart"/>
          </w:tcPr>
          <w:p>
            <w:pPr>
              <w:jc w:val="right"/>
              <w:ind w:right="690"/>
              <w:spacing w:after="0"/>
              <w:rPr>
                <w:sz w:val="20"/>
                <w:szCs w:val="20"/>
                <w:color w:val="auto"/>
              </w:rPr>
            </w:pPr>
            <w:r>
              <w:rPr>
                <w:rFonts w:ascii="Arial" w:cs="Arial" w:eastAsia="Arial" w:hAnsi="Arial"/>
                <w:sz w:val="18"/>
                <w:szCs w:val="18"/>
                <w:color w:val="auto"/>
              </w:rPr>
              <w:t>]</w:t>
            </w:r>
          </w:p>
        </w:tc>
        <w:tc>
          <w:tcPr>
            <w:tcW w:w="720" w:type="dxa"/>
            <w:vAlign w:val="bottom"/>
          </w:tcPr>
          <w:p>
            <w:pPr>
              <w:spacing w:after="0"/>
              <w:rPr>
                <w:sz w:val="19"/>
                <w:szCs w:val="19"/>
                <w:color w:val="auto"/>
              </w:rPr>
            </w:pPr>
          </w:p>
        </w:tc>
        <w:tc>
          <w:tcPr>
            <w:tcW w:w="1860" w:type="dxa"/>
            <w:vAlign w:val="bottom"/>
            <w:gridSpan w:val="3"/>
            <w:vMerge w:val="restart"/>
          </w:tcPr>
          <w:p>
            <w:pPr>
              <w:ind w:left="640"/>
              <w:spacing w:after="0"/>
              <w:rPr>
                <w:sz w:val="20"/>
                <w:szCs w:val="20"/>
                <w:color w:val="auto"/>
              </w:rPr>
            </w:pPr>
            <w:r>
              <w:rPr>
                <w:rFonts w:ascii="Arial" w:cs="Arial" w:eastAsia="Arial" w:hAnsi="Arial"/>
                <w:sz w:val="18"/>
                <w:szCs w:val="18"/>
                <w:color w:val="auto"/>
              </w:rPr>
              <w:t>[ X ]</w:t>
            </w:r>
          </w:p>
        </w:tc>
        <w:tc>
          <w:tcPr>
            <w:tcW w:w="920" w:type="dxa"/>
            <w:vAlign w:val="bottom"/>
            <w:gridSpan w:val="2"/>
            <w:vMerge w:val="restart"/>
          </w:tcPr>
          <w:p>
            <w:pPr>
              <w:jc w:val="right"/>
              <w:ind w:right="50"/>
              <w:spacing w:after="0"/>
              <w:rPr>
                <w:sz w:val="20"/>
                <w:szCs w:val="20"/>
                <w:color w:val="auto"/>
              </w:rPr>
            </w:pPr>
            <w:r>
              <w:rPr>
                <w:rFonts w:ascii="Arial" w:cs="Arial" w:eastAsia="Arial" w:hAnsi="Arial"/>
                <w:sz w:val="18"/>
                <w:szCs w:val="18"/>
                <w:color w:val="auto"/>
              </w:rPr>
              <w:t>[</w:t>
            </w:r>
          </w:p>
        </w:tc>
        <w:tc>
          <w:tcPr>
            <w:tcW w:w="940" w:type="dxa"/>
            <w:vAlign w:val="bottom"/>
            <w:vMerge w:val="restart"/>
          </w:tcPr>
          <w:p>
            <w:pPr>
              <w:jc w:val="right"/>
              <w:ind w:right="67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740" w:type="dxa"/>
            <w:vAlign w:val="bottom"/>
            <w:gridSpan w:val="2"/>
          </w:tcPr>
          <w:p>
            <w:pPr>
              <w:ind w:left="340"/>
              <w:spacing w:after="0"/>
              <w:rPr>
                <w:sz w:val="20"/>
                <w:szCs w:val="20"/>
                <w:color w:val="auto"/>
              </w:rPr>
            </w:pPr>
            <w:r>
              <w:rPr>
                <w:rFonts w:ascii="Arial" w:cs="Arial" w:eastAsia="Arial" w:hAnsi="Arial"/>
                <w:sz w:val="18"/>
                <w:szCs w:val="18"/>
                <w:color w:val="auto"/>
              </w:rPr>
              <w:t>Company</w:t>
            </w:r>
          </w:p>
        </w:tc>
        <w:tc>
          <w:tcPr>
            <w:tcW w:w="580" w:type="dxa"/>
            <w:vAlign w:val="bottom"/>
            <w:vMerge w:val="continue"/>
          </w:tcPr>
          <w:p>
            <w:pPr>
              <w:spacing w:after="0"/>
              <w:rPr>
                <w:sz w:val="20"/>
                <w:szCs w:val="20"/>
                <w:color w:val="auto"/>
              </w:rPr>
            </w:pPr>
          </w:p>
        </w:tc>
        <w:tc>
          <w:tcPr>
            <w:tcW w:w="1380" w:type="dxa"/>
            <w:vAlign w:val="bottom"/>
            <w:vMerge w:val="continue"/>
          </w:tcPr>
          <w:p>
            <w:pPr>
              <w:spacing w:after="0"/>
              <w:rPr>
                <w:sz w:val="20"/>
                <w:szCs w:val="20"/>
                <w:color w:val="auto"/>
              </w:rPr>
            </w:pPr>
          </w:p>
        </w:tc>
        <w:tc>
          <w:tcPr>
            <w:tcW w:w="1300" w:type="dxa"/>
            <w:vAlign w:val="bottom"/>
            <w:vMerge w:val="continue"/>
          </w:tcPr>
          <w:p>
            <w:pPr>
              <w:spacing w:after="0"/>
              <w:rPr>
                <w:sz w:val="20"/>
                <w:szCs w:val="20"/>
                <w:color w:val="auto"/>
              </w:rPr>
            </w:pPr>
          </w:p>
        </w:tc>
        <w:tc>
          <w:tcPr>
            <w:tcW w:w="980" w:type="dxa"/>
            <w:vAlign w:val="bottom"/>
            <w:vMerge w:val="continue"/>
          </w:tcPr>
          <w:p>
            <w:pPr>
              <w:spacing w:after="0"/>
              <w:rPr>
                <w:sz w:val="20"/>
                <w:szCs w:val="20"/>
                <w:color w:val="auto"/>
              </w:rPr>
            </w:pPr>
          </w:p>
        </w:tc>
        <w:tc>
          <w:tcPr>
            <w:tcW w:w="720" w:type="dxa"/>
            <w:vAlign w:val="bottom"/>
          </w:tcPr>
          <w:p>
            <w:pPr>
              <w:spacing w:after="0"/>
              <w:rPr>
                <w:sz w:val="20"/>
                <w:szCs w:val="20"/>
                <w:color w:val="auto"/>
              </w:rPr>
            </w:pPr>
          </w:p>
        </w:tc>
        <w:tc>
          <w:tcPr>
            <w:tcW w:w="1860" w:type="dxa"/>
            <w:vAlign w:val="bottom"/>
            <w:gridSpan w:val="3"/>
            <w:vMerge w:val="continue"/>
          </w:tcPr>
          <w:p>
            <w:pPr>
              <w:spacing w:after="0"/>
              <w:rPr>
                <w:sz w:val="20"/>
                <w:szCs w:val="20"/>
                <w:color w:val="auto"/>
              </w:rPr>
            </w:pPr>
          </w:p>
        </w:tc>
        <w:tc>
          <w:tcPr>
            <w:tcW w:w="920" w:type="dxa"/>
            <w:vAlign w:val="bottom"/>
            <w:gridSpan w:val="2"/>
            <w:vMerge w:val="continue"/>
          </w:tcPr>
          <w:p>
            <w:pPr>
              <w:spacing w:after="0"/>
              <w:rPr>
                <w:sz w:val="20"/>
                <w:szCs w:val="20"/>
                <w:color w:val="auto"/>
              </w:rPr>
            </w:pPr>
          </w:p>
        </w:tc>
        <w:tc>
          <w:tcPr>
            <w:tcW w:w="94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8560" w:type="dxa"/>
            <w:vAlign w:val="bottom"/>
            <w:gridSpan w:val="8"/>
          </w:tcPr>
          <w:p>
            <w:pPr>
              <w:spacing w:after="0"/>
              <w:rPr>
                <w:sz w:val="20"/>
                <w:szCs w:val="20"/>
                <w:color w:val="auto"/>
              </w:rPr>
            </w:pPr>
            <w:r>
              <w:rPr>
                <w:rFonts w:ascii="Arial" w:cs="Arial" w:eastAsia="Arial" w:hAnsi="Arial"/>
                <w:sz w:val="18"/>
                <w:szCs w:val="18"/>
                <w:color w:val="auto"/>
                <w:w w:val="94"/>
              </w:rPr>
              <w:t>Indicate by check mark whether the registrant is a shell company (as defined in Rule 12b-2 of the Exchange Act).</w:t>
            </w:r>
          </w:p>
        </w:tc>
        <w:tc>
          <w:tcPr>
            <w:tcW w:w="2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73"/>
        </w:trPr>
        <w:tc>
          <w:tcPr>
            <w:tcW w:w="2740" w:type="dxa"/>
            <w:vAlign w:val="bottom"/>
            <w:gridSpan w:val="2"/>
          </w:tcPr>
          <w:p>
            <w:pPr>
              <w:spacing w:after="0"/>
              <w:rPr>
                <w:sz w:val="20"/>
                <w:szCs w:val="20"/>
                <w:color w:val="auto"/>
              </w:rPr>
            </w:pPr>
            <w:r>
              <w:rPr>
                <w:rFonts w:ascii="Arial" w:cs="Arial" w:eastAsia="Arial" w:hAnsi="Arial"/>
                <w:sz w:val="18"/>
                <w:szCs w:val="18"/>
                <w:color w:val="auto"/>
              </w:rPr>
              <w:t>Sempra Energy</w:t>
            </w:r>
          </w:p>
        </w:tc>
        <w:tc>
          <w:tcPr>
            <w:tcW w:w="5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580" w:type="dxa"/>
            <w:vAlign w:val="bottom"/>
            <w:gridSpan w:val="2"/>
          </w:tcPr>
          <w:p>
            <w:pPr>
              <w:ind w:left="360"/>
              <w:spacing w:after="0"/>
              <w:rPr>
                <w:sz w:val="20"/>
                <w:szCs w:val="20"/>
                <w:color w:val="auto"/>
              </w:rPr>
            </w:pPr>
            <w:r>
              <w:rPr>
                <w:rFonts w:ascii="Arial" w:cs="Arial" w:eastAsia="Arial" w:hAnsi="Arial"/>
                <w:sz w:val="18"/>
                <w:szCs w:val="18"/>
                <w:color w:val="auto"/>
              </w:rPr>
              <w:t>Yes</w:t>
            </w:r>
          </w:p>
        </w:tc>
        <w:tc>
          <w:tcPr>
            <w:tcW w:w="2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20" w:type="dxa"/>
            <w:vAlign w:val="bottom"/>
            <w:gridSpan w:val="2"/>
          </w:tcPr>
          <w:p>
            <w:pPr>
              <w:jc w:val="right"/>
              <w:ind w:right="370"/>
              <w:spacing w:after="0"/>
              <w:rPr>
                <w:sz w:val="20"/>
                <w:szCs w:val="20"/>
                <w:color w:val="auto"/>
              </w:rPr>
            </w:pPr>
            <w:r>
              <w:rPr>
                <w:rFonts w:ascii="Arial" w:cs="Arial" w:eastAsia="Arial" w:hAnsi="Arial"/>
                <w:sz w:val="18"/>
                <w:szCs w:val="18"/>
                <w:color w:val="auto"/>
              </w:rPr>
              <w:t>No</w:t>
            </w:r>
          </w:p>
        </w:tc>
        <w:tc>
          <w:tcPr>
            <w:tcW w:w="940" w:type="dxa"/>
            <w:vAlign w:val="bottom"/>
          </w:tcPr>
          <w:p>
            <w:pPr>
              <w:jc w:val="right"/>
              <w:ind w:right="550"/>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34"/>
        </w:trPr>
        <w:tc>
          <w:tcPr>
            <w:tcW w:w="2740" w:type="dxa"/>
            <w:vAlign w:val="bottom"/>
            <w:gridSpan w:val="2"/>
            <w:vMerge w:val="restart"/>
          </w:tcPr>
          <w:p>
            <w:pPr>
              <w:spacing w:after="0"/>
              <w:rPr>
                <w:sz w:val="20"/>
                <w:szCs w:val="20"/>
                <w:color w:val="auto"/>
              </w:rPr>
            </w:pPr>
            <w:r>
              <w:rPr>
                <w:rFonts w:ascii="Arial" w:cs="Arial" w:eastAsia="Arial" w:hAnsi="Arial"/>
                <w:sz w:val="18"/>
                <w:szCs w:val="18"/>
                <w:color w:val="auto"/>
                <w:w w:val="95"/>
              </w:rPr>
              <w:t>San Diego Gas &amp; Electric Company</w:t>
            </w:r>
          </w:p>
        </w:tc>
        <w:tc>
          <w:tcPr>
            <w:tcW w:w="5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72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20" w:type="dxa"/>
            <w:vAlign w:val="bottom"/>
          </w:tcPr>
          <w:p>
            <w:pPr>
              <w:spacing w:after="0"/>
              <w:rPr>
                <w:sz w:val="2"/>
                <w:szCs w:val="2"/>
                <w:color w:val="auto"/>
              </w:rPr>
            </w:pPr>
          </w:p>
        </w:tc>
        <w:tc>
          <w:tcPr>
            <w:tcW w:w="54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2740" w:type="dxa"/>
            <w:vAlign w:val="bottom"/>
            <w:gridSpan w:val="2"/>
            <w:vMerge w:val="continue"/>
          </w:tcPr>
          <w:p>
            <w:pPr>
              <w:spacing w:after="0"/>
              <w:rPr>
                <w:sz w:val="22"/>
                <w:szCs w:val="22"/>
                <w:color w:val="auto"/>
              </w:rPr>
            </w:pPr>
          </w:p>
        </w:tc>
        <w:tc>
          <w:tcPr>
            <w:tcW w:w="580" w:type="dxa"/>
            <w:vAlign w:val="bottom"/>
          </w:tcPr>
          <w:p>
            <w:pPr>
              <w:spacing w:after="0"/>
              <w:rPr>
                <w:sz w:val="22"/>
                <w:szCs w:val="22"/>
                <w:color w:val="auto"/>
              </w:rPr>
            </w:pPr>
          </w:p>
        </w:tc>
        <w:tc>
          <w:tcPr>
            <w:tcW w:w="138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580" w:type="dxa"/>
            <w:vAlign w:val="bottom"/>
            <w:gridSpan w:val="2"/>
          </w:tcPr>
          <w:p>
            <w:pPr>
              <w:ind w:left="360"/>
              <w:spacing w:after="0"/>
              <w:rPr>
                <w:sz w:val="20"/>
                <w:szCs w:val="20"/>
                <w:color w:val="auto"/>
              </w:rPr>
            </w:pPr>
            <w:r>
              <w:rPr>
                <w:rFonts w:ascii="Arial" w:cs="Arial" w:eastAsia="Arial" w:hAnsi="Arial"/>
                <w:sz w:val="18"/>
                <w:szCs w:val="18"/>
                <w:color w:val="auto"/>
              </w:rPr>
              <w:t>Yes</w:t>
            </w:r>
          </w:p>
        </w:tc>
        <w:tc>
          <w:tcPr>
            <w:tcW w:w="28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920" w:type="dxa"/>
            <w:vAlign w:val="bottom"/>
            <w:gridSpan w:val="2"/>
          </w:tcPr>
          <w:p>
            <w:pPr>
              <w:jc w:val="right"/>
              <w:ind w:right="370"/>
              <w:spacing w:after="0"/>
              <w:rPr>
                <w:sz w:val="20"/>
                <w:szCs w:val="20"/>
                <w:color w:val="auto"/>
              </w:rPr>
            </w:pPr>
            <w:r>
              <w:rPr>
                <w:rFonts w:ascii="Arial" w:cs="Arial" w:eastAsia="Arial" w:hAnsi="Arial"/>
                <w:sz w:val="18"/>
                <w:szCs w:val="18"/>
                <w:color w:val="auto"/>
              </w:rPr>
              <w:t>No</w:t>
            </w:r>
          </w:p>
        </w:tc>
        <w:tc>
          <w:tcPr>
            <w:tcW w:w="940" w:type="dxa"/>
            <w:vAlign w:val="bottom"/>
          </w:tcPr>
          <w:p>
            <w:pPr>
              <w:jc w:val="right"/>
              <w:ind w:right="550"/>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34"/>
        </w:trPr>
        <w:tc>
          <w:tcPr>
            <w:tcW w:w="2740" w:type="dxa"/>
            <w:vAlign w:val="bottom"/>
            <w:gridSpan w:val="2"/>
            <w:vMerge w:val="restart"/>
          </w:tcPr>
          <w:p>
            <w:pPr>
              <w:spacing w:after="0"/>
              <w:rPr>
                <w:sz w:val="20"/>
                <w:szCs w:val="20"/>
                <w:color w:val="auto"/>
              </w:rPr>
            </w:pPr>
            <w:r>
              <w:rPr>
                <w:rFonts w:ascii="Arial" w:cs="Arial" w:eastAsia="Arial" w:hAnsi="Arial"/>
                <w:sz w:val="18"/>
                <w:szCs w:val="18"/>
                <w:color w:val="auto"/>
                <w:w w:val="99"/>
              </w:rPr>
              <w:t>Southern California Gas Company</w:t>
            </w:r>
          </w:p>
        </w:tc>
        <w:tc>
          <w:tcPr>
            <w:tcW w:w="5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72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20" w:type="dxa"/>
            <w:vAlign w:val="bottom"/>
          </w:tcPr>
          <w:p>
            <w:pPr>
              <w:spacing w:after="0"/>
              <w:rPr>
                <w:sz w:val="2"/>
                <w:szCs w:val="2"/>
                <w:color w:val="auto"/>
              </w:rPr>
            </w:pPr>
          </w:p>
        </w:tc>
        <w:tc>
          <w:tcPr>
            <w:tcW w:w="54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2740" w:type="dxa"/>
            <w:vAlign w:val="bottom"/>
            <w:gridSpan w:val="2"/>
            <w:vMerge w:val="continue"/>
          </w:tcPr>
          <w:p>
            <w:pPr>
              <w:spacing w:after="0"/>
              <w:rPr>
                <w:sz w:val="22"/>
                <w:szCs w:val="22"/>
                <w:color w:val="auto"/>
              </w:rPr>
            </w:pPr>
          </w:p>
        </w:tc>
        <w:tc>
          <w:tcPr>
            <w:tcW w:w="580" w:type="dxa"/>
            <w:vAlign w:val="bottom"/>
          </w:tcPr>
          <w:p>
            <w:pPr>
              <w:spacing w:after="0"/>
              <w:rPr>
                <w:sz w:val="22"/>
                <w:szCs w:val="22"/>
                <w:color w:val="auto"/>
              </w:rPr>
            </w:pPr>
          </w:p>
        </w:tc>
        <w:tc>
          <w:tcPr>
            <w:tcW w:w="138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580" w:type="dxa"/>
            <w:vAlign w:val="bottom"/>
            <w:gridSpan w:val="2"/>
          </w:tcPr>
          <w:p>
            <w:pPr>
              <w:ind w:left="360"/>
              <w:spacing w:after="0"/>
              <w:rPr>
                <w:sz w:val="20"/>
                <w:szCs w:val="20"/>
                <w:color w:val="auto"/>
              </w:rPr>
            </w:pPr>
            <w:r>
              <w:rPr>
                <w:rFonts w:ascii="Arial" w:cs="Arial" w:eastAsia="Arial" w:hAnsi="Arial"/>
                <w:sz w:val="18"/>
                <w:szCs w:val="18"/>
                <w:color w:val="auto"/>
              </w:rPr>
              <w:t>Yes</w:t>
            </w:r>
          </w:p>
        </w:tc>
        <w:tc>
          <w:tcPr>
            <w:tcW w:w="28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920" w:type="dxa"/>
            <w:vAlign w:val="bottom"/>
            <w:gridSpan w:val="2"/>
          </w:tcPr>
          <w:p>
            <w:pPr>
              <w:jc w:val="right"/>
              <w:ind w:right="370"/>
              <w:spacing w:after="0"/>
              <w:rPr>
                <w:sz w:val="20"/>
                <w:szCs w:val="20"/>
                <w:color w:val="auto"/>
              </w:rPr>
            </w:pPr>
            <w:r>
              <w:rPr>
                <w:rFonts w:ascii="Arial" w:cs="Arial" w:eastAsia="Arial" w:hAnsi="Arial"/>
                <w:sz w:val="18"/>
                <w:szCs w:val="18"/>
                <w:color w:val="auto"/>
              </w:rPr>
              <w:t>No</w:t>
            </w:r>
          </w:p>
        </w:tc>
        <w:tc>
          <w:tcPr>
            <w:tcW w:w="940" w:type="dxa"/>
            <w:vAlign w:val="bottom"/>
          </w:tcPr>
          <w:p>
            <w:pPr>
              <w:jc w:val="right"/>
              <w:ind w:right="550"/>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34"/>
        </w:trPr>
        <w:tc>
          <w:tcPr>
            <w:tcW w:w="2460" w:type="dxa"/>
            <w:vAlign w:val="bottom"/>
          </w:tcPr>
          <w:p>
            <w:pPr>
              <w:spacing w:after="0"/>
              <w:rPr>
                <w:sz w:val="2"/>
                <w:szCs w:val="2"/>
                <w:color w:val="auto"/>
              </w:rPr>
            </w:pPr>
          </w:p>
        </w:tc>
        <w:tc>
          <w:tcPr>
            <w:tcW w:w="2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72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20" w:type="dxa"/>
            <w:vAlign w:val="bottom"/>
          </w:tcPr>
          <w:p>
            <w:pPr>
              <w:spacing w:after="0"/>
              <w:rPr>
                <w:sz w:val="2"/>
                <w:szCs w:val="2"/>
                <w:color w:val="auto"/>
              </w:rPr>
            </w:pPr>
          </w:p>
        </w:tc>
        <w:tc>
          <w:tcPr>
            <w:tcW w:w="54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Indicate the number of shares outstanding of each of the issuers' classes of common stock, as of the latest practicable date.</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Common stock outstanding on August 5, 2011:</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060" w:type="dxa"/>
            <w:vAlign w:val="bottom"/>
          </w:tcPr>
          <w:p>
            <w:pPr>
              <w:spacing w:after="0"/>
              <w:rPr>
                <w:sz w:val="20"/>
                <w:szCs w:val="20"/>
                <w:color w:val="auto"/>
              </w:rPr>
            </w:pPr>
            <w:r>
              <w:rPr>
                <w:rFonts w:ascii="Arial" w:cs="Arial" w:eastAsia="Arial" w:hAnsi="Arial"/>
                <w:sz w:val="18"/>
                <w:szCs w:val="18"/>
                <w:color w:val="auto"/>
              </w:rPr>
              <w:t>Sempra Energy</w:t>
            </w:r>
          </w:p>
        </w:tc>
        <w:tc>
          <w:tcPr>
            <w:tcW w:w="8360" w:type="dxa"/>
            <w:vAlign w:val="bottom"/>
          </w:tcPr>
          <w:p>
            <w:pPr>
              <w:ind w:left="420"/>
              <w:spacing w:after="0"/>
              <w:rPr>
                <w:sz w:val="20"/>
                <w:szCs w:val="20"/>
                <w:color w:val="auto"/>
              </w:rPr>
            </w:pPr>
            <w:r>
              <w:rPr>
                <w:rFonts w:ascii="Arial" w:cs="Arial" w:eastAsia="Arial" w:hAnsi="Arial"/>
                <w:sz w:val="18"/>
                <w:szCs w:val="18"/>
                <w:color w:val="auto"/>
              </w:rPr>
              <w:t>239,552,287 shares</w:t>
            </w:r>
          </w:p>
        </w:tc>
      </w:tr>
      <w:tr>
        <w:trPr>
          <w:trHeight w:val="230"/>
        </w:trPr>
        <w:tc>
          <w:tcPr>
            <w:tcW w:w="3060" w:type="dxa"/>
            <w:vAlign w:val="bottom"/>
          </w:tcPr>
          <w:p>
            <w:pPr>
              <w:spacing w:after="0"/>
              <w:rPr>
                <w:sz w:val="20"/>
                <w:szCs w:val="20"/>
                <w:color w:val="auto"/>
              </w:rPr>
            </w:pPr>
            <w:r>
              <w:rPr>
                <w:rFonts w:ascii="Arial" w:cs="Arial" w:eastAsia="Arial" w:hAnsi="Arial"/>
                <w:sz w:val="18"/>
                <w:szCs w:val="18"/>
                <w:color w:val="auto"/>
              </w:rPr>
              <w:t>San Diego Gas &amp; Electric Company</w:t>
            </w:r>
          </w:p>
        </w:tc>
        <w:tc>
          <w:tcPr>
            <w:tcW w:w="8360" w:type="dxa"/>
            <w:vAlign w:val="bottom"/>
          </w:tcPr>
          <w:p>
            <w:pPr>
              <w:ind w:left="420"/>
              <w:spacing w:after="0"/>
              <w:rPr>
                <w:sz w:val="20"/>
                <w:szCs w:val="20"/>
                <w:color w:val="auto"/>
              </w:rPr>
            </w:pPr>
            <w:r>
              <w:rPr>
                <w:rFonts w:ascii="Arial" w:cs="Arial" w:eastAsia="Arial" w:hAnsi="Arial"/>
                <w:sz w:val="18"/>
                <w:szCs w:val="18"/>
                <w:color w:val="auto"/>
              </w:rPr>
              <w:t>Wholly owned by Enova Corporation, which is wholly owned by Sempra Energy</w:t>
            </w:r>
          </w:p>
        </w:tc>
      </w:tr>
      <w:tr>
        <w:trPr>
          <w:trHeight w:val="230"/>
        </w:trPr>
        <w:tc>
          <w:tcPr>
            <w:tcW w:w="3060" w:type="dxa"/>
            <w:vAlign w:val="bottom"/>
          </w:tcPr>
          <w:p>
            <w:pPr>
              <w:spacing w:after="0"/>
              <w:rPr>
                <w:sz w:val="20"/>
                <w:szCs w:val="20"/>
                <w:color w:val="auto"/>
              </w:rPr>
            </w:pPr>
            <w:r>
              <w:rPr>
                <w:rFonts w:ascii="Arial" w:cs="Arial" w:eastAsia="Arial" w:hAnsi="Arial"/>
                <w:sz w:val="18"/>
                <w:szCs w:val="18"/>
                <w:color w:val="auto"/>
              </w:rPr>
              <w:t>Southern California Gas Company</w:t>
            </w:r>
          </w:p>
        </w:tc>
        <w:tc>
          <w:tcPr>
            <w:tcW w:w="8360" w:type="dxa"/>
            <w:vAlign w:val="bottom"/>
          </w:tcPr>
          <w:p>
            <w:pPr>
              <w:ind w:left="420"/>
              <w:spacing w:after="0"/>
              <w:rPr>
                <w:sz w:val="20"/>
                <w:szCs w:val="20"/>
                <w:color w:val="auto"/>
              </w:rPr>
            </w:pPr>
            <w:r>
              <w:rPr>
                <w:rFonts w:ascii="Arial" w:cs="Arial" w:eastAsia="Arial" w:hAnsi="Arial"/>
                <w:sz w:val="18"/>
                <w:szCs w:val="18"/>
                <w:color w:val="auto"/>
              </w:rPr>
              <w:t>Wholly owned by Pacific Enterprises, which is wholly owned by Sempra Energy</w:t>
            </w:r>
          </w:p>
        </w:tc>
      </w:tr>
      <w:tr>
        <w:trPr>
          <w:trHeight w:val="466"/>
        </w:trPr>
        <w:tc>
          <w:tcPr>
            <w:tcW w:w="3060" w:type="dxa"/>
            <w:vAlign w:val="bottom"/>
            <w:tcBorders>
              <w:bottom w:val="single" w:sz="8" w:color="auto"/>
            </w:tcBorders>
          </w:tcPr>
          <w:p>
            <w:pPr>
              <w:spacing w:after="0"/>
              <w:rPr>
                <w:sz w:val="24"/>
                <w:szCs w:val="24"/>
                <w:color w:val="auto"/>
              </w:rPr>
            </w:pPr>
          </w:p>
        </w:tc>
        <w:tc>
          <w:tcPr>
            <w:tcW w:w="836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962" w:right="239" w:bottom="1440" w:gutter="0" w:footer="0" w:header="0"/>
        </w:sectPr>
      </w:pPr>
    </w:p>
    <w:bookmarkStart w:id="3" w:name="page4"/>
    <w:bookmarkEnd w:id="3"/>
    <w:p>
      <w:pPr>
        <w:spacing w:after="0"/>
        <w:rPr>
          <w:sz w:val="20"/>
          <w:szCs w:val="20"/>
          <w:color w:val="auto"/>
        </w:rPr>
      </w:pPr>
      <w:r>
        <w:rPr>
          <w:rFonts w:ascii="Arial" w:cs="Arial" w:eastAsia="Arial" w:hAnsi="Arial"/>
          <w:sz w:val="25"/>
          <w:szCs w:val="25"/>
          <w:color w:val="auto"/>
        </w:rPr>
        <w:t>SEMPRA ENERGY FORM 10-Q</w:t>
      </w:r>
    </w:p>
    <w:p>
      <w:pPr>
        <w:spacing w:after="0" w:line="236" w:lineRule="auto"/>
        <w:rPr>
          <w:sz w:val="20"/>
          <w:szCs w:val="20"/>
          <w:color w:val="auto"/>
        </w:rPr>
      </w:pPr>
      <w:r>
        <w:rPr>
          <w:rFonts w:ascii="Arial" w:cs="Arial" w:eastAsia="Arial" w:hAnsi="Arial"/>
          <w:sz w:val="25"/>
          <w:szCs w:val="25"/>
          <w:color w:val="auto"/>
        </w:rPr>
        <w:t>SAN DIEGO GAS &amp; ELECTRIC COMPANY FORM 10-Q</w:t>
      </w:r>
    </w:p>
    <w:p>
      <w:pPr>
        <w:spacing w:after="0" w:line="237" w:lineRule="auto"/>
        <w:rPr>
          <w:sz w:val="20"/>
          <w:szCs w:val="20"/>
          <w:color w:val="auto"/>
        </w:rPr>
      </w:pPr>
      <w:r>
        <w:rPr>
          <w:rFonts w:ascii="Arial" w:cs="Arial" w:eastAsia="Arial" w:hAnsi="Arial"/>
          <w:sz w:val="25"/>
          <w:szCs w:val="25"/>
          <w:color w:val="auto"/>
        </w:rPr>
        <w:t>SOUTHERN CALIFORNIA GAS COMPANY FORM 10-Q</w:t>
      </w:r>
    </w:p>
    <w:p>
      <w:pPr>
        <w:spacing w:after="0" w:line="237" w:lineRule="auto"/>
        <w:rPr>
          <w:sz w:val="20"/>
          <w:szCs w:val="20"/>
          <w:color w:val="auto"/>
        </w:rPr>
      </w:pPr>
      <w:r>
        <w:rPr>
          <w:rFonts w:ascii="Arial" w:cs="Arial" w:eastAsia="Arial" w:hAnsi="Arial"/>
          <w:sz w:val="25"/>
          <w:szCs w:val="25"/>
          <w:color w:val="auto"/>
        </w:rPr>
        <w:t>TABLE OF CONTENTS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9660" w:type="dxa"/>
            <w:vAlign w:val="bottom"/>
            <w:gridSpan w:val="3"/>
            <w:vMerge w:val="restart"/>
          </w:tcPr>
          <w:p>
            <w:pPr>
              <w:spacing w:after="0"/>
              <w:rPr>
                <w:sz w:val="20"/>
                <w:szCs w:val="20"/>
                <w:color w:val="auto"/>
              </w:rPr>
            </w:pPr>
            <w:r>
              <w:rPr>
                <w:rFonts w:ascii="Arial" w:cs="Arial" w:eastAsia="Arial" w:hAnsi="Arial"/>
                <w:sz w:val="16"/>
                <w:szCs w:val="16"/>
                <w:b w:val="1"/>
                <w:bCs w:val="1"/>
                <w:color w:val="auto"/>
              </w:rPr>
              <w:t>Information Regarding Forward-Looking Statements</w:t>
            </w:r>
          </w:p>
        </w:tc>
        <w:tc>
          <w:tcPr>
            <w:tcW w:w="1760" w:type="dxa"/>
            <w:vAlign w:val="bottom"/>
            <w:tcBorders>
              <w:bottom w:val="single" w:sz="8" w:color="auto"/>
            </w:tcBorders>
          </w:tcPr>
          <w:p>
            <w:pPr>
              <w:ind w:left="700"/>
              <w:spacing w:after="0"/>
              <w:rPr>
                <w:sz w:val="20"/>
                <w:szCs w:val="20"/>
                <w:color w:val="auto"/>
              </w:rPr>
            </w:pPr>
            <w:r>
              <w:rPr>
                <w:rFonts w:ascii="Arial" w:cs="Arial" w:eastAsia="Arial" w:hAnsi="Arial"/>
                <w:sz w:val="16"/>
                <w:szCs w:val="16"/>
                <w:i w:val="1"/>
                <w:iCs w:val="1"/>
                <w:color w:val="auto"/>
              </w:rPr>
              <w:t>Page</w:t>
            </w:r>
          </w:p>
        </w:tc>
        <w:tc>
          <w:tcPr>
            <w:tcW w:w="0" w:type="dxa"/>
            <w:vAlign w:val="bottom"/>
          </w:tcPr>
          <w:p>
            <w:pPr>
              <w:spacing w:after="0"/>
              <w:rPr>
                <w:sz w:val="1"/>
                <w:szCs w:val="1"/>
                <w:color w:val="auto"/>
              </w:rPr>
            </w:pPr>
          </w:p>
        </w:tc>
      </w:tr>
      <w:tr>
        <w:trPr>
          <w:trHeight w:val="195"/>
        </w:trPr>
        <w:tc>
          <w:tcPr>
            <w:tcW w:w="9660" w:type="dxa"/>
            <w:vAlign w:val="bottom"/>
            <w:gridSpan w:val="3"/>
            <w:vMerge w:val="continue"/>
          </w:tcPr>
          <w:p>
            <w:pPr>
              <w:spacing w:after="0"/>
              <w:rPr>
                <w:sz w:val="16"/>
                <w:szCs w:val="16"/>
                <w:color w:val="auto"/>
              </w:rPr>
            </w:pPr>
          </w:p>
        </w:tc>
        <w:tc>
          <w:tcPr>
            <w:tcW w:w="1760" w:type="dxa"/>
            <w:vAlign w:val="bottom"/>
          </w:tcPr>
          <w:p>
            <w:pPr>
              <w:jc w:val="center"/>
              <w:spacing w:after="0"/>
              <w:rPr>
                <w:sz w:val="20"/>
                <w:szCs w:val="20"/>
                <w:color w:val="auto"/>
              </w:rPr>
            </w:pPr>
            <w:r>
              <w:rPr>
                <w:rFonts w:ascii="Arial" w:cs="Arial" w:eastAsia="Arial" w:hAnsi="Arial"/>
                <w:sz w:val="16"/>
                <w:szCs w:val="16"/>
                <w:color w:val="auto"/>
                <w:w w:val="89"/>
              </w:rPr>
              <w:t>4</w:t>
            </w:r>
          </w:p>
        </w:tc>
        <w:tc>
          <w:tcPr>
            <w:tcW w:w="0" w:type="dxa"/>
            <w:vAlign w:val="bottom"/>
          </w:tcPr>
          <w:p>
            <w:pPr>
              <w:spacing w:after="0"/>
              <w:rPr>
                <w:sz w:val="1"/>
                <w:szCs w:val="1"/>
                <w:color w:val="auto"/>
              </w:rPr>
            </w:pPr>
          </w:p>
        </w:tc>
      </w:tr>
      <w:tr>
        <w:trPr>
          <w:trHeight w:val="204"/>
        </w:trPr>
        <w:tc>
          <w:tcPr>
            <w:tcW w:w="20" w:type="dxa"/>
            <w:vAlign w:val="bottom"/>
            <w:vMerge w:val="restart"/>
          </w:tcPr>
          <w:p>
            <w:pPr>
              <w:spacing w:after="0"/>
              <w:rPr>
                <w:sz w:val="17"/>
                <w:szCs w:val="17"/>
                <w:color w:val="auto"/>
              </w:rPr>
            </w:pPr>
          </w:p>
        </w:tc>
        <w:tc>
          <w:tcPr>
            <w:tcW w:w="9640" w:type="dxa"/>
            <w:vAlign w:val="bottom"/>
            <w:tcBorders>
              <w:bottom w:val="single" w:sz="8" w:color="auto"/>
            </w:tcBorders>
            <w:gridSpan w:val="2"/>
          </w:tcPr>
          <w:p>
            <w:pPr>
              <w:spacing w:after="0"/>
              <w:rPr>
                <w:sz w:val="17"/>
                <w:szCs w:val="17"/>
                <w:color w:val="auto"/>
              </w:rPr>
            </w:pPr>
          </w:p>
        </w:tc>
        <w:tc>
          <w:tcPr>
            <w:tcW w:w="17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vMerge w:val="continue"/>
          </w:tcPr>
          <w:p>
            <w:pPr>
              <w:spacing w:after="0"/>
              <w:rPr>
                <w:sz w:val="17"/>
                <w:szCs w:val="17"/>
                <w:color w:val="auto"/>
              </w:rPr>
            </w:pPr>
          </w:p>
        </w:tc>
        <w:tc>
          <w:tcPr>
            <w:tcW w:w="9640" w:type="dxa"/>
            <w:vAlign w:val="bottom"/>
            <w:gridSpan w:val="2"/>
          </w:tcPr>
          <w:p>
            <w:pPr>
              <w:spacing w:after="0"/>
              <w:rPr>
                <w:sz w:val="20"/>
                <w:szCs w:val="20"/>
                <w:color w:val="auto"/>
              </w:rPr>
            </w:pPr>
            <w:r>
              <w:rPr>
                <w:rFonts w:ascii="Arial" w:cs="Arial" w:eastAsia="Arial" w:hAnsi="Arial"/>
                <w:sz w:val="16"/>
                <w:szCs w:val="16"/>
                <w:b w:val="1"/>
                <w:bCs w:val="1"/>
                <w:color w:val="auto"/>
              </w:rPr>
              <w:t>PART I – FINANCIAL INFORMATION</w:t>
            </w:r>
          </w:p>
        </w:tc>
        <w:tc>
          <w:tcPr>
            <w:tcW w:w="1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1420" w:type="dxa"/>
            <w:vAlign w:val="bottom"/>
            <w:gridSpan w:val="2"/>
          </w:tcPr>
          <w:p>
            <w:pPr>
              <w:spacing w:after="0" w:line="176" w:lineRule="exact"/>
              <w:rPr>
                <w:sz w:val="20"/>
                <w:szCs w:val="20"/>
                <w:color w:val="auto"/>
              </w:rPr>
            </w:pPr>
            <w:r>
              <w:rPr>
                <w:rFonts w:ascii="Arial" w:cs="Arial" w:eastAsia="Arial" w:hAnsi="Arial"/>
                <w:sz w:val="16"/>
                <w:szCs w:val="16"/>
                <w:color w:val="auto"/>
              </w:rPr>
              <w:t>Item 1.</w:t>
            </w:r>
          </w:p>
        </w:tc>
        <w:tc>
          <w:tcPr>
            <w:tcW w:w="8240" w:type="dxa"/>
            <w:vAlign w:val="bottom"/>
          </w:tcPr>
          <w:p>
            <w:pPr>
              <w:ind w:left="620"/>
              <w:spacing w:after="0" w:line="176" w:lineRule="exact"/>
              <w:rPr>
                <w:sz w:val="20"/>
                <w:szCs w:val="20"/>
                <w:color w:val="auto"/>
              </w:rPr>
            </w:pPr>
            <w:r>
              <w:rPr>
                <w:rFonts w:ascii="Arial" w:cs="Arial" w:eastAsia="Arial" w:hAnsi="Arial"/>
                <w:sz w:val="16"/>
                <w:szCs w:val="16"/>
                <w:color w:val="auto"/>
              </w:rPr>
              <w:t>Financial Statements</w:t>
            </w:r>
          </w:p>
        </w:tc>
        <w:tc>
          <w:tcPr>
            <w:tcW w:w="1760" w:type="dxa"/>
            <w:vAlign w:val="bottom"/>
          </w:tcPr>
          <w:p>
            <w:pPr>
              <w:jc w:val="center"/>
              <w:spacing w:after="0" w:line="176" w:lineRule="exact"/>
              <w:rPr>
                <w:sz w:val="20"/>
                <w:szCs w:val="20"/>
                <w:color w:val="auto"/>
              </w:rPr>
            </w:pPr>
            <w:r>
              <w:rPr>
                <w:rFonts w:ascii="Arial" w:cs="Arial" w:eastAsia="Arial" w:hAnsi="Arial"/>
                <w:sz w:val="16"/>
                <w:szCs w:val="16"/>
                <w:color w:val="auto"/>
                <w:w w:val="89"/>
              </w:rPr>
              <w:t>5</w:t>
            </w:r>
          </w:p>
        </w:tc>
        <w:tc>
          <w:tcPr>
            <w:tcW w:w="0" w:type="dxa"/>
            <w:vAlign w:val="bottom"/>
          </w:tcPr>
          <w:p>
            <w:pPr>
              <w:spacing w:after="0"/>
              <w:rPr>
                <w:sz w:val="1"/>
                <w:szCs w:val="1"/>
                <w:color w:val="auto"/>
              </w:rPr>
            </w:pPr>
          </w:p>
        </w:tc>
      </w:tr>
      <w:tr>
        <w:trPr>
          <w:trHeight w:val="176"/>
        </w:trPr>
        <w:tc>
          <w:tcPr>
            <w:tcW w:w="1420" w:type="dxa"/>
            <w:vAlign w:val="bottom"/>
            <w:gridSpan w:val="2"/>
          </w:tcPr>
          <w:p>
            <w:pPr>
              <w:spacing w:after="0" w:line="176" w:lineRule="exact"/>
              <w:rPr>
                <w:sz w:val="20"/>
                <w:szCs w:val="20"/>
                <w:color w:val="auto"/>
              </w:rPr>
            </w:pPr>
            <w:r>
              <w:rPr>
                <w:rFonts w:ascii="Arial" w:cs="Arial" w:eastAsia="Arial" w:hAnsi="Arial"/>
                <w:sz w:val="16"/>
                <w:szCs w:val="16"/>
                <w:color w:val="auto"/>
              </w:rPr>
              <w:t>Item 2.</w:t>
            </w:r>
          </w:p>
        </w:tc>
        <w:tc>
          <w:tcPr>
            <w:tcW w:w="8240" w:type="dxa"/>
            <w:vAlign w:val="bottom"/>
          </w:tcPr>
          <w:p>
            <w:pPr>
              <w:ind w:left="620"/>
              <w:spacing w:after="0" w:line="176" w:lineRule="exact"/>
              <w:rPr>
                <w:sz w:val="20"/>
                <w:szCs w:val="20"/>
                <w:color w:val="auto"/>
              </w:rPr>
            </w:pPr>
            <w:r>
              <w:rPr>
                <w:rFonts w:ascii="Arial" w:cs="Arial" w:eastAsia="Arial" w:hAnsi="Arial"/>
                <w:sz w:val="16"/>
                <w:szCs w:val="16"/>
                <w:color w:val="auto"/>
              </w:rPr>
              <w:t>Management’s Discussion and Analysis of Financial Condition and Results of Operations</w:t>
            </w:r>
          </w:p>
        </w:tc>
        <w:tc>
          <w:tcPr>
            <w:tcW w:w="1760" w:type="dxa"/>
            <w:vAlign w:val="bottom"/>
          </w:tcPr>
          <w:p>
            <w:pPr>
              <w:jc w:val="center"/>
              <w:spacing w:after="0" w:line="176" w:lineRule="exact"/>
              <w:rPr>
                <w:sz w:val="20"/>
                <w:szCs w:val="20"/>
                <w:color w:val="auto"/>
              </w:rPr>
            </w:pPr>
            <w:r>
              <w:rPr>
                <w:rFonts w:ascii="Arial" w:cs="Arial" w:eastAsia="Arial" w:hAnsi="Arial"/>
                <w:sz w:val="16"/>
                <w:szCs w:val="16"/>
                <w:color w:val="auto"/>
              </w:rPr>
              <w:t>64</w:t>
            </w:r>
          </w:p>
        </w:tc>
        <w:tc>
          <w:tcPr>
            <w:tcW w:w="0" w:type="dxa"/>
            <w:vAlign w:val="bottom"/>
          </w:tcPr>
          <w:p>
            <w:pPr>
              <w:spacing w:after="0"/>
              <w:rPr>
                <w:sz w:val="1"/>
                <w:szCs w:val="1"/>
                <w:color w:val="auto"/>
              </w:rPr>
            </w:pPr>
          </w:p>
        </w:tc>
      </w:tr>
      <w:tr>
        <w:trPr>
          <w:trHeight w:val="176"/>
        </w:trPr>
        <w:tc>
          <w:tcPr>
            <w:tcW w:w="1420" w:type="dxa"/>
            <w:vAlign w:val="bottom"/>
            <w:gridSpan w:val="2"/>
          </w:tcPr>
          <w:p>
            <w:pPr>
              <w:spacing w:after="0" w:line="176" w:lineRule="exact"/>
              <w:rPr>
                <w:sz w:val="20"/>
                <w:szCs w:val="20"/>
                <w:color w:val="auto"/>
              </w:rPr>
            </w:pPr>
            <w:r>
              <w:rPr>
                <w:rFonts w:ascii="Arial" w:cs="Arial" w:eastAsia="Arial" w:hAnsi="Arial"/>
                <w:sz w:val="16"/>
                <w:szCs w:val="16"/>
                <w:color w:val="auto"/>
              </w:rPr>
              <w:t>Item 3.</w:t>
            </w:r>
          </w:p>
        </w:tc>
        <w:tc>
          <w:tcPr>
            <w:tcW w:w="8240" w:type="dxa"/>
            <w:vAlign w:val="bottom"/>
          </w:tcPr>
          <w:p>
            <w:pPr>
              <w:ind w:left="620"/>
              <w:spacing w:after="0" w:line="176" w:lineRule="exact"/>
              <w:rPr>
                <w:sz w:val="20"/>
                <w:szCs w:val="20"/>
                <w:color w:val="auto"/>
              </w:rPr>
            </w:pPr>
            <w:r>
              <w:rPr>
                <w:rFonts w:ascii="Arial" w:cs="Arial" w:eastAsia="Arial" w:hAnsi="Arial"/>
                <w:sz w:val="16"/>
                <w:szCs w:val="16"/>
                <w:color w:val="auto"/>
              </w:rPr>
              <w:t>Quantitative and Qualitative Disclosures About Market Risk</w:t>
            </w:r>
          </w:p>
        </w:tc>
        <w:tc>
          <w:tcPr>
            <w:tcW w:w="1760" w:type="dxa"/>
            <w:vAlign w:val="bottom"/>
          </w:tcPr>
          <w:p>
            <w:pPr>
              <w:jc w:val="center"/>
              <w:spacing w:after="0" w:line="176" w:lineRule="exact"/>
              <w:rPr>
                <w:sz w:val="20"/>
                <w:szCs w:val="20"/>
                <w:color w:val="auto"/>
              </w:rPr>
            </w:pPr>
            <w:r>
              <w:rPr>
                <w:rFonts w:ascii="Arial" w:cs="Arial" w:eastAsia="Arial" w:hAnsi="Arial"/>
                <w:sz w:val="16"/>
                <w:szCs w:val="16"/>
                <w:color w:val="auto"/>
              </w:rPr>
              <w:t>93</w:t>
            </w:r>
          </w:p>
        </w:tc>
        <w:tc>
          <w:tcPr>
            <w:tcW w:w="0" w:type="dxa"/>
            <w:vAlign w:val="bottom"/>
          </w:tcPr>
          <w:p>
            <w:pPr>
              <w:spacing w:after="0"/>
              <w:rPr>
                <w:sz w:val="1"/>
                <w:szCs w:val="1"/>
                <w:color w:val="auto"/>
              </w:rPr>
            </w:pPr>
          </w:p>
        </w:tc>
      </w:tr>
      <w:tr>
        <w:trPr>
          <w:trHeight w:val="195"/>
        </w:trPr>
        <w:tc>
          <w:tcPr>
            <w:tcW w:w="1420" w:type="dxa"/>
            <w:vAlign w:val="bottom"/>
            <w:gridSpan w:val="2"/>
          </w:tcPr>
          <w:p>
            <w:pPr>
              <w:spacing w:after="0"/>
              <w:rPr>
                <w:sz w:val="20"/>
                <w:szCs w:val="20"/>
                <w:color w:val="auto"/>
              </w:rPr>
            </w:pPr>
            <w:r>
              <w:rPr>
                <w:rFonts w:ascii="Arial" w:cs="Arial" w:eastAsia="Arial" w:hAnsi="Arial"/>
                <w:sz w:val="16"/>
                <w:szCs w:val="16"/>
                <w:color w:val="auto"/>
              </w:rPr>
              <w:t>Item 4.</w:t>
            </w:r>
          </w:p>
        </w:tc>
        <w:tc>
          <w:tcPr>
            <w:tcW w:w="8240" w:type="dxa"/>
            <w:vAlign w:val="bottom"/>
          </w:tcPr>
          <w:p>
            <w:pPr>
              <w:ind w:left="620"/>
              <w:spacing w:after="0"/>
              <w:rPr>
                <w:sz w:val="20"/>
                <w:szCs w:val="20"/>
                <w:color w:val="auto"/>
              </w:rPr>
            </w:pPr>
            <w:r>
              <w:rPr>
                <w:rFonts w:ascii="Arial" w:cs="Arial" w:eastAsia="Arial" w:hAnsi="Arial"/>
                <w:sz w:val="16"/>
                <w:szCs w:val="16"/>
                <w:color w:val="auto"/>
              </w:rPr>
              <w:t>Controls and Procedures</w:t>
            </w:r>
          </w:p>
        </w:tc>
        <w:tc>
          <w:tcPr>
            <w:tcW w:w="1760" w:type="dxa"/>
            <w:vAlign w:val="bottom"/>
          </w:tcPr>
          <w:p>
            <w:pPr>
              <w:jc w:val="center"/>
              <w:spacing w:after="0"/>
              <w:rPr>
                <w:sz w:val="20"/>
                <w:szCs w:val="20"/>
                <w:color w:val="auto"/>
              </w:rPr>
            </w:pPr>
            <w:r>
              <w:rPr>
                <w:rFonts w:ascii="Arial" w:cs="Arial" w:eastAsia="Arial" w:hAnsi="Arial"/>
                <w:sz w:val="16"/>
                <w:szCs w:val="16"/>
                <w:color w:val="auto"/>
              </w:rPr>
              <w:t>94</w:t>
            </w:r>
          </w:p>
        </w:tc>
        <w:tc>
          <w:tcPr>
            <w:tcW w:w="0" w:type="dxa"/>
            <w:vAlign w:val="bottom"/>
          </w:tcPr>
          <w:p>
            <w:pPr>
              <w:spacing w:after="0"/>
              <w:rPr>
                <w:sz w:val="1"/>
                <w:szCs w:val="1"/>
                <w:color w:val="auto"/>
              </w:rPr>
            </w:pPr>
          </w:p>
        </w:tc>
      </w:tr>
      <w:tr>
        <w:trPr>
          <w:trHeight w:val="216"/>
        </w:trPr>
        <w:tc>
          <w:tcPr>
            <w:tcW w:w="9660" w:type="dxa"/>
            <w:vAlign w:val="bottom"/>
            <w:tcBorders>
              <w:bottom w:val="single" w:sz="8" w:color="auto"/>
            </w:tcBorders>
            <w:gridSpan w:val="3"/>
          </w:tcPr>
          <w:p>
            <w:pPr>
              <w:spacing w:after="0"/>
              <w:rPr>
                <w:sz w:val="18"/>
                <w:szCs w:val="18"/>
                <w:color w:val="auto"/>
              </w:rPr>
            </w:pPr>
          </w:p>
        </w:tc>
        <w:tc>
          <w:tcPr>
            <w:tcW w:w="17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9660" w:type="dxa"/>
            <w:vAlign w:val="bottom"/>
            <w:gridSpan w:val="3"/>
          </w:tcPr>
          <w:p>
            <w:pPr>
              <w:spacing w:after="0"/>
              <w:rPr>
                <w:sz w:val="20"/>
                <w:szCs w:val="20"/>
                <w:color w:val="auto"/>
              </w:rPr>
            </w:pPr>
            <w:r>
              <w:rPr>
                <w:rFonts w:ascii="Arial" w:cs="Arial" w:eastAsia="Arial" w:hAnsi="Arial"/>
                <w:sz w:val="16"/>
                <w:szCs w:val="16"/>
                <w:b w:val="1"/>
                <w:bCs w:val="1"/>
                <w:color w:val="auto"/>
              </w:rPr>
              <w:t>PART II – OTHER INFORMATION</w:t>
            </w:r>
          </w:p>
        </w:tc>
        <w:tc>
          <w:tcPr>
            <w:tcW w:w="1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1420" w:type="dxa"/>
            <w:vAlign w:val="bottom"/>
            <w:gridSpan w:val="2"/>
          </w:tcPr>
          <w:p>
            <w:pPr>
              <w:spacing w:after="0" w:line="176" w:lineRule="exact"/>
              <w:rPr>
                <w:sz w:val="20"/>
                <w:szCs w:val="20"/>
                <w:color w:val="auto"/>
              </w:rPr>
            </w:pPr>
            <w:r>
              <w:rPr>
                <w:rFonts w:ascii="Arial" w:cs="Arial" w:eastAsia="Arial" w:hAnsi="Arial"/>
                <w:sz w:val="16"/>
                <w:szCs w:val="16"/>
                <w:color w:val="auto"/>
              </w:rPr>
              <w:t>Item 1.</w:t>
            </w:r>
          </w:p>
        </w:tc>
        <w:tc>
          <w:tcPr>
            <w:tcW w:w="8240" w:type="dxa"/>
            <w:vAlign w:val="bottom"/>
          </w:tcPr>
          <w:p>
            <w:pPr>
              <w:ind w:left="620"/>
              <w:spacing w:after="0" w:line="176" w:lineRule="exact"/>
              <w:rPr>
                <w:sz w:val="20"/>
                <w:szCs w:val="20"/>
                <w:color w:val="auto"/>
              </w:rPr>
            </w:pPr>
            <w:r>
              <w:rPr>
                <w:rFonts w:ascii="Arial" w:cs="Arial" w:eastAsia="Arial" w:hAnsi="Arial"/>
                <w:sz w:val="16"/>
                <w:szCs w:val="16"/>
                <w:color w:val="auto"/>
              </w:rPr>
              <w:t>Legal Proceedings</w:t>
            </w:r>
          </w:p>
        </w:tc>
        <w:tc>
          <w:tcPr>
            <w:tcW w:w="1760" w:type="dxa"/>
            <w:vAlign w:val="bottom"/>
          </w:tcPr>
          <w:p>
            <w:pPr>
              <w:jc w:val="center"/>
              <w:spacing w:after="0" w:line="176" w:lineRule="exact"/>
              <w:rPr>
                <w:sz w:val="20"/>
                <w:szCs w:val="20"/>
                <w:color w:val="auto"/>
              </w:rPr>
            </w:pPr>
            <w:r>
              <w:rPr>
                <w:rFonts w:ascii="Arial" w:cs="Arial" w:eastAsia="Arial" w:hAnsi="Arial"/>
                <w:sz w:val="16"/>
                <w:szCs w:val="16"/>
                <w:color w:val="auto"/>
              </w:rPr>
              <w:t>95</w:t>
            </w:r>
          </w:p>
        </w:tc>
        <w:tc>
          <w:tcPr>
            <w:tcW w:w="0" w:type="dxa"/>
            <w:vAlign w:val="bottom"/>
          </w:tcPr>
          <w:p>
            <w:pPr>
              <w:spacing w:after="0"/>
              <w:rPr>
                <w:sz w:val="1"/>
                <w:szCs w:val="1"/>
                <w:color w:val="auto"/>
              </w:rPr>
            </w:pPr>
          </w:p>
        </w:tc>
      </w:tr>
      <w:tr>
        <w:trPr>
          <w:trHeight w:val="176"/>
        </w:trPr>
        <w:tc>
          <w:tcPr>
            <w:tcW w:w="1420" w:type="dxa"/>
            <w:vAlign w:val="bottom"/>
            <w:gridSpan w:val="2"/>
          </w:tcPr>
          <w:p>
            <w:pPr>
              <w:spacing w:after="0" w:line="176" w:lineRule="exact"/>
              <w:rPr>
                <w:sz w:val="20"/>
                <w:szCs w:val="20"/>
                <w:color w:val="auto"/>
              </w:rPr>
            </w:pPr>
            <w:r>
              <w:rPr>
                <w:rFonts w:ascii="Arial" w:cs="Arial" w:eastAsia="Arial" w:hAnsi="Arial"/>
                <w:sz w:val="16"/>
                <w:szCs w:val="16"/>
                <w:color w:val="auto"/>
              </w:rPr>
              <w:t>Item 1A.</w:t>
            </w:r>
          </w:p>
        </w:tc>
        <w:tc>
          <w:tcPr>
            <w:tcW w:w="8240" w:type="dxa"/>
            <w:vAlign w:val="bottom"/>
          </w:tcPr>
          <w:p>
            <w:pPr>
              <w:ind w:left="620"/>
              <w:spacing w:after="0" w:line="176" w:lineRule="exact"/>
              <w:rPr>
                <w:sz w:val="20"/>
                <w:szCs w:val="20"/>
                <w:color w:val="auto"/>
              </w:rPr>
            </w:pPr>
            <w:r>
              <w:rPr>
                <w:rFonts w:ascii="Arial" w:cs="Arial" w:eastAsia="Arial" w:hAnsi="Arial"/>
                <w:sz w:val="16"/>
                <w:szCs w:val="16"/>
                <w:color w:val="auto"/>
              </w:rPr>
              <w:t>Risk Factors</w:t>
            </w:r>
          </w:p>
        </w:tc>
        <w:tc>
          <w:tcPr>
            <w:tcW w:w="1760" w:type="dxa"/>
            <w:vAlign w:val="bottom"/>
          </w:tcPr>
          <w:p>
            <w:pPr>
              <w:jc w:val="center"/>
              <w:spacing w:after="0" w:line="176" w:lineRule="exact"/>
              <w:rPr>
                <w:sz w:val="20"/>
                <w:szCs w:val="20"/>
                <w:color w:val="auto"/>
              </w:rPr>
            </w:pPr>
            <w:r>
              <w:rPr>
                <w:rFonts w:ascii="Arial" w:cs="Arial" w:eastAsia="Arial" w:hAnsi="Arial"/>
                <w:sz w:val="16"/>
                <w:szCs w:val="16"/>
                <w:color w:val="auto"/>
              </w:rPr>
              <w:t>95</w:t>
            </w:r>
          </w:p>
        </w:tc>
        <w:tc>
          <w:tcPr>
            <w:tcW w:w="0" w:type="dxa"/>
            <w:vAlign w:val="bottom"/>
          </w:tcPr>
          <w:p>
            <w:pPr>
              <w:spacing w:after="0"/>
              <w:rPr>
                <w:sz w:val="1"/>
                <w:szCs w:val="1"/>
                <w:color w:val="auto"/>
              </w:rPr>
            </w:pPr>
          </w:p>
        </w:tc>
      </w:tr>
      <w:tr>
        <w:trPr>
          <w:trHeight w:val="195"/>
        </w:trPr>
        <w:tc>
          <w:tcPr>
            <w:tcW w:w="1420" w:type="dxa"/>
            <w:vAlign w:val="bottom"/>
            <w:gridSpan w:val="2"/>
          </w:tcPr>
          <w:p>
            <w:pPr>
              <w:spacing w:after="0"/>
              <w:rPr>
                <w:sz w:val="20"/>
                <w:szCs w:val="20"/>
                <w:color w:val="auto"/>
              </w:rPr>
            </w:pPr>
            <w:r>
              <w:rPr>
                <w:rFonts w:ascii="Arial" w:cs="Arial" w:eastAsia="Arial" w:hAnsi="Arial"/>
                <w:sz w:val="16"/>
                <w:szCs w:val="16"/>
                <w:color w:val="auto"/>
              </w:rPr>
              <w:t>Item 6.</w:t>
            </w:r>
          </w:p>
        </w:tc>
        <w:tc>
          <w:tcPr>
            <w:tcW w:w="8240" w:type="dxa"/>
            <w:vAlign w:val="bottom"/>
          </w:tcPr>
          <w:p>
            <w:pPr>
              <w:ind w:left="620"/>
              <w:spacing w:after="0"/>
              <w:rPr>
                <w:sz w:val="20"/>
                <w:szCs w:val="20"/>
                <w:color w:val="auto"/>
              </w:rPr>
            </w:pPr>
            <w:r>
              <w:rPr>
                <w:rFonts w:ascii="Arial" w:cs="Arial" w:eastAsia="Arial" w:hAnsi="Arial"/>
                <w:sz w:val="16"/>
                <w:szCs w:val="16"/>
                <w:color w:val="auto"/>
              </w:rPr>
              <w:t>Exhibits</w:t>
            </w:r>
          </w:p>
        </w:tc>
        <w:tc>
          <w:tcPr>
            <w:tcW w:w="1760" w:type="dxa"/>
            <w:vAlign w:val="bottom"/>
          </w:tcPr>
          <w:p>
            <w:pPr>
              <w:jc w:val="center"/>
              <w:spacing w:after="0"/>
              <w:rPr>
                <w:sz w:val="20"/>
                <w:szCs w:val="20"/>
                <w:color w:val="auto"/>
              </w:rPr>
            </w:pPr>
            <w:r>
              <w:rPr>
                <w:rFonts w:ascii="Arial" w:cs="Arial" w:eastAsia="Arial" w:hAnsi="Arial"/>
                <w:sz w:val="16"/>
                <w:szCs w:val="16"/>
                <w:color w:val="auto"/>
              </w:rPr>
              <w:t>95</w:t>
            </w:r>
          </w:p>
        </w:tc>
        <w:tc>
          <w:tcPr>
            <w:tcW w:w="0" w:type="dxa"/>
            <w:vAlign w:val="bottom"/>
          </w:tcPr>
          <w:p>
            <w:pPr>
              <w:spacing w:after="0"/>
              <w:rPr>
                <w:sz w:val="1"/>
                <w:szCs w:val="1"/>
                <w:color w:val="auto"/>
              </w:rPr>
            </w:pPr>
          </w:p>
        </w:tc>
      </w:tr>
      <w:tr>
        <w:trPr>
          <w:trHeight w:val="392"/>
        </w:trPr>
        <w:tc>
          <w:tcPr>
            <w:tcW w:w="1420" w:type="dxa"/>
            <w:vAlign w:val="bottom"/>
            <w:gridSpan w:val="2"/>
          </w:tcPr>
          <w:p>
            <w:pPr>
              <w:spacing w:after="0"/>
              <w:rPr>
                <w:sz w:val="20"/>
                <w:szCs w:val="20"/>
                <w:color w:val="auto"/>
              </w:rPr>
            </w:pPr>
            <w:r>
              <w:rPr>
                <w:rFonts w:ascii="Arial" w:cs="Arial" w:eastAsia="Arial" w:hAnsi="Arial"/>
                <w:sz w:val="16"/>
                <w:szCs w:val="16"/>
                <w:color w:val="auto"/>
              </w:rPr>
              <w:t>Signatures</w:t>
            </w:r>
          </w:p>
        </w:tc>
        <w:tc>
          <w:tcPr>
            <w:tcW w:w="8240" w:type="dxa"/>
            <w:vAlign w:val="bottom"/>
          </w:tcPr>
          <w:p>
            <w:pPr>
              <w:spacing w:after="0"/>
              <w:rPr>
                <w:sz w:val="24"/>
                <w:szCs w:val="24"/>
                <w:color w:val="auto"/>
              </w:rPr>
            </w:pPr>
          </w:p>
        </w:tc>
        <w:tc>
          <w:tcPr>
            <w:tcW w:w="1760" w:type="dxa"/>
            <w:vAlign w:val="bottom"/>
          </w:tcPr>
          <w:p>
            <w:pPr>
              <w:jc w:val="center"/>
              <w:spacing w:after="0"/>
              <w:rPr>
                <w:sz w:val="20"/>
                <w:szCs w:val="20"/>
                <w:color w:val="auto"/>
              </w:rPr>
            </w:pPr>
            <w:r>
              <w:rPr>
                <w:rFonts w:ascii="Arial" w:cs="Arial" w:eastAsia="Arial" w:hAnsi="Arial"/>
                <w:sz w:val="16"/>
                <w:szCs w:val="16"/>
                <w:color w:val="auto"/>
              </w:rPr>
              <w:t>98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269875</wp:posOffset>
            </wp:positionV>
            <wp:extent cx="72466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500" w:right="420"/>
        <w:spacing w:after="0" w:line="260" w:lineRule="auto"/>
        <w:rPr>
          <w:sz w:val="20"/>
          <w:szCs w:val="20"/>
          <w:color w:val="auto"/>
        </w:rPr>
      </w:pPr>
      <w:r>
        <w:rPr>
          <w:rFonts w:ascii="Arial" w:cs="Arial" w:eastAsia="Arial" w:hAnsi="Arial"/>
          <w:sz w:val="14"/>
          <w:szCs w:val="14"/>
          <w:b w:val="1"/>
          <w:bCs w:val="1"/>
          <w:color w:val="auto"/>
        </w:rPr>
        <w:t>This combined Form 10-Q is separately filed by Sempra Energy, San Diego Gas &amp; Electric Company and Southern California Gas Company. Information contained herein relating to any individual company is filed by such company on its own behalf. Each company makes representations only as to itself and makes no other representation whatsoever as to any other company.</w:t>
      </w:r>
    </w:p>
    <w:p>
      <w:pPr>
        <w:spacing w:after="0" w:line="125" w:lineRule="exact"/>
        <w:rPr>
          <w:sz w:val="20"/>
          <w:szCs w:val="20"/>
          <w:color w:val="auto"/>
        </w:rPr>
      </w:pPr>
    </w:p>
    <w:p>
      <w:pPr>
        <w:jc w:val="both"/>
        <w:ind w:left="500" w:right="240"/>
        <w:spacing w:after="0" w:line="289" w:lineRule="auto"/>
        <w:rPr>
          <w:sz w:val="20"/>
          <w:szCs w:val="20"/>
          <w:color w:val="auto"/>
        </w:rPr>
      </w:pPr>
      <w:r>
        <w:rPr>
          <w:rFonts w:ascii="Arial" w:cs="Arial" w:eastAsia="Arial" w:hAnsi="Arial"/>
          <w:sz w:val="13"/>
          <w:szCs w:val="13"/>
          <w:b w:val="1"/>
          <w:bCs w:val="1"/>
          <w:color w:val="auto"/>
        </w:rPr>
        <w:t>You should read this report in its entirety as it pertains to each respective reporting company. No one section of the report deals with all aspects of the subject matter. Separate Part I - Item 1 sections are provided for each reporting company, except for the Notes to Condensed Consolidated Financial Statements. The Notes to Condensed Consolidated Financial Statements for all of the reporting companies are combined. All Items other than Part I – Item 1 are combined for the reporting companies.</w:t>
      </w:r>
    </w:p>
    <w:p>
      <w:pPr>
        <w:sectPr>
          <w:pgSz w:w="11900" w:h="16838" w:orient="portrait"/>
          <w:cols w:equalWidth="0" w:num="1">
            <w:col w:w="11420"/>
          </w:cols>
          <w:pgMar w:left="240" w:top="529" w:right="239" w:bottom="1440" w:gutter="0" w:footer="0" w:header="0"/>
        </w:sectPr>
      </w:pPr>
    </w:p>
    <w:bookmarkStart w:id="4" w:name="page5"/>
    <w:bookmarkEnd w:id="4"/>
    <w:p>
      <w:pPr>
        <w:spacing w:after="0"/>
        <w:rPr>
          <w:sz w:val="20"/>
          <w:szCs w:val="20"/>
          <w:color w:val="auto"/>
        </w:rPr>
      </w:pPr>
      <w:r>
        <w:rPr>
          <w:rFonts w:ascii="Arial" w:cs="Arial" w:eastAsia="Arial" w:hAnsi="Arial"/>
          <w:sz w:val="20"/>
          <w:szCs w:val="20"/>
          <w:color w:val="auto"/>
        </w:rPr>
        <w:drawing>
          <wp:anchor simplePos="0" relativeHeight="251657728" behindDoc="1" locked="0" layoutInCell="0" allowOverlap="1">
            <wp:simplePos x="0" y="0"/>
            <wp:positionH relativeFrom="page">
              <wp:posOffset>157480</wp:posOffset>
            </wp:positionH>
            <wp:positionV relativeFrom="page">
              <wp:posOffset>406400</wp:posOffset>
            </wp:positionV>
            <wp:extent cx="726376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3765" cy="8890"/>
                    </a:xfrm>
                    <a:prstGeom prst="rect">
                      <a:avLst/>
                    </a:prstGeom>
                    <a:noFill/>
                  </pic:spPr>
                </pic:pic>
              </a:graphicData>
            </a:graphic>
          </wp:anchor>
        </w:drawing>
        <w:t>INFORMATION REGARDING FORWARD-LOOKING STATEMENTS</w:t>
      </w:r>
    </w:p>
    <w:p>
      <w:pPr>
        <w:spacing w:after="0" w:line="191" w:lineRule="exact"/>
        <w:rPr>
          <w:sz w:val="20"/>
          <w:szCs w:val="20"/>
          <w:color w:val="auto"/>
        </w:rPr>
      </w:pPr>
    </w:p>
    <w:p>
      <w:pPr>
        <w:ind w:right="40"/>
        <w:spacing w:after="0" w:line="312" w:lineRule="auto"/>
        <w:rPr>
          <w:sz w:val="20"/>
          <w:szCs w:val="20"/>
          <w:color w:val="auto"/>
        </w:rPr>
      </w:pPr>
      <w:r>
        <w:rPr>
          <w:rFonts w:ascii="Arial" w:cs="Arial" w:eastAsia="Arial" w:hAnsi="Arial"/>
          <w:sz w:val="16"/>
          <w:szCs w:val="16"/>
          <w:color w:val="auto"/>
        </w:rPr>
        <w:t>We make statements in this report that are not historical fact and constitute forward-looking statements within the meaning of the Private Securities Litigation Reform Act of 1995. Forward-looking statements are necessarily based upon assumptions with respect to the future, involve risks and uncertainties, and are not guarantees of performance. These forward-looking statements represent our estimates and assumptions only as of the date of this report.</w:t>
      </w:r>
    </w:p>
    <w:p>
      <w:pPr>
        <w:spacing w:after="0" w:line="147" w:lineRule="exact"/>
        <w:rPr>
          <w:sz w:val="20"/>
          <w:szCs w:val="20"/>
          <w:color w:val="auto"/>
        </w:rPr>
      </w:pPr>
    </w:p>
    <w:p>
      <w:pPr>
        <w:ind w:right="240"/>
        <w:spacing w:after="0" w:line="264" w:lineRule="auto"/>
        <w:rPr>
          <w:sz w:val="20"/>
          <w:szCs w:val="20"/>
          <w:color w:val="auto"/>
        </w:rPr>
      </w:pPr>
      <w:r>
        <w:rPr>
          <w:rFonts w:ascii="Arial" w:cs="Arial" w:eastAsia="Arial" w:hAnsi="Arial"/>
          <w:sz w:val="18"/>
          <w:szCs w:val="18"/>
          <w:color w:val="auto"/>
        </w:rPr>
        <w:t>In this report, when we use words such as "believes," "expects," "anticipates," "plans," "estimates," "projects," "contemplates," "intends," "depends," "should," "could," "would," "will," "may," "potential," "target," "goals," or similar expressions, or when we discuss our strategy, plans or intentions, we are making forward-looking statements.</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color w:val="auto"/>
        </w:rPr>
        <w:t>Factors, among others, that could cause our actual results and future actions to differ materially from those described in forward-looking statements include</w:t>
      </w:r>
    </w:p>
    <w:p>
      <w:pPr>
        <w:spacing w:after="0" w:line="248" w:lineRule="exact"/>
        <w:rPr>
          <w:sz w:val="20"/>
          <w:szCs w:val="20"/>
          <w:color w:val="auto"/>
        </w:rPr>
      </w:pPr>
    </w:p>
    <w:p>
      <w:pPr>
        <w:ind w:left="340" w:hanging="188"/>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local, regional, national and international economic, competitive, political, legislative and regulatory conditions and developments;</w:t>
      </w:r>
    </w:p>
    <w:p>
      <w:pPr>
        <w:spacing w:after="0" w:line="252" w:lineRule="exact"/>
        <w:rPr>
          <w:rFonts w:ascii="Arial" w:cs="Arial" w:eastAsia="Arial" w:hAnsi="Arial"/>
          <w:sz w:val="18"/>
          <w:szCs w:val="18"/>
          <w:color w:val="auto"/>
        </w:rPr>
      </w:pPr>
    </w:p>
    <w:p>
      <w:pPr>
        <w:jc w:val="both"/>
        <w:ind w:left="340" w:hanging="188"/>
        <w:spacing w:after="0" w:line="264" w:lineRule="auto"/>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actions by the California Public Utilities Commission, California State Legislature, Federal Energy Regulatory Commission, Nuclear Regulatory Commission, California Energy Commission, California Air Resources Board, and other regulatory, governmental and environmental bodies in the United States and other countries in which we operate;</w:t>
      </w:r>
    </w:p>
    <w:p>
      <w:pPr>
        <w:spacing w:after="0" w:line="208" w:lineRule="exact"/>
        <w:rPr>
          <w:rFonts w:ascii="Arial" w:cs="Arial" w:eastAsia="Arial" w:hAnsi="Arial"/>
          <w:sz w:val="18"/>
          <w:szCs w:val="18"/>
          <w:color w:val="auto"/>
        </w:rPr>
      </w:pPr>
    </w:p>
    <w:p>
      <w:pPr>
        <w:ind w:left="340" w:hanging="188"/>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capital markets conditions and inflation, interest and exchange rates;</w:t>
      </w:r>
    </w:p>
    <w:p>
      <w:pPr>
        <w:spacing w:after="0" w:line="252" w:lineRule="exact"/>
        <w:rPr>
          <w:rFonts w:ascii="Arial" w:cs="Arial" w:eastAsia="Arial" w:hAnsi="Arial"/>
          <w:sz w:val="18"/>
          <w:szCs w:val="18"/>
          <w:color w:val="auto"/>
        </w:rPr>
      </w:pPr>
    </w:p>
    <w:p>
      <w:pPr>
        <w:ind w:left="340" w:hanging="188"/>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energy markets, including the timing and extent of changes and volatility in commodity prices;</w:t>
      </w:r>
    </w:p>
    <w:p>
      <w:pPr>
        <w:spacing w:after="0" w:line="252" w:lineRule="exact"/>
        <w:rPr>
          <w:rFonts w:ascii="Arial" w:cs="Arial" w:eastAsia="Arial" w:hAnsi="Arial"/>
          <w:sz w:val="18"/>
          <w:szCs w:val="18"/>
          <w:color w:val="auto"/>
        </w:rPr>
      </w:pPr>
    </w:p>
    <w:p>
      <w:pPr>
        <w:ind w:left="340" w:hanging="188"/>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availability of electric power, natural gas and liquefied natural gas;</w:t>
      </w:r>
    </w:p>
    <w:p>
      <w:pPr>
        <w:spacing w:after="0" w:line="252" w:lineRule="exact"/>
        <w:rPr>
          <w:rFonts w:ascii="Arial" w:cs="Arial" w:eastAsia="Arial" w:hAnsi="Arial"/>
          <w:sz w:val="18"/>
          <w:szCs w:val="18"/>
          <w:color w:val="auto"/>
        </w:rPr>
      </w:pPr>
    </w:p>
    <w:p>
      <w:pPr>
        <w:ind w:left="340" w:hanging="188"/>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weather conditions and conservation efforts;</w:t>
      </w:r>
    </w:p>
    <w:p>
      <w:pPr>
        <w:spacing w:after="0" w:line="252" w:lineRule="exact"/>
        <w:rPr>
          <w:rFonts w:ascii="Arial" w:cs="Arial" w:eastAsia="Arial" w:hAnsi="Arial"/>
          <w:sz w:val="18"/>
          <w:szCs w:val="18"/>
          <w:color w:val="auto"/>
        </w:rPr>
      </w:pPr>
    </w:p>
    <w:p>
      <w:pPr>
        <w:ind w:left="340" w:hanging="188"/>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war and terrorist attacks;</w:t>
      </w:r>
    </w:p>
    <w:p>
      <w:pPr>
        <w:spacing w:after="0" w:line="252" w:lineRule="exact"/>
        <w:rPr>
          <w:rFonts w:ascii="Arial" w:cs="Arial" w:eastAsia="Arial" w:hAnsi="Arial"/>
          <w:sz w:val="18"/>
          <w:szCs w:val="18"/>
          <w:color w:val="auto"/>
        </w:rPr>
      </w:pPr>
    </w:p>
    <w:p>
      <w:pPr>
        <w:ind w:left="340" w:hanging="188"/>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business, regulatory, environmental and legal decisions and requirements;</w:t>
      </w:r>
    </w:p>
    <w:p>
      <w:pPr>
        <w:spacing w:after="0" w:line="252" w:lineRule="exact"/>
        <w:rPr>
          <w:rFonts w:ascii="Arial" w:cs="Arial" w:eastAsia="Arial" w:hAnsi="Arial"/>
          <w:sz w:val="18"/>
          <w:szCs w:val="18"/>
          <w:color w:val="auto"/>
        </w:rPr>
      </w:pPr>
    </w:p>
    <w:p>
      <w:pPr>
        <w:ind w:left="340" w:hanging="188"/>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status of deregulation of retail natural gas and electricity delivery;</w:t>
      </w:r>
    </w:p>
    <w:p>
      <w:pPr>
        <w:spacing w:after="0" w:line="252" w:lineRule="exact"/>
        <w:rPr>
          <w:rFonts w:ascii="Arial" w:cs="Arial" w:eastAsia="Arial" w:hAnsi="Arial"/>
          <w:sz w:val="18"/>
          <w:szCs w:val="18"/>
          <w:color w:val="auto"/>
        </w:rPr>
      </w:pPr>
    </w:p>
    <w:p>
      <w:pPr>
        <w:ind w:left="340" w:hanging="188"/>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timing and success of business development efforts;</w:t>
      </w:r>
    </w:p>
    <w:p>
      <w:pPr>
        <w:spacing w:after="0" w:line="252" w:lineRule="exact"/>
        <w:rPr>
          <w:rFonts w:ascii="Arial" w:cs="Arial" w:eastAsia="Arial" w:hAnsi="Arial"/>
          <w:sz w:val="18"/>
          <w:szCs w:val="18"/>
          <w:color w:val="auto"/>
        </w:rPr>
      </w:pPr>
    </w:p>
    <w:p>
      <w:pPr>
        <w:ind w:left="340" w:hanging="188"/>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resolution of litigation; and</w:t>
      </w:r>
    </w:p>
    <w:p>
      <w:pPr>
        <w:spacing w:after="0" w:line="252" w:lineRule="exact"/>
        <w:rPr>
          <w:rFonts w:ascii="Arial" w:cs="Arial" w:eastAsia="Arial" w:hAnsi="Arial"/>
          <w:sz w:val="18"/>
          <w:szCs w:val="18"/>
          <w:color w:val="auto"/>
        </w:rPr>
      </w:pPr>
    </w:p>
    <w:p>
      <w:pPr>
        <w:ind w:left="340" w:hanging="188"/>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other uncertainties, all of which are difficult to predict and many of which are beyond our control.</w:t>
      </w:r>
    </w:p>
    <w:p>
      <w:pPr>
        <w:spacing w:after="0" w:line="252"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We caution you not to rely unduly on any forward-looking statements. You should review and consider carefully the risks, uncertainties and other factors that affect our business as described in this report and in our Annual Report on Form 10-K and other reports that we file with the Securities and Exchange Commission.</w:t>
      </w:r>
    </w:p>
    <w:p>
      <w:pPr>
        <w:sectPr>
          <w:pgSz w:w="11900" w:h="16838" w:orient="portrait"/>
          <w:cols w:equalWidth="0" w:num="1">
            <w:col w:w="11420"/>
          </w:cols>
          <w:pgMar w:left="240" w:top="973" w:right="239" w:bottom="1440" w:gutter="0" w:footer="0" w:header="0"/>
        </w:sectPr>
      </w:pPr>
    </w:p>
    <w:bookmarkStart w:id="5" w:name="page6"/>
    <w:bookmarkEnd w:id="5"/>
    <w:p>
      <w:pPr>
        <w:spacing w:after="0" w:line="264" w:lineRule="auto"/>
        <w:rPr>
          <w:sz w:val="20"/>
          <w:szCs w:val="20"/>
          <w:color w:val="auto"/>
        </w:rPr>
      </w:pPr>
    </w:p>
    <w:p>
      <w:pPr>
        <w:sectPr>
          <w:pgSz w:w="11900" w:h="16838" w:orient="portrait"/>
          <w:cols w:equalWidth="1" w:num="1" w:space="0"/>
          <w:pgMar w:left="1440" w:top="1440" w:right="1440" w:bottom="875" w:gutter="0" w:footer="0" w:header="0"/>
        </w:sectPr>
      </w:pPr>
    </w:p>
    <w:bookmarkStart w:id="6" w:name="page7"/>
    <w:bookmarkEnd w:id="6"/>
    <w:p>
      <w:pPr>
        <w:spacing w:after="0"/>
        <w:rPr>
          <w:sz w:val="20"/>
          <w:szCs w:val="20"/>
          <w:color w:val="auto"/>
        </w:rPr>
      </w:pPr>
      <w:r>
        <w:rPr>
          <w:rFonts w:ascii="Arial" w:cs="Arial" w:eastAsia="Arial" w:hAnsi="Arial"/>
          <w:sz w:val="23"/>
          <w:szCs w:val="23"/>
          <w:color w:val="auto"/>
        </w:rPr>
        <w:t>PART I – FINANCIAL INFORMATION</w:t>
      </w:r>
    </w:p>
    <w:p>
      <w:pPr>
        <w:spacing w:after="0" w:line="249" w:lineRule="exact"/>
        <w:rPr>
          <w:sz w:val="20"/>
          <w:szCs w:val="20"/>
          <w:color w:val="auto"/>
        </w:rPr>
      </w:pPr>
    </w:p>
    <w:p>
      <w:pPr>
        <w:spacing w:after="0"/>
        <w:rPr>
          <w:sz w:val="20"/>
          <w:szCs w:val="20"/>
          <w:color w:val="auto"/>
        </w:rPr>
      </w:pPr>
      <w:r>
        <w:rPr>
          <w:rFonts w:ascii="Arial" w:cs="Arial" w:eastAsia="Arial" w:hAnsi="Arial"/>
          <w:sz w:val="23"/>
          <w:szCs w:val="23"/>
          <w:color w:val="auto"/>
        </w:rPr>
        <w:t>ITEM 1. FINANCIAL STATEMENTS</w:t>
      </w: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SEMPRA ENERGY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-104775</wp:posOffset>
            </wp:positionV>
            <wp:extent cx="7246620" cy="3346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334645"/>
                    </a:xfrm>
                    <a:prstGeom prst="rect">
                      <a:avLst/>
                    </a:prstGeom>
                    <a:noFill/>
                  </pic:spPr>
                </pic:pic>
              </a:graphicData>
            </a:graphic>
          </wp:anchor>
        </w:drawing>
      </w:r>
    </w:p>
    <w:p>
      <w:pPr>
        <w:spacing w:after="0"/>
        <w:rPr>
          <w:sz w:val="20"/>
          <w:szCs w:val="20"/>
          <w:color w:val="auto"/>
        </w:rPr>
      </w:pPr>
      <w:r>
        <w:rPr>
          <w:rFonts w:ascii="Arial" w:cs="Arial" w:eastAsia="Arial" w:hAnsi="Arial"/>
          <w:sz w:val="16"/>
          <w:szCs w:val="16"/>
          <w:b w:val="1"/>
          <w:bCs w:val="1"/>
          <w:color w:val="auto"/>
        </w:rPr>
        <w:t>CONDENSED CONSOLIDATED STATEMENTS OF OPERATIONS</w:t>
      </w:r>
    </w:p>
    <w:p>
      <w:pPr>
        <w:spacing w:after="0" w:line="8"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(Dollars in millions, except per share amounts)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618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400" w:type="dxa"/>
            <w:vAlign w:val="bottom"/>
            <w:tcBorders>
              <w:bottom w:val="single" w:sz="8" w:color="auto"/>
            </w:tcBorders>
            <w:gridSpan w:val="3"/>
          </w:tcPr>
          <w:p>
            <w:pPr>
              <w:jc w:val="right"/>
              <w:ind w:right="300"/>
              <w:spacing w:after="0"/>
              <w:rPr>
                <w:sz w:val="20"/>
                <w:szCs w:val="20"/>
                <w:color w:val="auto"/>
              </w:rPr>
            </w:pPr>
            <w:r>
              <w:rPr>
                <w:rFonts w:ascii="Arial" w:cs="Arial" w:eastAsia="Arial" w:hAnsi="Arial"/>
                <w:sz w:val="14"/>
                <w:szCs w:val="14"/>
                <w:color w:val="auto"/>
              </w:rPr>
              <w:t>Three months ended June 30,</w:t>
            </w:r>
          </w:p>
        </w:tc>
        <w:tc>
          <w:tcPr>
            <w:tcW w:w="380" w:type="dxa"/>
            <w:vAlign w:val="bottom"/>
            <w:tcBorders>
              <w:bottom w:val="single" w:sz="8" w:color="auto"/>
            </w:tcBorders>
          </w:tcPr>
          <w:p>
            <w:pPr>
              <w:spacing w:after="0"/>
              <w:rPr>
                <w:sz w:val="14"/>
                <w:szCs w:val="14"/>
                <w:color w:val="auto"/>
              </w:rPr>
            </w:pPr>
          </w:p>
        </w:tc>
        <w:tc>
          <w:tcPr>
            <w:tcW w:w="2220" w:type="dxa"/>
            <w:vAlign w:val="bottom"/>
            <w:tcBorders>
              <w:bottom w:val="single" w:sz="8" w:color="auto"/>
            </w:tcBorders>
            <w:gridSpan w:val="3"/>
          </w:tcPr>
          <w:p>
            <w:pPr>
              <w:ind w:left="20"/>
              <w:spacing w:after="0"/>
              <w:rPr>
                <w:sz w:val="20"/>
                <w:szCs w:val="20"/>
                <w:color w:val="auto"/>
              </w:rPr>
            </w:pPr>
            <w:r>
              <w:rPr>
                <w:rFonts w:ascii="Arial" w:cs="Arial" w:eastAsia="Arial" w:hAnsi="Arial"/>
                <w:sz w:val="14"/>
                <w:szCs w:val="14"/>
                <w:color w:val="auto"/>
              </w:rPr>
              <w:t>Six months ended June 30,</w:t>
            </w:r>
          </w:p>
        </w:tc>
        <w:tc>
          <w:tcPr>
            <w:tcW w:w="0" w:type="dxa"/>
            <w:vAlign w:val="bottom"/>
          </w:tcPr>
          <w:p>
            <w:pPr>
              <w:spacing w:after="0"/>
              <w:rPr>
                <w:sz w:val="1"/>
                <w:szCs w:val="1"/>
                <w:color w:val="auto"/>
              </w:rPr>
            </w:pPr>
          </w:p>
        </w:tc>
      </w:tr>
      <w:tr>
        <w:trPr>
          <w:trHeight w:val="183"/>
        </w:trPr>
        <w:tc>
          <w:tcPr>
            <w:tcW w:w="618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420"/>
              <w:spacing w:after="0"/>
              <w:rPr>
                <w:sz w:val="20"/>
                <w:szCs w:val="20"/>
                <w:color w:val="auto"/>
              </w:rPr>
            </w:pPr>
            <w:r>
              <w:rPr>
                <w:rFonts w:ascii="Arial" w:cs="Arial" w:eastAsia="Arial" w:hAnsi="Arial"/>
                <w:sz w:val="14"/>
                <w:szCs w:val="14"/>
                <w:color w:val="auto"/>
              </w:rPr>
              <w:t>2011</w:t>
            </w:r>
          </w:p>
        </w:tc>
        <w:tc>
          <w:tcPr>
            <w:tcW w:w="30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500"/>
              <w:spacing w:after="0"/>
              <w:rPr>
                <w:sz w:val="20"/>
                <w:szCs w:val="20"/>
                <w:color w:val="auto"/>
              </w:rPr>
            </w:pPr>
            <w:r>
              <w:rPr>
                <w:rFonts w:ascii="Arial" w:cs="Arial" w:eastAsia="Arial" w:hAnsi="Arial"/>
                <w:sz w:val="14"/>
                <w:szCs w:val="14"/>
                <w:color w:val="auto"/>
              </w:rPr>
              <w:t>2010</w:t>
            </w:r>
          </w:p>
        </w:tc>
        <w:tc>
          <w:tcPr>
            <w:tcW w:w="38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2011</w:t>
            </w:r>
          </w:p>
        </w:tc>
        <w:tc>
          <w:tcPr>
            <w:tcW w:w="30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479"/>
              <w:spacing w:after="0"/>
              <w:rPr>
                <w:sz w:val="20"/>
                <w:szCs w:val="20"/>
                <w:color w:val="auto"/>
              </w:rPr>
            </w:pPr>
            <w:r>
              <w:rPr>
                <w:rFonts w:ascii="Arial" w:cs="Arial" w:eastAsia="Arial" w:hAnsi="Arial"/>
                <w:sz w:val="14"/>
                <w:szCs w:val="14"/>
                <w:color w:val="auto"/>
              </w:rPr>
              <w:t>2010</w:t>
            </w:r>
          </w:p>
        </w:tc>
        <w:tc>
          <w:tcPr>
            <w:tcW w:w="0" w:type="dxa"/>
            <w:vAlign w:val="bottom"/>
          </w:tcPr>
          <w:p>
            <w:pPr>
              <w:spacing w:after="0"/>
              <w:rPr>
                <w:sz w:val="1"/>
                <w:szCs w:val="1"/>
                <w:color w:val="auto"/>
              </w:rPr>
            </w:pPr>
          </w:p>
        </w:tc>
      </w:tr>
      <w:tr>
        <w:trPr>
          <w:trHeight w:val="191"/>
        </w:trPr>
        <w:tc>
          <w:tcPr>
            <w:tcW w:w="6180" w:type="dxa"/>
            <w:vAlign w:val="bottom"/>
            <w:vMerge w:val="restart"/>
          </w:tcPr>
          <w:p>
            <w:pPr>
              <w:spacing w:after="0"/>
              <w:rPr>
                <w:sz w:val="20"/>
                <w:szCs w:val="20"/>
                <w:color w:val="auto"/>
              </w:rPr>
            </w:pPr>
            <w:r>
              <w:rPr>
                <w:rFonts w:ascii="Arial" w:cs="Arial" w:eastAsia="Arial" w:hAnsi="Arial"/>
                <w:sz w:val="16"/>
                <w:szCs w:val="16"/>
                <w:color w:val="auto"/>
              </w:rPr>
              <w:t>REVENUES</w:t>
            </w:r>
          </w:p>
        </w:tc>
        <w:tc>
          <w:tcPr>
            <w:tcW w:w="2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60" w:type="dxa"/>
            <w:vAlign w:val="bottom"/>
            <w:gridSpan w:val="2"/>
          </w:tcPr>
          <w:p>
            <w:pPr>
              <w:jc w:val="right"/>
              <w:spacing w:after="0"/>
              <w:rPr>
                <w:sz w:val="20"/>
                <w:szCs w:val="20"/>
                <w:color w:val="auto"/>
              </w:rPr>
            </w:pPr>
            <w:r>
              <w:rPr>
                <w:rFonts w:ascii="Arial" w:cs="Arial" w:eastAsia="Arial" w:hAnsi="Arial"/>
                <w:sz w:val="14"/>
                <w:szCs w:val="14"/>
                <w:color w:val="auto"/>
              </w:rPr>
              <w:t>(unaudited)</w:t>
            </w:r>
          </w:p>
        </w:tc>
        <w:tc>
          <w:tcPr>
            <w:tcW w:w="8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618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6180" w:type="dxa"/>
            <w:vAlign w:val="bottom"/>
          </w:tcPr>
          <w:p>
            <w:pPr>
              <w:spacing w:after="0" w:line="176" w:lineRule="exact"/>
              <w:rPr>
                <w:sz w:val="20"/>
                <w:szCs w:val="20"/>
                <w:color w:val="auto"/>
              </w:rPr>
            </w:pPr>
            <w:r>
              <w:rPr>
                <w:rFonts w:ascii="Arial" w:cs="Arial" w:eastAsia="Arial" w:hAnsi="Arial"/>
                <w:sz w:val="16"/>
                <w:szCs w:val="16"/>
                <w:color w:val="auto"/>
              </w:rPr>
              <w:t>Utilities</w:t>
            </w:r>
          </w:p>
        </w:tc>
        <w:tc>
          <w:tcPr>
            <w:tcW w:w="240" w:type="dxa"/>
            <w:vAlign w:val="bottom"/>
          </w:tcPr>
          <w:p>
            <w:pPr>
              <w:jc w:val="right"/>
              <w:spacing w:after="0" w:line="176" w:lineRule="exact"/>
              <w:rPr>
                <w:sz w:val="20"/>
                <w:szCs w:val="20"/>
                <w:color w:val="auto"/>
              </w:rPr>
            </w:pPr>
            <w:r>
              <w:rPr>
                <w:rFonts w:ascii="Arial" w:cs="Arial" w:eastAsia="Arial" w:hAnsi="Arial"/>
                <w:sz w:val="16"/>
                <w:szCs w:val="16"/>
                <w:color w:val="auto"/>
              </w:rPr>
              <w:t>$</w:t>
            </w:r>
          </w:p>
        </w:tc>
        <w:tc>
          <w:tcPr>
            <w:tcW w:w="1020" w:type="dxa"/>
            <w:vAlign w:val="bottom"/>
          </w:tcPr>
          <w:p>
            <w:pPr>
              <w:jc w:val="right"/>
              <w:spacing w:after="0" w:line="176" w:lineRule="exact"/>
              <w:rPr>
                <w:sz w:val="20"/>
                <w:szCs w:val="20"/>
                <w:color w:val="auto"/>
              </w:rPr>
            </w:pPr>
            <w:r>
              <w:rPr>
                <w:rFonts w:ascii="Arial" w:cs="Arial" w:eastAsia="Arial" w:hAnsi="Arial"/>
                <w:sz w:val="16"/>
                <w:szCs w:val="16"/>
                <w:color w:val="auto"/>
              </w:rPr>
              <w:t>1,922</w:t>
            </w:r>
          </w:p>
        </w:tc>
        <w:tc>
          <w:tcPr>
            <w:tcW w:w="300" w:type="dxa"/>
            <w:vAlign w:val="bottom"/>
          </w:tcPr>
          <w:p>
            <w:pPr>
              <w:jc w:val="right"/>
              <w:ind w:right="99"/>
              <w:spacing w:after="0" w:line="176" w:lineRule="exact"/>
              <w:rPr>
                <w:sz w:val="20"/>
                <w:szCs w:val="20"/>
                <w:color w:val="auto"/>
              </w:rPr>
            </w:pPr>
            <w:r>
              <w:rPr>
                <w:rFonts w:ascii="Arial" w:cs="Arial" w:eastAsia="Arial" w:hAnsi="Arial"/>
                <w:sz w:val="16"/>
                <w:szCs w:val="16"/>
                <w:color w:val="auto"/>
              </w:rPr>
              <w:t>$</w:t>
            </w:r>
          </w:p>
        </w:tc>
        <w:tc>
          <w:tcPr>
            <w:tcW w:w="1080" w:type="dxa"/>
            <w:vAlign w:val="bottom"/>
          </w:tcPr>
          <w:p>
            <w:pPr>
              <w:jc w:val="right"/>
              <w:ind w:right="20"/>
              <w:spacing w:after="0" w:line="176" w:lineRule="exact"/>
              <w:rPr>
                <w:sz w:val="20"/>
                <w:szCs w:val="20"/>
                <w:color w:val="auto"/>
              </w:rPr>
            </w:pPr>
            <w:r>
              <w:rPr>
                <w:rFonts w:ascii="Arial" w:cs="Arial" w:eastAsia="Arial" w:hAnsi="Arial"/>
                <w:sz w:val="16"/>
                <w:szCs w:val="16"/>
                <w:color w:val="auto"/>
              </w:rPr>
              <w:t>1,550</w:t>
            </w:r>
          </w:p>
        </w:tc>
        <w:tc>
          <w:tcPr>
            <w:tcW w:w="380" w:type="dxa"/>
            <w:vAlign w:val="bottom"/>
          </w:tcPr>
          <w:p>
            <w:pPr>
              <w:jc w:val="right"/>
              <w:ind w:right="179"/>
              <w:spacing w:after="0" w:line="176" w:lineRule="exact"/>
              <w:rPr>
                <w:sz w:val="20"/>
                <w:szCs w:val="20"/>
                <w:color w:val="auto"/>
              </w:rPr>
            </w:pPr>
            <w:r>
              <w:rPr>
                <w:rFonts w:ascii="Arial" w:cs="Arial" w:eastAsia="Arial" w:hAnsi="Arial"/>
                <w:sz w:val="16"/>
                <w:szCs w:val="16"/>
                <w:color w:val="auto"/>
              </w:rPr>
              <w:t>$</w:t>
            </w:r>
          </w:p>
        </w:tc>
        <w:tc>
          <w:tcPr>
            <w:tcW w:w="860" w:type="dxa"/>
            <w:vAlign w:val="bottom"/>
          </w:tcPr>
          <w:p>
            <w:pPr>
              <w:jc w:val="right"/>
              <w:spacing w:after="0" w:line="176" w:lineRule="exact"/>
              <w:rPr>
                <w:sz w:val="20"/>
                <w:szCs w:val="20"/>
                <w:color w:val="auto"/>
              </w:rPr>
            </w:pPr>
            <w:r>
              <w:rPr>
                <w:rFonts w:ascii="Arial" w:cs="Arial" w:eastAsia="Arial" w:hAnsi="Arial"/>
                <w:sz w:val="16"/>
                <w:szCs w:val="16"/>
                <w:color w:val="auto"/>
              </w:rPr>
              <w:t>3,868</w:t>
            </w:r>
          </w:p>
        </w:tc>
        <w:tc>
          <w:tcPr>
            <w:tcW w:w="300" w:type="dxa"/>
            <w:vAlign w:val="bottom"/>
          </w:tcPr>
          <w:p>
            <w:pPr>
              <w:jc w:val="right"/>
              <w:ind w:right="79"/>
              <w:spacing w:after="0" w:line="176" w:lineRule="exact"/>
              <w:rPr>
                <w:sz w:val="20"/>
                <w:szCs w:val="20"/>
                <w:color w:val="auto"/>
              </w:rPr>
            </w:pPr>
            <w:r>
              <w:rPr>
                <w:rFonts w:ascii="Arial" w:cs="Arial" w:eastAsia="Arial" w:hAnsi="Arial"/>
                <w:sz w:val="16"/>
                <w:szCs w:val="16"/>
                <w:color w:val="auto"/>
              </w:rPr>
              <w:t>$</w:t>
            </w:r>
          </w:p>
        </w:tc>
        <w:tc>
          <w:tcPr>
            <w:tcW w:w="1060" w:type="dxa"/>
            <w:vAlign w:val="bottom"/>
          </w:tcPr>
          <w:p>
            <w:pPr>
              <w:jc w:val="right"/>
              <w:spacing w:after="0" w:line="176" w:lineRule="exact"/>
              <w:rPr>
                <w:sz w:val="20"/>
                <w:szCs w:val="20"/>
                <w:color w:val="auto"/>
              </w:rPr>
            </w:pPr>
            <w:r>
              <w:rPr>
                <w:rFonts w:ascii="Arial" w:cs="Arial" w:eastAsia="Arial" w:hAnsi="Arial"/>
                <w:sz w:val="16"/>
                <w:szCs w:val="16"/>
                <w:color w:val="auto"/>
              </w:rPr>
              <w:t>3,541</w:t>
            </w:r>
          </w:p>
        </w:tc>
        <w:tc>
          <w:tcPr>
            <w:tcW w:w="0" w:type="dxa"/>
            <w:vAlign w:val="bottom"/>
          </w:tcPr>
          <w:p>
            <w:pPr>
              <w:spacing w:after="0"/>
              <w:rPr>
                <w:sz w:val="1"/>
                <w:szCs w:val="1"/>
                <w:color w:val="auto"/>
              </w:rPr>
            </w:pPr>
          </w:p>
        </w:tc>
      </w:tr>
      <w:tr>
        <w:trPr>
          <w:trHeight w:val="194"/>
        </w:trPr>
        <w:tc>
          <w:tcPr>
            <w:tcW w:w="6180" w:type="dxa"/>
            <w:vAlign w:val="bottom"/>
          </w:tcPr>
          <w:p>
            <w:pPr>
              <w:spacing w:after="0"/>
              <w:rPr>
                <w:sz w:val="20"/>
                <w:szCs w:val="20"/>
                <w:color w:val="auto"/>
              </w:rPr>
            </w:pPr>
            <w:r>
              <w:rPr>
                <w:rFonts w:ascii="Arial" w:cs="Arial" w:eastAsia="Arial" w:hAnsi="Arial"/>
                <w:sz w:val="16"/>
                <w:szCs w:val="16"/>
                <w:color w:val="auto"/>
              </w:rPr>
              <w:t>Energy-related businesses</w:t>
            </w:r>
          </w:p>
        </w:tc>
        <w:tc>
          <w:tcPr>
            <w:tcW w:w="2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500</w:t>
            </w:r>
          </w:p>
        </w:tc>
        <w:tc>
          <w:tcPr>
            <w:tcW w:w="3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458</w:t>
            </w:r>
          </w:p>
        </w:tc>
        <w:tc>
          <w:tcPr>
            <w:tcW w:w="3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988</w:t>
            </w:r>
          </w:p>
        </w:tc>
        <w:tc>
          <w:tcPr>
            <w:tcW w:w="3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1,001</w:t>
            </w:r>
          </w:p>
        </w:tc>
        <w:tc>
          <w:tcPr>
            <w:tcW w:w="0" w:type="dxa"/>
            <w:vAlign w:val="bottom"/>
          </w:tcPr>
          <w:p>
            <w:pPr>
              <w:spacing w:after="0"/>
              <w:rPr>
                <w:sz w:val="1"/>
                <w:szCs w:val="1"/>
                <w:color w:val="auto"/>
              </w:rPr>
            </w:pPr>
          </w:p>
        </w:tc>
      </w:tr>
      <w:tr>
        <w:trPr>
          <w:trHeight w:val="164"/>
        </w:trPr>
        <w:tc>
          <w:tcPr>
            <w:tcW w:w="6180" w:type="dxa"/>
            <w:vAlign w:val="bottom"/>
          </w:tcPr>
          <w:p>
            <w:pPr>
              <w:ind w:left="180"/>
              <w:spacing w:after="0" w:line="164" w:lineRule="exact"/>
              <w:rPr>
                <w:sz w:val="20"/>
                <w:szCs w:val="20"/>
                <w:color w:val="auto"/>
              </w:rPr>
            </w:pPr>
            <w:r>
              <w:rPr>
                <w:rFonts w:ascii="Arial" w:cs="Arial" w:eastAsia="Arial" w:hAnsi="Arial"/>
                <w:sz w:val="16"/>
                <w:szCs w:val="16"/>
                <w:color w:val="auto"/>
              </w:rPr>
              <w:t>Total revenues</w:t>
            </w:r>
          </w:p>
        </w:tc>
        <w:tc>
          <w:tcPr>
            <w:tcW w:w="240" w:type="dxa"/>
            <w:vAlign w:val="bottom"/>
          </w:tcPr>
          <w:p>
            <w:pPr>
              <w:spacing w:after="0"/>
              <w:rPr>
                <w:sz w:val="14"/>
                <w:szCs w:val="14"/>
                <w:color w:val="auto"/>
              </w:rPr>
            </w:pPr>
          </w:p>
        </w:tc>
        <w:tc>
          <w:tcPr>
            <w:tcW w:w="1020" w:type="dxa"/>
            <w:vAlign w:val="bottom"/>
          </w:tcPr>
          <w:p>
            <w:pPr>
              <w:jc w:val="right"/>
              <w:spacing w:after="0" w:line="164" w:lineRule="exact"/>
              <w:rPr>
                <w:sz w:val="20"/>
                <w:szCs w:val="20"/>
                <w:color w:val="auto"/>
              </w:rPr>
            </w:pPr>
            <w:r>
              <w:rPr>
                <w:rFonts w:ascii="Arial" w:cs="Arial" w:eastAsia="Arial" w:hAnsi="Arial"/>
                <w:sz w:val="16"/>
                <w:szCs w:val="16"/>
                <w:color w:val="auto"/>
              </w:rPr>
              <w:t>2,422</w:t>
            </w:r>
          </w:p>
        </w:tc>
        <w:tc>
          <w:tcPr>
            <w:tcW w:w="300" w:type="dxa"/>
            <w:vAlign w:val="bottom"/>
          </w:tcPr>
          <w:p>
            <w:pPr>
              <w:spacing w:after="0"/>
              <w:rPr>
                <w:sz w:val="14"/>
                <w:szCs w:val="14"/>
                <w:color w:val="auto"/>
              </w:rPr>
            </w:pPr>
          </w:p>
        </w:tc>
        <w:tc>
          <w:tcPr>
            <w:tcW w:w="1080" w:type="dxa"/>
            <w:vAlign w:val="bottom"/>
          </w:tcPr>
          <w:p>
            <w:pPr>
              <w:jc w:val="right"/>
              <w:ind w:right="20"/>
              <w:spacing w:after="0" w:line="164" w:lineRule="exact"/>
              <w:rPr>
                <w:sz w:val="20"/>
                <w:szCs w:val="20"/>
                <w:color w:val="auto"/>
              </w:rPr>
            </w:pPr>
            <w:r>
              <w:rPr>
                <w:rFonts w:ascii="Arial" w:cs="Arial" w:eastAsia="Arial" w:hAnsi="Arial"/>
                <w:sz w:val="16"/>
                <w:szCs w:val="16"/>
                <w:color w:val="auto"/>
              </w:rPr>
              <w:t>2,008</w:t>
            </w:r>
          </w:p>
        </w:tc>
        <w:tc>
          <w:tcPr>
            <w:tcW w:w="380" w:type="dxa"/>
            <w:vAlign w:val="bottom"/>
          </w:tcPr>
          <w:p>
            <w:pPr>
              <w:spacing w:after="0"/>
              <w:rPr>
                <w:sz w:val="14"/>
                <w:szCs w:val="14"/>
                <w:color w:val="auto"/>
              </w:rPr>
            </w:pPr>
          </w:p>
        </w:tc>
        <w:tc>
          <w:tcPr>
            <w:tcW w:w="860" w:type="dxa"/>
            <w:vAlign w:val="bottom"/>
          </w:tcPr>
          <w:p>
            <w:pPr>
              <w:jc w:val="right"/>
              <w:spacing w:after="0" w:line="164" w:lineRule="exact"/>
              <w:rPr>
                <w:sz w:val="20"/>
                <w:szCs w:val="20"/>
                <w:color w:val="auto"/>
              </w:rPr>
            </w:pPr>
            <w:r>
              <w:rPr>
                <w:rFonts w:ascii="Arial" w:cs="Arial" w:eastAsia="Arial" w:hAnsi="Arial"/>
                <w:sz w:val="16"/>
                <w:szCs w:val="16"/>
                <w:color w:val="auto"/>
              </w:rPr>
              <w:t>4,856</w:t>
            </w:r>
          </w:p>
        </w:tc>
        <w:tc>
          <w:tcPr>
            <w:tcW w:w="300" w:type="dxa"/>
            <w:vAlign w:val="bottom"/>
          </w:tcPr>
          <w:p>
            <w:pPr>
              <w:spacing w:after="0"/>
              <w:rPr>
                <w:sz w:val="14"/>
                <w:szCs w:val="14"/>
                <w:color w:val="auto"/>
              </w:rPr>
            </w:pPr>
          </w:p>
        </w:tc>
        <w:tc>
          <w:tcPr>
            <w:tcW w:w="1060" w:type="dxa"/>
            <w:vAlign w:val="bottom"/>
          </w:tcPr>
          <w:p>
            <w:pPr>
              <w:jc w:val="right"/>
              <w:spacing w:after="0" w:line="164" w:lineRule="exact"/>
              <w:rPr>
                <w:sz w:val="20"/>
                <w:szCs w:val="20"/>
                <w:color w:val="auto"/>
              </w:rPr>
            </w:pPr>
            <w:r>
              <w:rPr>
                <w:rFonts w:ascii="Arial" w:cs="Arial" w:eastAsia="Arial" w:hAnsi="Arial"/>
                <w:sz w:val="16"/>
                <w:szCs w:val="16"/>
                <w:color w:val="auto"/>
              </w:rPr>
              <w:t>4,542</w:t>
            </w:r>
          </w:p>
        </w:tc>
        <w:tc>
          <w:tcPr>
            <w:tcW w:w="0" w:type="dxa"/>
            <w:vAlign w:val="bottom"/>
          </w:tcPr>
          <w:p>
            <w:pPr>
              <w:spacing w:after="0"/>
              <w:rPr>
                <w:sz w:val="1"/>
                <w:szCs w:val="1"/>
                <w:color w:val="auto"/>
              </w:rPr>
            </w:pPr>
          </w:p>
        </w:tc>
      </w:tr>
      <w:tr>
        <w:trPr>
          <w:trHeight w:val="176"/>
        </w:trPr>
        <w:tc>
          <w:tcPr>
            <w:tcW w:w="6180" w:type="dxa"/>
            <w:vAlign w:val="bottom"/>
          </w:tcPr>
          <w:p>
            <w:pPr>
              <w:spacing w:after="0" w:line="176" w:lineRule="exact"/>
              <w:rPr>
                <w:sz w:val="20"/>
                <w:szCs w:val="20"/>
                <w:color w:val="auto"/>
              </w:rPr>
            </w:pPr>
            <w:r>
              <w:rPr>
                <w:rFonts w:ascii="Arial" w:cs="Arial" w:eastAsia="Arial" w:hAnsi="Arial"/>
                <w:sz w:val="16"/>
                <w:szCs w:val="16"/>
                <w:color w:val="auto"/>
              </w:rPr>
              <w:t>EXPENSES AND OTHER INCOME</w:t>
            </w:r>
          </w:p>
        </w:tc>
        <w:tc>
          <w:tcPr>
            <w:tcW w:w="2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180" w:type="dxa"/>
            <w:vAlign w:val="bottom"/>
          </w:tcPr>
          <w:p>
            <w:pPr>
              <w:spacing w:after="0" w:line="176" w:lineRule="exact"/>
              <w:rPr>
                <w:sz w:val="20"/>
                <w:szCs w:val="20"/>
                <w:color w:val="auto"/>
              </w:rPr>
            </w:pPr>
            <w:r>
              <w:rPr>
                <w:rFonts w:ascii="Arial" w:cs="Arial" w:eastAsia="Arial" w:hAnsi="Arial"/>
                <w:sz w:val="16"/>
                <w:szCs w:val="16"/>
                <w:color w:val="auto"/>
              </w:rPr>
              <w:t>Utilities:</w:t>
            </w:r>
          </w:p>
        </w:tc>
        <w:tc>
          <w:tcPr>
            <w:tcW w:w="2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180" w:type="dxa"/>
            <w:vAlign w:val="bottom"/>
          </w:tcPr>
          <w:p>
            <w:pPr>
              <w:ind w:left="180"/>
              <w:spacing w:after="0" w:line="176" w:lineRule="exact"/>
              <w:rPr>
                <w:sz w:val="20"/>
                <w:szCs w:val="20"/>
                <w:color w:val="auto"/>
              </w:rPr>
            </w:pPr>
            <w:r>
              <w:rPr>
                <w:rFonts w:ascii="Arial" w:cs="Arial" w:eastAsia="Arial" w:hAnsi="Arial"/>
                <w:sz w:val="16"/>
                <w:szCs w:val="16"/>
                <w:color w:val="auto"/>
              </w:rPr>
              <w:t>Cost of natural gas</w:t>
            </w:r>
          </w:p>
        </w:tc>
        <w:tc>
          <w:tcPr>
            <w:tcW w:w="240" w:type="dxa"/>
            <w:vAlign w:val="bottom"/>
          </w:tcPr>
          <w:p>
            <w:pPr>
              <w:spacing w:after="0"/>
              <w:rPr>
                <w:sz w:val="15"/>
                <w:szCs w:val="15"/>
                <w:color w:val="auto"/>
              </w:rPr>
            </w:pPr>
          </w:p>
        </w:tc>
        <w:tc>
          <w:tcPr>
            <w:tcW w:w="1020" w:type="dxa"/>
            <w:vAlign w:val="bottom"/>
          </w:tcPr>
          <w:p>
            <w:pPr>
              <w:jc w:val="right"/>
              <w:spacing w:after="0" w:line="176" w:lineRule="exact"/>
              <w:rPr>
                <w:sz w:val="20"/>
                <w:szCs w:val="20"/>
                <w:color w:val="auto"/>
              </w:rPr>
            </w:pPr>
            <w:r>
              <w:rPr>
                <w:rFonts w:ascii="Arial" w:cs="Arial" w:eastAsia="Arial" w:hAnsi="Arial"/>
                <w:sz w:val="16"/>
                <w:szCs w:val="16"/>
                <w:color w:val="auto"/>
              </w:rPr>
              <w:t>(403)</w:t>
            </w:r>
          </w:p>
        </w:tc>
        <w:tc>
          <w:tcPr>
            <w:tcW w:w="300" w:type="dxa"/>
            <w:vAlign w:val="bottom"/>
          </w:tcPr>
          <w:p>
            <w:pPr>
              <w:spacing w:after="0"/>
              <w:rPr>
                <w:sz w:val="15"/>
                <w:szCs w:val="15"/>
                <w:color w:val="auto"/>
              </w:rPr>
            </w:pPr>
          </w:p>
        </w:tc>
        <w:tc>
          <w:tcPr>
            <w:tcW w:w="1080" w:type="dxa"/>
            <w:vAlign w:val="bottom"/>
          </w:tcPr>
          <w:p>
            <w:pPr>
              <w:jc w:val="right"/>
              <w:spacing w:after="0" w:line="176" w:lineRule="exact"/>
              <w:rPr>
                <w:sz w:val="20"/>
                <w:szCs w:val="20"/>
                <w:color w:val="auto"/>
              </w:rPr>
            </w:pPr>
            <w:r>
              <w:rPr>
                <w:rFonts w:ascii="Arial" w:cs="Arial" w:eastAsia="Arial" w:hAnsi="Arial"/>
                <w:sz w:val="16"/>
                <w:szCs w:val="16"/>
                <w:color w:val="auto"/>
              </w:rPr>
              <w:t>(381)</w:t>
            </w:r>
          </w:p>
        </w:tc>
        <w:tc>
          <w:tcPr>
            <w:tcW w:w="380" w:type="dxa"/>
            <w:vAlign w:val="bottom"/>
          </w:tcPr>
          <w:p>
            <w:pPr>
              <w:spacing w:after="0"/>
              <w:rPr>
                <w:sz w:val="15"/>
                <w:szCs w:val="15"/>
                <w:color w:val="auto"/>
              </w:rPr>
            </w:pPr>
          </w:p>
        </w:tc>
        <w:tc>
          <w:tcPr>
            <w:tcW w:w="860" w:type="dxa"/>
            <w:vAlign w:val="bottom"/>
          </w:tcPr>
          <w:p>
            <w:pPr>
              <w:jc w:val="right"/>
              <w:spacing w:after="0" w:line="176" w:lineRule="exact"/>
              <w:rPr>
                <w:sz w:val="20"/>
                <w:szCs w:val="20"/>
                <w:color w:val="auto"/>
              </w:rPr>
            </w:pPr>
            <w:r>
              <w:rPr>
                <w:rFonts w:ascii="Arial" w:cs="Arial" w:eastAsia="Arial" w:hAnsi="Arial"/>
                <w:sz w:val="16"/>
                <w:szCs w:val="16"/>
                <w:color w:val="auto"/>
              </w:rPr>
              <w:t>(1,045)</w:t>
            </w:r>
          </w:p>
        </w:tc>
        <w:tc>
          <w:tcPr>
            <w:tcW w:w="300" w:type="dxa"/>
            <w:vAlign w:val="bottom"/>
          </w:tcPr>
          <w:p>
            <w:pPr>
              <w:spacing w:after="0"/>
              <w:rPr>
                <w:sz w:val="15"/>
                <w:szCs w:val="15"/>
                <w:color w:val="auto"/>
              </w:rPr>
            </w:pPr>
          </w:p>
        </w:tc>
        <w:tc>
          <w:tcPr>
            <w:tcW w:w="1060" w:type="dxa"/>
            <w:vAlign w:val="bottom"/>
          </w:tcPr>
          <w:p>
            <w:pPr>
              <w:jc w:val="right"/>
              <w:spacing w:after="0" w:line="176" w:lineRule="exact"/>
              <w:rPr>
                <w:sz w:val="20"/>
                <w:szCs w:val="20"/>
                <w:color w:val="auto"/>
              </w:rPr>
            </w:pPr>
            <w:r>
              <w:rPr>
                <w:rFonts w:ascii="Arial" w:cs="Arial" w:eastAsia="Arial" w:hAnsi="Arial"/>
                <w:sz w:val="16"/>
                <w:szCs w:val="16"/>
                <w:color w:val="auto"/>
              </w:rPr>
              <w:t>(1,184)</w:t>
            </w:r>
          </w:p>
        </w:tc>
        <w:tc>
          <w:tcPr>
            <w:tcW w:w="0" w:type="dxa"/>
            <w:vAlign w:val="bottom"/>
          </w:tcPr>
          <w:p>
            <w:pPr>
              <w:spacing w:after="0"/>
              <w:rPr>
                <w:sz w:val="1"/>
                <w:szCs w:val="1"/>
                <w:color w:val="auto"/>
              </w:rPr>
            </w:pPr>
          </w:p>
        </w:tc>
      </w:tr>
      <w:tr>
        <w:trPr>
          <w:trHeight w:val="176"/>
        </w:trPr>
        <w:tc>
          <w:tcPr>
            <w:tcW w:w="6180" w:type="dxa"/>
            <w:vAlign w:val="bottom"/>
          </w:tcPr>
          <w:p>
            <w:pPr>
              <w:ind w:left="180"/>
              <w:spacing w:after="0" w:line="176" w:lineRule="exact"/>
              <w:rPr>
                <w:sz w:val="20"/>
                <w:szCs w:val="20"/>
                <w:color w:val="auto"/>
              </w:rPr>
            </w:pPr>
            <w:r>
              <w:rPr>
                <w:rFonts w:ascii="Arial" w:cs="Arial" w:eastAsia="Arial" w:hAnsi="Arial"/>
                <w:sz w:val="16"/>
                <w:szCs w:val="16"/>
                <w:color w:val="auto"/>
              </w:rPr>
              <w:t>Cost of electric fuel and purchased power</w:t>
            </w:r>
          </w:p>
        </w:tc>
        <w:tc>
          <w:tcPr>
            <w:tcW w:w="240" w:type="dxa"/>
            <w:vAlign w:val="bottom"/>
          </w:tcPr>
          <w:p>
            <w:pPr>
              <w:spacing w:after="0"/>
              <w:rPr>
                <w:sz w:val="15"/>
                <w:szCs w:val="15"/>
                <w:color w:val="auto"/>
              </w:rPr>
            </w:pPr>
          </w:p>
        </w:tc>
        <w:tc>
          <w:tcPr>
            <w:tcW w:w="1020" w:type="dxa"/>
            <w:vAlign w:val="bottom"/>
          </w:tcPr>
          <w:p>
            <w:pPr>
              <w:jc w:val="right"/>
              <w:spacing w:after="0" w:line="176" w:lineRule="exact"/>
              <w:rPr>
                <w:sz w:val="20"/>
                <w:szCs w:val="20"/>
                <w:color w:val="auto"/>
              </w:rPr>
            </w:pPr>
            <w:r>
              <w:rPr>
                <w:rFonts w:ascii="Arial" w:cs="Arial" w:eastAsia="Arial" w:hAnsi="Arial"/>
                <w:sz w:val="16"/>
                <w:szCs w:val="16"/>
                <w:color w:val="auto"/>
              </w:rPr>
              <w:t>(397)</w:t>
            </w:r>
          </w:p>
        </w:tc>
        <w:tc>
          <w:tcPr>
            <w:tcW w:w="300" w:type="dxa"/>
            <w:vAlign w:val="bottom"/>
          </w:tcPr>
          <w:p>
            <w:pPr>
              <w:spacing w:after="0"/>
              <w:rPr>
                <w:sz w:val="15"/>
                <w:szCs w:val="15"/>
                <w:color w:val="auto"/>
              </w:rPr>
            </w:pPr>
          </w:p>
        </w:tc>
        <w:tc>
          <w:tcPr>
            <w:tcW w:w="1080" w:type="dxa"/>
            <w:vAlign w:val="bottom"/>
          </w:tcPr>
          <w:p>
            <w:pPr>
              <w:jc w:val="right"/>
              <w:spacing w:after="0" w:line="176" w:lineRule="exact"/>
              <w:rPr>
                <w:sz w:val="20"/>
                <w:szCs w:val="20"/>
                <w:color w:val="auto"/>
              </w:rPr>
            </w:pPr>
            <w:r>
              <w:rPr>
                <w:rFonts w:ascii="Arial" w:cs="Arial" w:eastAsia="Arial" w:hAnsi="Arial"/>
                <w:sz w:val="16"/>
                <w:szCs w:val="16"/>
                <w:color w:val="auto"/>
              </w:rPr>
              <w:t>(129)</w:t>
            </w:r>
          </w:p>
        </w:tc>
        <w:tc>
          <w:tcPr>
            <w:tcW w:w="380" w:type="dxa"/>
            <w:vAlign w:val="bottom"/>
          </w:tcPr>
          <w:p>
            <w:pPr>
              <w:spacing w:after="0"/>
              <w:rPr>
                <w:sz w:val="15"/>
                <w:szCs w:val="15"/>
                <w:color w:val="auto"/>
              </w:rPr>
            </w:pPr>
          </w:p>
        </w:tc>
        <w:tc>
          <w:tcPr>
            <w:tcW w:w="860" w:type="dxa"/>
            <w:vAlign w:val="bottom"/>
          </w:tcPr>
          <w:p>
            <w:pPr>
              <w:jc w:val="right"/>
              <w:spacing w:after="0" w:line="176" w:lineRule="exact"/>
              <w:rPr>
                <w:sz w:val="20"/>
                <w:szCs w:val="20"/>
                <w:color w:val="auto"/>
              </w:rPr>
            </w:pPr>
            <w:r>
              <w:rPr>
                <w:rFonts w:ascii="Arial" w:cs="Arial" w:eastAsia="Arial" w:hAnsi="Arial"/>
                <w:sz w:val="16"/>
                <w:szCs w:val="16"/>
                <w:color w:val="auto"/>
              </w:rPr>
              <w:t>(568)</w:t>
            </w:r>
          </w:p>
        </w:tc>
        <w:tc>
          <w:tcPr>
            <w:tcW w:w="300" w:type="dxa"/>
            <w:vAlign w:val="bottom"/>
          </w:tcPr>
          <w:p>
            <w:pPr>
              <w:spacing w:after="0"/>
              <w:rPr>
                <w:sz w:val="15"/>
                <w:szCs w:val="15"/>
                <w:color w:val="auto"/>
              </w:rPr>
            </w:pPr>
          </w:p>
        </w:tc>
        <w:tc>
          <w:tcPr>
            <w:tcW w:w="1060" w:type="dxa"/>
            <w:vAlign w:val="bottom"/>
          </w:tcPr>
          <w:p>
            <w:pPr>
              <w:jc w:val="right"/>
              <w:spacing w:after="0" w:line="176" w:lineRule="exact"/>
              <w:rPr>
                <w:sz w:val="20"/>
                <w:szCs w:val="20"/>
                <w:color w:val="auto"/>
              </w:rPr>
            </w:pPr>
            <w:r>
              <w:rPr>
                <w:rFonts w:ascii="Arial" w:cs="Arial" w:eastAsia="Arial" w:hAnsi="Arial"/>
                <w:sz w:val="16"/>
                <w:szCs w:val="16"/>
                <w:color w:val="auto"/>
              </w:rPr>
              <w:t>(277)</w:t>
            </w:r>
          </w:p>
        </w:tc>
        <w:tc>
          <w:tcPr>
            <w:tcW w:w="0" w:type="dxa"/>
            <w:vAlign w:val="bottom"/>
          </w:tcPr>
          <w:p>
            <w:pPr>
              <w:spacing w:after="0"/>
              <w:rPr>
                <w:sz w:val="1"/>
                <w:szCs w:val="1"/>
                <w:color w:val="auto"/>
              </w:rPr>
            </w:pPr>
          </w:p>
        </w:tc>
      </w:tr>
      <w:tr>
        <w:trPr>
          <w:trHeight w:val="176"/>
        </w:trPr>
        <w:tc>
          <w:tcPr>
            <w:tcW w:w="6180" w:type="dxa"/>
            <w:vAlign w:val="bottom"/>
          </w:tcPr>
          <w:p>
            <w:pPr>
              <w:spacing w:after="0" w:line="176" w:lineRule="exact"/>
              <w:rPr>
                <w:sz w:val="20"/>
                <w:szCs w:val="20"/>
                <w:color w:val="auto"/>
              </w:rPr>
            </w:pPr>
            <w:r>
              <w:rPr>
                <w:rFonts w:ascii="Arial" w:cs="Arial" w:eastAsia="Arial" w:hAnsi="Arial"/>
                <w:sz w:val="16"/>
                <w:szCs w:val="16"/>
                <w:color w:val="auto"/>
              </w:rPr>
              <w:t>Energy-related businesses:</w:t>
            </w:r>
          </w:p>
        </w:tc>
        <w:tc>
          <w:tcPr>
            <w:tcW w:w="2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180" w:type="dxa"/>
            <w:vAlign w:val="bottom"/>
          </w:tcPr>
          <w:p>
            <w:pPr>
              <w:ind w:left="180"/>
              <w:spacing w:after="0" w:line="176" w:lineRule="exact"/>
              <w:rPr>
                <w:sz w:val="20"/>
                <w:szCs w:val="20"/>
                <w:color w:val="auto"/>
              </w:rPr>
            </w:pPr>
            <w:r>
              <w:rPr>
                <w:rFonts w:ascii="Arial" w:cs="Arial" w:eastAsia="Arial" w:hAnsi="Arial"/>
                <w:sz w:val="16"/>
                <w:szCs w:val="16"/>
                <w:color w:val="auto"/>
              </w:rPr>
              <w:t>Cost of natural gas, electric fuel and purchased power</w:t>
            </w:r>
          </w:p>
        </w:tc>
        <w:tc>
          <w:tcPr>
            <w:tcW w:w="240" w:type="dxa"/>
            <w:vAlign w:val="bottom"/>
          </w:tcPr>
          <w:p>
            <w:pPr>
              <w:spacing w:after="0"/>
              <w:rPr>
                <w:sz w:val="15"/>
                <w:szCs w:val="15"/>
                <w:color w:val="auto"/>
              </w:rPr>
            </w:pPr>
          </w:p>
        </w:tc>
        <w:tc>
          <w:tcPr>
            <w:tcW w:w="1020" w:type="dxa"/>
            <w:vAlign w:val="bottom"/>
          </w:tcPr>
          <w:p>
            <w:pPr>
              <w:jc w:val="right"/>
              <w:spacing w:after="0" w:line="176" w:lineRule="exact"/>
              <w:rPr>
                <w:sz w:val="20"/>
                <w:szCs w:val="20"/>
                <w:color w:val="auto"/>
              </w:rPr>
            </w:pPr>
            <w:r>
              <w:rPr>
                <w:rFonts w:ascii="Arial" w:cs="Arial" w:eastAsia="Arial" w:hAnsi="Arial"/>
                <w:sz w:val="16"/>
                <w:szCs w:val="16"/>
                <w:color w:val="auto"/>
              </w:rPr>
              <w:t>(212)</w:t>
            </w:r>
          </w:p>
        </w:tc>
        <w:tc>
          <w:tcPr>
            <w:tcW w:w="300" w:type="dxa"/>
            <w:vAlign w:val="bottom"/>
          </w:tcPr>
          <w:p>
            <w:pPr>
              <w:spacing w:after="0"/>
              <w:rPr>
                <w:sz w:val="15"/>
                <w:szCs w:val="15"/>
                <w:color w:val="auto"/>
              </w:rPr>
            </w:pPr>
          </w:p>
        </w:tc>
        <w:tc>
          <w:tcPr>
            <w:tcW w:w="1080" w:type="dxa"/>
            <w:vAlign w:val="bottom"/>
          </w:tcPr>
          <w:p>
            <w:pPr>
              <w:jc w:val="right"/>
              <w:spacing w:after="0" w:line="176" w:lineRule="exact"/>
              <w:rPr>
                <w:sz w:val="20"/>
                <w:szCs w:val="20"/>
                <w:color w:val="auto"/>
              </w:rPr>
            </w:pPr>
            <w:r>
              <w:rPr>
                <w:rFonts w:ascii="Arial" w:cs="Arial" w:eastAsia="Arial" w:hAnsi="Arial"/>
                <w:sz w:val="16"/>
                <w:szCs w:val="16"/>
                <w:color w:val="auto"/>
              </w:rPr>
              <w:t>(235)</w:t>
            </w:r>
          </w:p>
        </w:tc>
        <w:tc>
          <w:tcPr>
            <w:tcW w:w="380" w:type="dxa"/>
            <w:vAlign w:val="bottom"/>
          </w:tcPr>
          <w:p>
            <w:pPr>
              <w:spacing w:after="0"/>
              <w:rPr>
                <w:sz w:val="15"/>
                <w:szCs w:val="15"/>
                <w:color w:val="auto"/>
              </w:rPr>
            </w:pPr>
          </w:p>
        </w:tc>
        <w:tc>
          <w:tcPr>
            <w:tcW w:w="860" w:type="dxa"/>
            <w:vAlign w:val="bottom"/>
          </w:tcPr>
          <w:p>
            <w:pPr>
              <w:jc w:val="right"/>
              <w:spacing w:after="0" w:line="176" w:lineRule="exact"/>
              <w:rPr>
                <w:sz w:val="20"/>
                <w:szCs w:val="20"/>
                <w:color w:val="auto"/>
              </w:rPr>
            </w:pPr>
            <w:r>
              <w:rPr>
                <w:rFonts w:ascii="Arial" w:cs="Arial" w:eastAsia="Arial" w:hAnsi="Arial"/>
                <w:sz w:val="16"/>
                <w:szCs w:val="16"/>
                <w:color w:val="auto"/>
              </w:rPr>
              <w:t>(442)</w:t>
            </w:r>
          </w:p>
        </w:tc>
        <w:tc>
          <w:tcPr>
            <w:tcW w:w="300" w:type="dxa"/>
            <w:vAlign w:val="bottom"/>
          </w:tcPr>
          <w:p>
            <w:pPr>
              <w:spacing w:after="0"/>
              <w:rPr>
                <w:sz w:val="15"/>
                <w:szCs w:val="15"/>
                <w:color w:val="auto"/>
              </w:rPr>
            </w:pPr>
          </w:p>
        </w:tc>
        <w:tc>
          <w:tcPr>
            <w:tcW w:w="1060" w:type="dxa"/>
            <w:vAlign w:val="bottom"/>
          </w:tcPr>
          <w:p>
            <w:pPr>
              <w:jc w:val="right"/>
              <w:spacing w:after="0" w:line="176" w:lineRule="exact"/>
              <w:rPr>
                <w:sz w:val="20"/>
                <w:szCs w:val="20"/>
                <w:color w:val="auto"/>
              </w:rPr>
            </w:pPr>
            <w:r>
              <w:rPr>
                <w:rFonts w:ascii="Arial" w:cs="Arial" w:eastAsia="Arial" w:hAnsi="Arial"/>
                <w:sz w:val="16"/>
                <w:szCs w:val="16"/>
                <w:color w:val="auto"/>
              </w:rPr>
              <w:t>(528)</w:t>
            </w:r>
          </w:p>
        </w:tc>
        <w:tc>
          <w:tcPr>
            <w:tcW w:w="0" w:type="dxa"/>
            <w:vAlign w:val="bottom"/>
          </w:tcPr>
          <w:p>
            <w:pPr>
              <w:spacing w:after="0"/>
              <w:rPr>
                <w:sz w:val="1"/>
                <w:szCs w:val="1"/>
                <w:color w:val="auto"/>
              </w:rPr>
            </w:pPr>
          </w:p>
        </w:tc>
      </w:tr>
      <w:tr>
        <w:trPr>
          <w:trHeight w:val="176"/>
        </w:trPr>
        <w:tc>
          <w:tcPr>
            <w:tcW w:w="6180" w:type="dxa"/>
            <w:vAlign w:val="bottom"/>
          </w:tcPr>
          <w:p>
            <w:pPr>
              <w:ind w:left="180"/>
              <w:spacing w:after="0" w:line="176" w:lineRule="exact"/>
              <w:rPr>
                <w:sz w:val="20"/>
                <w:szCs w:val="20"/>
                <w:color w:val="auto"/>
              </w:rPr>
            </w:pPr>
            <w:r>
              <w:rPr>
                <w:rFonts w:ascii="Arial" w:cs="Arial" w:eastAsia="Arial" w:hAnsi="Arial"/>
                <w:sz w:val="16"/>
                <w:szCs w:val="16"/>
                <w:color w:val="auto"/>
              </w:rPr>
              <w:t>Other cost of sales</w:t>
            </w:r>
          </w:p>
        </w:tc>
        <w:tc>
          <w:tcPr>
            <w:tcW w:w="240" w:type="dxa"/>
            <w:vAlign w:val="bottom"/>
          </w:tcPr>
          <w:p>
            <w:pPr>
              <w:spacing w:after="0"/>
              <w:rPr>
                <w:sz w:val="15"/>
                <w:szCs w:val="15"/>
                <w:color w:val="auto"/>
              </w:rPr>
            </w:pPr>
          </w:p>
        </w:tc>
        <w:tc>
          <w:tcPr>
            <w:tcW w:w="1020" w:type="dxa"/>
            <w:vAlign w:val="bottom"/>
          </w:tcPr>
          <w:p>
            <w:pPr>
              <w:jc w:val="right"/>
              <w:spacing w:after="0" w:line="176" w:lineRule="exact"/>
              <w:rPr>
                <w:sz w:val="20"/>
                <w:szCs w:val="20"/>
                <w:color w:val="auto"/>
              </w:rPr>
            </w:pPr>
            <w:r>
              <w:rPr>
                <w:rFonts w:ascii="Arial" w:cs="Arial" w:eastAsia="Arial" w:hAnsi="Arial"/>
                <w:sz w:val="16"/>
                <w:szCs w:val="16"/>
                <w:color w:val="auto"/>
              </w:rPr>
              <w:t>(32)</w:t>
            </w:r>
          </w:p>
        </w:tc>
        <w:tc>
          <w:tcPr>
            <w:tcW w:w="300" w:type="dxa"/>
            <w:vAlign w:val="bottom"/>
          </w:tcPr>
          <w:p>
            <w:pPr>
              <w:spacing w:after="0"/>
              <w:rPr>
                <w:sz w:val="15"/>
                <w:szCs w:val="15"/>
                <w:color w:val="auto"/>
              </w:rPr>
            </w:pPr>
          </w:p>
        </w:tc>
        <w:tc>
          <w:tcPr>
            <w:tcW w:w="1080" w:type="dxa"/>
            <w:vAlign w:val="bottom"/>
          </w:tcPr>
          <w:p>
            <w:pPr>
              <w:jc w:val="right"/>
              <w:spacing w:after="0" w:line="176" w:lineRule="exact"/>
              <w:rPr>
                <w:sz w:val="20"/>
                <w:szCs w:val="20"/>
                <w:color w:val="auto"/>
              </w:rPr>
            </w:pPr>
            <w:r>
              <w:rPr>
                <w:rFonts w:ascii="Arial" w:cs="Arial" w:eastAsia="Arial" w:hAnsi="Arial"/>
                <w:sz w:val="16"/>
                <w:szCs w:val="16"/>
                <w:color w:val="auto"/>
              </w:rPr>
              <w:t>(20)</w:t>
            </w:r>
          </w:p>
        </w:tc>
        <w:tc>
          <w:tcPr>
            <w:tcW w:w="380" w:type="dxa"/>
            <w:vAlign w:val="bottom"/>
          </w:tcPr>
          <w:p>
            <w:pPr>
              <w:spacing w:after="0"/>
              <w:rPr>
                <w:sz w:val="15"/>
                <w:szCs w:val="15"/>
                <w:color w:val="auto"/>
              </w:rPr>
            </w:pPr>
          </w:p>
        </w:tc>
        <w:tc>
          <w:tcPr>
            <w:tcW w:w="860" w:type="dxa"/>
            <w:vAlign w:val="bottom"/>
          </w:tcPr>
          <w:p>
            <w:pPr>
              <w:jc w:val="right"/>
              <w:spacing w:after="0" w:line="176" w:lineRule="exact"/>
              <w:rPr>
                <w:sz w:val="20"/>
                <w:szCs w:val="20"/>
                <w:color w:val="auto"/>
              </w:rPr>
            </w:pPr>
            <w:r>
              <w:rPr>
                <w:rFonts w:ascii="Arial" w:cs="Arial" w:eastAsia="Arial" w:hAnsi="Arial"/>
                <w:sz w:val="16"/>
                <w:szCs w:val="16"/>
                <w:color w:val="auto"/>
              </w:rPr>
              <w:t>(55)</w:t>
            </w:r>
          </w:p>
        </w:tc>
        <w:tc>
          <w:tcPr>
            <w:tcW w:w="300" w:type="dxa"/>
            <w:vAlign w:val="bottom"/>
          </w:tcPr>
          <w:p>
            <w:pPr>
              <w:spacing w:after="0"/>
              <w:rPr>
                <w:sz w:val="15"/>
                <w:szCs w:val="15"/>
                <w:color w:val="auto"/>
              </w:rPr>
            </w:pPr>
          </w:p>
        </w:tc>
        <w:tc>
          <w:tcPr>
            <w:tcW w:w="1060" w:type="dxa"/>
            <w:vAlign w:val="bottom"/>
          </w:tcPr>
          <w:p>
            <w:pPr>
              <w:jc w:val="right"/>
              <w:spacing w:after="0" w:line="176" w:lineRule="exact"/>
              <w:rPr>
                <w:sz w:val="20"/>
                <w:szCs w:val="20"/>
                <w:color w:val="auto"/>
              </w:rPr>
            </w:pPr>
            <w:r>
              <w:rPr>
                <w:rFonts w:ascii="Arial" w:cs="Arial" w:eastAsia="Arial" w:hAnsi="Arial"/>
                <w:sz w:val="16"/>
                <w:szCs w:val="16"/>
                <w:color w:val="auto"/>
              </w:rPr>
              <w:t>(45)</w:t>
            </w:r>
          </w:p>
        </w:tc>
        <w:tc>
          <w:tcPr>
            <w:tcW w:w="0" w:type="dxa"/>
            <w:vAlign w:val="bottom"/>
          </w:tcPr>
          <w:p>
            <w:pPr>
              <w:spacing w:after="0"/>
              <w:rPr>
                <w:sz w:val="1"/>
                <w:szCs w:val="1"/>
                <w:color w:val="auto"/>
              </w:rPr>
            </w:pPr>
          </w:p>
        </w:tc>
      </w:tr>
      <w:tr>
        <w:trPr>
          <w:trHeight w:val="176"/>
        </w:trPr>
        <w:tc>
          <w:tcPr>
            <w:tcW w:w="6180" w:type="dxa"/>
            <w:vAlign w:val="bottom"/>
          </w:tcPr>
          <w:p>
            <w:pPr>
              <w:spacing w:after="0" w:line="176" w:lineRule="exact"/>
              <w:rPr>
                <w:sz w:val="20"/>
                <w:szCs w:val="20"/>
                <w:color w:val="auto"/>
              </w:rPr>
            </w:pPr>
            <w:r>
              <w:rPr>
                <w:rFonts w:ascii="Arial" w:cs="Arial" w:eastAsia="Arial" w:hAnsi="Arial"/>
                <w:sz w:val="16"/>
                <w:szCs w:val="16"/>
                <w:color w:val="auto"/>
              </w:rPr>
              <w:t>Litigation expense</w:t>
            </w:r>
          </w:p>
        </w:tc>
        <w:tc>
          <w:tcPr>
            <w:tcW w:w="240" w:type="dxa"/>
            <w:vAlign w:val="bottom"/>
          </w:tcPr>
          <w:p>
            <w:pPr>
              <w:spacing w:after="0"/>
              <w:rPr>
                <w:sz w:val="15"/>
                <w:szCs w:val="15"/>
                <w:color w:val="auto"/>
              </w:rPr>
            </w:pPr>
          </w:p>
        </w:tc>
        <w:tc>
          <w:tcPr>
            <w:tcW w:w="1020" w:type="dxa"/>
            <w:vAlign w:val="bottom"/>
          </w:tcPr>
          <w:p>
            <w:pPr>
              <w:jc w:val="right"/>
              <w:spacing w:after="0" w:line="176" w:lineRule="exact"/>
              <w:rPr>
                <w:sz w:val="20"/>
                <w:szCs w:val="20"/>
                <w:color w:val="auto"/>
              </w:rPr>
            </w:pPr>
            <w:r>
              <w:rPr>
                <w:rFonts w:ascii="Arial" w:cs="Arial" w:eastAsia="Arial" w:hAnsi="Arial"/>
                <w:sz w:val="16"/>
                <w:szCs w:val="16"/>
                <w:color w:val="auto"/>
              </w:rPr>
              <w:t>(6)</w:t>
            </w:r>
          </w:p>
        </w:tc>
        <w:tc>
          <w:tcPr>
            <w:tcW w:w="300" w:type="dxa"/>
            <w:vAlign w:val="bottom"/>
          </w:tcPr>
          <w:p>
            <w:pPr>
              <w:spacing w:after="0"/>
              <w:rPr>
                <w:sz w:val="15"/>
                <w:szCs w:val="15"/>
                <w:color w:val="auto"/>
              </w:rPr>
            </w:pPr>
          </w:p>
        </w:tc>
        <w:tc>
          <w:tcPr>
            <w:tcW w:w="1080" w:type="dxa"/>
            <w:vAlign w:val="bottom"/>
          </w:tcPr>
          <w:p>
            <w:pPr>
              <w:jc w:val="right"/>
              <w:ind w:right="20"/>
              <w:spacing w:after="0" w:line="176" w:lineRule="exact"/>
              <w:rPr>
                <w:sz w:val="20"/>
                <w:szCs w:val="20"/>
                <w:color w:val="auto"/>
              </w:rPr>
            </w:pPr>
            <w:r>
              <w:rPr>
                <w:rFonts w:ascii="Arial" w:cs="Arial" w:eastAsia="Arial" w:hAnsi="Arial"/>
                <w:sz w:val="16"/>
                <w:szCs w:val="16"/>
                <w:color w:val="auto"/>
              </w:rPr>
              <w:t>1</w:t>
            </w:r>
          </w:p>
        </w:tc>
        <w:tc>
          <w:tcPr>
            <w:tcW w:w="380" w:type="dxa"/>
            <w:vAlign w:val="bottom"/>
          </w:tcPr>
          <w:p>
            <w:pPr>
              <w:spacing w:after="0"/>
              <w:rPr>
                <w:sz w:val="15"/>
                <w:szCs w:val="15"/>
                <w:color w:val="auto"/>
              </w:rPr>
            </w:pPr>
          </w:p>
        </w:tc>
        <w:tc>
          <w:tcPr>
            <w:tcW w:w="860" w:type="dxa"/>
            <w:vAlign w:val="bottom"/>
          </w:tcPr>
          <w:p>
            <w:pPr>
              <w:jc w:val="right"/>
              <w:spacing w:after="0" w:line="176" w:lineRule="exact"/>
              <w:rPr>
                <w:sz w:val="20"/>
                <w:szCs w:val="20"/>
                <w:color w:val="auto"/>
              </w:rPr>
            </w:pPr>
            <w:r>
              <w:rPr>
                <w:rFonts w:ascii="Arial" w:cs="Arial" w:eastAsia="Arial" w:hAnsi="Arial"/>
                <w:sz w:val="16"/>
                <w:szCs w:val="16"/>
                <w:color w:val="auto"/>
              </w:rPr>
              <w:t>(13)</w:t>
            </w:r>
          </w:p>
        </w:tc>
        <w:tc>
          <w:tcPr>
            <w:tcW w:w="300" w:type="dxa"/>
            <w:vAlign w:val="bottom"/>
          </w:tcPr>
          <w:p>
            <w:pPr>
              <w:spacing w:after="0"/>
              <w:rPr>
                <w:sz w:val="15"/>
                <w:szCs w:val="15"/>
                <w:color w:val="auto"/>
              </w:rPr>
            </w:pPr>
          </w:p>
        </w:tc>
        <w:tc>
          <w:tcPr>
            <w:tcW w:w="1060" w:type="dxa"/>
            <w:vAlign w:val="bottom"/>
          </w:tcPr>
          <w:p>
            <w:pPr>
              <w:jc w:val="right"/>
              <w:spacing w:after="0" w:line="176" w:lineRule="exact"/>
              <w:rPr>
                <w:sz w:val="20"/>
                <w:szCs w:val="20"/>
                <w:color w:val="auto"/>
              </w:rPr>
            </w:pPr>
            <w:r>
              <w:rPr>
                <w:rFonts w:ascii="Arial" w:cs="Arial" w:eastAsia="Arial" w:hAnsi="Arial"/>
                <w:sz w:val="16"/>
                <w:szCs w:val="16"/>
                <w:color w:val="auto"/>
              </w:rPr>
              <w:t>(167)</w:t>
            </w:r>
          </w:p>
        </w:tc>
        <w:tc>
          <w:tcPr>
            <w:tcW w:w="0" w:type="dxa"/>
            <w:vAlign w:val="bottom"/>
          </w:tcPr>
          <w:p>
            <w:pPr>
              <w:spacing w:after="0"/>
              <w:rPr>
                <w:sz w:val="1"/>
                <w:szCs w:val="1"/>
                <w:color w:val="auto"/>
              </w:rPr>
            </w:pPr>
          </w:p>
        </w:tc>
      </w:tr>
      <w:tr>
        <w:trPr>
          <w:trHeight w:val="176"/>
        </w:trPr>
        <w:tc>
          <w:tcPr>
            <w:tcW w:w="6180" w:type="dxa"/>
            <w:vAlign w:val="bottom"/>
          </w:tcPr>
          <w:p>
            <w:pPr>
              <w:spacing w:after="0" w:line="176" w:lineRule="exact"/>
              <w:rPr>
                <w:sz w:val="20"/>
                <w:szCs w:val="20"/>
                <w:color w:val="auto"/>
              </w:rPr>
            </w:pPr>
            <w:r>
              <w:rPr>
                <w:rFonts w:ascii="Arial" w:cs="Arial" w:eastAsia="Arial" w:hAnsi="Arial"/>
                <w:sz w:val="16"/>
                <w:szCs w:val="16"/>
                <w:color w:val="auto"/>
              </w:rPr>
              <w:t>Other operation and maintenance</w:t>
            </w:r>
          </w:p>
        </w:tc>
        <w:tc>
          <w:tcPr>
            <w:tcW w:w="240" w:type="dxa"/>
            <w:vAlign w:val="bottom"/>
          </w:tcPr>
          <w:p>
            <w:pPr>
              <w:spacing w:after="0"/>
              <w:rPr>
                <w:sz w:val="15"/>
                <w:szCs w:val="15"/>
                <w:color w:val="auto"/>
              </w:rPr>
            </w:pPr>
          </w:p>
        </w:tc>
        <w:tc>
          <w:tcPr>
            <w:tcW w:w="1020" w:type="dxa"/>
            <w:vAlign w:val="bottom"/>
          </w:tcPr>
          <w:p>
            <w:pPr>
              <w:jc w:val="right"/>
              <w:spacing w:after="0" w:line="176" w:lineRule="exact"/>
              <w:rPr>
                <w:sz w:val="20"/>
                <w:szCs w:val="20"/>
                <w:color w:val="auto"/>
              </w:rPr>
            </w:pPr>
            <w:r>
              <w:rPr>
                <w:rFonts w:ascii="Arial" w:cs="Arial" w:eastAsia="Arial" w:hAnsi="Arial"/>
                <w:sz w:val="16"/>
                <w:szCs w:val="16"/>
                <w:color w:val="auto"/>
              </w:rPr>
              <w:t>(667)</w:t>
            </w:r>
          </w:p>
        </w:tc>
        <w:tc>
          <w:tcPr>
            <w:tcW w:w="300" w:type="dxa"/>
            <w:vAlign w:val="bottom"/>
          </w:tcPr>
          <w:p>
            <w:pPr>
              <w:spacing w:after="0"/>
              <w:rPr>
                <w:sz w:val="15"/>
                <w:szCs w:val="15"/>
                <w:color w:val="auto"/>
              </w:rPr>
            </w:pPr>
          </w:p>
        </w:tc>
        <w:tc>
          <w:tcPr>
            <w:tcW w:w="1080" w:type="dxa"/>
            <w:vAlign w:val="bottom"/>
          </w:tcPr>
          <w:p>
            <w:pPr>
              <w:jc w:val="right"/>
              <w:spacing w:after="0" w:line="176" w:lineRule="exact"/>
              <w:rPr>
                <w:sz w:val="20"/>
                <w:szCs w:val="20"/>
                <w:color w:val="auto"/>
              </w:rPr>
            </w:pPr>
            <w:r>
              <w:rPr>
                <w:rFonts w:ascii="Arial" w:cs="Arial" w:eastAsia="Arial" w:hAnsi="Arial"/>
                <w:sz w:val="16"/>
                <w:szCs w:val="16"/>
                <w:color w:val="auto"/>
              </w:rPr>
              <w:t>(616)</w:t>
            </w:r>
          </w:p>
        </w:tc>
        <w:tc>
          <w:tcPr>
            <w:tcW w:w="380" w:type="dxa"/>
            <w:vAlign w:val="bottom"/>
          </w:tcPr>
          <w:p>
            <w:pPr>
              <w:spacing w:after="0"/>
              <w:rPr>
                <w:sz w:val="15"/>
                <w:szCs w:val="15"/>
                <w:color w:val="auto"/>
              </w:rPr>
            </w:pPr>
          </w:p>
        </w:tc>
        <w:tc>
          <w:tcPr>
            <w:tcW w:w="860" w:type="dxa"/>
            <w:vAlign w:val="bottom"/>
          </w:tcPr>
          <w:p>
            <w:pPr>
              <w:jc w:val="right"/>
              <w:spacing w:after="0" w:line="176" w:lineRule="exact"/>
              <w:rPr>
                <w:sz w:val="20"/>
                <w:szCs w:val="20"/>
                <w:color w:val="auto"/>
              </w:rPr>
            </w:pPr>
            <w:r>
              <w:rPr>
                <w:rFonts w:ascii="Arial" w:cs="Arial" w:eastAsia="Arial" w:hAnsi="Arial"/>
                <w:sz w:val="16"/>
                <w:szCs w:val="16"/>
                <w:color w:val="auto"/>
              </w:rPr>
              <w:t>(1,299)</w:t>
            </w:r>
          </w:p>
        </w:tc>
        <w:tc>
          <w:tcPr>
            <w:tcW w:w="300" w:type="dxa"/>
            <w:vAlign w:val="bottom"/>
          </w:tcPr>
          <w:p>
            <w:pPr>
              <w:spacing w:after="0"/>
              <w:rPr>
                <w:sz w:val="15"/>
                <w:szCs w:val="15"/>
                <w:color w:val="auto"/>
              </w:rPr>
            </w:pPr>
          </w:p>
        </w:tc>
        <w:tc>
          <w:tcPr>
            <w:tcW w:w="1060" w:type="dxa"/>
            <w:vAlign w:val="bottom"/>
          </w:tcPr>
          <w:p>
            <w:pPr>
              <w:jc w:val="right"/>
              <w:spacing w:after="0" w:line="176" w:lineRule="exact"/>
              <w:rPr>
                <w:sz w:val="20"/>
                <w:szCs w:val="20"/>
                <w:color w:val="auto"/>
              </w:rPr>
            </w:pPr>
            <w:r>
              <w:rPr>
                <w:rFonts w:ascii="Arial" w:cs="Arial" w:eastAsia="Arial" w:hAnsi="Arial"/>
                <w:sz w:val="16"/>
                <w:szCs w:val="16"/>
                <w:color w:val="auto"/>
              </w:rPr>
              <w:t>(1,192)</w:t>
            </w:r>
          </w:p>
        </w:tc>
        <w:tc>
          <w:tcPr>
            <w:tcW w:w="0" w:type="dxa"/>
            <w:vAlign w:val="bottom"/>
          </w:tcPr>
          <w:p>
            <w:pPr>
              <w:spacing w:after="0"/>
              <w:rPr>
                <w:sz w:val="1"/>
                <w:szCs w:val="1"/>
                <w:color w:val="auto"/>
              </w:rPr>
            </w:pPr>
          </w:p>
        </w:tc>
      </w:tr>
      <w:tr>
        <w:trPr>
          <w:trHeight w:val="176"/>
        </w:trPr>
        <w:tc>
          <w:tcPr>
            <w:tcW w:w="6180" w:type="dxa"/>
            <w:vAlign w:val="bottom"/>
          </w:tcPr>
          <w:p>
            <w:pPr>
              <w:spacing w:after="0" w:line="176" w:lineRule="exact"/>
              <w:rPr>
                <w:sz w:val="20"/>
                <w:szCs w:val="20"/>
                <w:color w:val="auto"/>
              </w:rPr>
            </w:pPr>
            <w:r>
              <w:rPr>
                <w:rFonts w:ascii="Arial" w:cs="Arial" w:eastAsia="Arial" w:hAnsi="Arial"/>
                <w:sz w:val="16"/>
                <w:szCs w:val="16"/>
                <w:color w:val="auto"/>
              </w:rPr>
              <w:t>Depreciation and amortization</w:t>
            </w:r>
          </w:p>
        </w:tc>
        <w:tc>
          <w:tcPr>
            <w:tcW w:w="240" w:type="dxa"/>
            <w:vAlign w:val="bottom"/>
          </w:tcPr>
          <w:p>
            <w:pPr>
              <w:spacing w:after="0"/>
              <w:rPr>
                <w:sz w:val="15"/>
                <w:szCs w:val="15"/>
                <w:color w:val="auto"/>
              </w:rPr>
            </w:pPr>
          </w:p>
        </w:tc>
        <w:tc>
          <w:tcPr>
            <w:tcW w:w="1020" w:type="dxa"/>
            <w:vAlign w:val="bottom"/>
          </w:tcPr>
          <w:p>
            <w:pPr>
              <w:jc w:val="right"/>
              <w:spacing w:after="0" w:line="176" w:lineRule="exact"/>
              <w:rPr>
                <w:sz w:val="20"/>
                <w:szCs w:val="20"/>
                <w:color w:val="auto"/>
              </w:rPr>
            </w:pPr>
            <w:r>
              <w:rPr>
                <w:rFonts w:ascii="Arial" w:cs="Arial" w:eastAsia="Arial" w:hAnsi="Arial"/>
                <w:sz w:val="16"/>
                <w:szCs w:val="16"/>
                <w:color w:val="auto"/>
              </w:rPr>
              <w:t>(248)</w:t>
            </w:r>
          </w:p>
        </w:tc>
        <w:tc>
          <w:tcPr>
            <w:tcW w:w="300" w:type="dxa"/>
            <w:vAlign w:val="bottom"/>
          </w:tcPr>
          <w:p>
            <w:pPr>
              <w:spacing w:after="0"/>
              <w:rPr>
                <w:sz w:val="15"/>
                <w:szCs w:val="15"/>
                <w:color w:val="auto"/>
              </w:rPr>
            </w:pPr>
          </w:p>
        </w:tc>
        <w:tc>
          <w:tcPr>
            <w:tcW w:w="1080" w:type="dxa"/>
            <w:vAlign w:val="bottom"/>
          </w:tcPr>
          <w:p>
            <w:pPr>
              <w:jc w:val="right"/>
              <w:spacing w:after="0" w:line="176" w:lineRule="exact"/>
              <w:rPr>
                <w:sz w:val="20"/>
                <w:szCs w:val="20"/>
                <w:color w:val="auto"/>
              </w:rPr>
            </w:pPr>
            <w:r>
              <w:rPr>
                <w:rFonts w:ascii="Arial" w:cs="Arial" w:eastAsia="Arial" w:hAnsi="Arial"/>
                <w:sz w:val="16"/>
                <w:szCs w:val="16"/>
                <w:color w:val="auto"/>
              </w:rPr>
              <w:t>(215)</w:t>
            </w:r>
          </w:p>
        </w:tc>
        <w:tc>
          <w:tcPr>
            <w:tcW w:w="380" w:type="dxa"/>
            <w:vAlign w:val="bottom"/>
          </w:tcPr>
          <w:p>
            <w:pPr>
              <w:spacing w:after="0"/>
              <w:rPr>
                <w:sz w:val="15"/>
                <w:szCs w:val="15"/>
                <w:color w:val="auto"/>
              </w:rPr>
            </w:pPr>
          </w:p>
        </w:tc>
        <w:tc>
          <w:tcPr>
            <w:tcW w:w="860" w:type="dxa"/>
            <w:vAlign w:val="bottom"/>
          </w:tcPr>
          <w:p>
            <w:pPr>
              <w:jc w:val="right"/>
              <w:spacing w:after="0" w:line="176" w:lineRule="exact"/>
              <w:rPr>
                <w:sz w:val="20"/>
                <w:szCs w:val="20"/>
                <w:color w:val="auto"/>
              </w:rPr>
            </w:pPr>
            <w:r>
              <w:rPr>
                <w:rFonts w:ascii="Arial" w:cs="Arial" w:eastAsia="Arial" w:hAnsi="Arial"/>
                <w:sz w:val="16"/>
                <w:szCs w:val="16"/>
                <w:color w:val="auto"/>
              </w:rPr>
              <w:t>(479)</w:t>
            </w:r>
          </w:p>
        </w:tc>
        <w:tc>
          <w:tcPr>
            <w:tcW w:w="300" w:type="dxa"/>
            <w:vAlign w:val="bottom"/>
          </w:tcPr>
          <w:p>
            <w:pPr>
              <w:spacing w:after="0"/>
              <w:rPr>
                <w:sz w:val="15"/>
                <w:szCs w:val="15"/>
                <w:color w:val="auto"/>
              </w:rPr>
            </w:pPr>
          </w:p>
        </w:tc>
        <w:tc>
          <w:tcPr>
            <w:tcW w:w="1060" w:type="dxa"/>
            <w:vAlign w:val="bottom"/>
          </w:tcPr>
          <w:p>
            <w:pPr>
              <w:jc w:val="right"/>
              <w:spacing w:after="0" w:line="176" w:lineRule="exact"/>
              <w:rPr>
                <w:sz w:val="20"/>
                <w:szCs w:val="20"/>
                <w:color w:val="auto"/>
              </w:rPr>
            </w:pPr>
            <w:r>
              <w:rPr>
                <w:rFonts w:ascii="Arial" w:cs="Arial" w:eastAsia="Arial" w:hAnsi="Arial"/>
                <w:sz w:val="16"/>
                <w:szCs w:val="16"/>
                <w:color w:val="auto"/>
              </w:rPr>
              <w:t>(425)</w:t>
            </w:r>
          </w:p>
        </w:tc>
        <w:tc>
          <w:tcPr>
            <w:tcW w:w="0" w:type="dxa"/>
            <w:vAlign w:val="bottom"/>
          </w:tcPr>
          <w:p>
            <w:pPr>
              <w:spacing w:after="0"/>
              <w:rPr>
                <w:sz w:val="1"/>
                <w:szCs w:val="1"/>
                <w:color w:val="auto"/>
              </w:rPr>
            </w:pPr>
          </w:p>
        </w:tc>
      </w:tr>
      <w:tr>
        <w:trPr>
          <w:trHeight w:val="176"/>
        </w:trPr>
        <w:tc>
          <w:tcPr>
            <w:tcW w:w="6180" w:type="dxa"/>
            <w:vAlign w:val="bottom"/>
          </w:tcPr>
          <w:p>
            <w:pPr>
              <w:spacing w:after="0" w:line="176" w:lineRule="exact"/>
              <w:rPr>
                <w:sz w:val="20"/>
                <w:szCs w:val="20"/>
                <w:color w:val="auto"/>
              </w:rPr>
            </w:pPr>
            <w:r>
              <w:rPr>
                <w:rFonts w:ascii="Arial" w:cs="Arial" w:eastAsia="Arial" w:hAnsi="Arial"/>
                <w:sz w:val="16"/>
                <w:szCs w:val="16"/>
                <w:color w:val="auto"/>
              </w:rPr>
              <w:t>Franchise fees and other taxes</w:t>
            </w:r>
          </w:p>
        </w:tc>
        <w:tc>
          <w:tcPr>
            <w:tcW w:w="240" w:type="dxa"/>
            <w:vAlign w:val="bottom"/>
          </w:tcPr>
          <w:p>
            <w:pPr>
              <w:spacing w:after="0"/>
              <w:rPr>
                <w:sz w:val="15"/>
                <w:szCs w:val="15"/>
                <w:color w:val="auto"/>
              </w:rPr>
            </w:pPr>
          </w:p>
        </w:tc>
        <w:tc>
          <w:tcPr>
            <w:tcW w:w="1020" w:type="dxa"/>
            <w:vAlign w:val="bottom"/>
          </w:tcPr>
          <w:p>
            <w:pPr>
              <w:jc w:val="right"/>
              <w:spacing w:after="0" w:line="176" w:lineRule="exact"/>
              <w:rPr>
                <w:sz w:val="20"/>
                <w:szCs w:val="20"/>
                <w:color w:val="auto"/>
              </w:rPr>
            </w:pPr>
            <w:r>
              <w:rPr>
                <w:rFonts w:ascii="Arial" w:cs="Arial" w:eastAsia="Arial" w:hAnsi="Arial"/>
                <w:sz w:val="16"/>
                <w:szCs w:val="16"/>
                <w:color w:val="auto"/>
              </w:rPr>
              <w:t>(80)</w:t>
            </w:r>
          </w:p>
        </w:tc>
        <w:tc>
          <w:tcPr>
            <w:tcW w:w="300" w:type="dxa"/>
            <w:vAlign w:val="bottom"/>
          </w:tcPr>
          <w:p>
            <w:pPr>
              <w:spacing w:after="0"/>
              <w:rPr>
                <w:sz w:val="15"/>
                <w:szCs w:val="15"/>
                <w:color w:val="auto"/>
              </w:rPr>
            </w:pPr>
          </w:p>
        </w:tc>
        <w:tc>
          <w:tcPr>
            <w:tcW w:w="1080" w:type="dxa"/>
            <w:vAlign w:val="bottom"/>
          </w:tcPr>
          <w:p>
            <w:pPr>
              <w:jc w:val="right"/>
              <w:spacing w:after="0" w:line="176" w:lineRule="exact"/>
              <w:rPr>
                <w:sz w:val="20"/>
                <w:szCs w:val="20"/>
                <w:color w:val="auto"/>
              </w:rPr>
            </w:pPr>
            <w:r>
              <w:rPr>
                <w:rFonts w:ascii="Arial" w:cs="Arial" w:eastAsia="Arial" w:hAnsi="Arial"/>
                <w:sz w:val="16"/>
                <w:szCs w:val="16"/>
                <w:color w:val="auto"/>
              </w:rPr>
              <w:t>(77)</w:t>
            </w:r>
          </w:p>
        </w:tc>
        <w:tc>
          <w:tcPr>
            <w:tcW w:w="380" w:type="dxa"/>
            <w:vAlign w:val="bottom"/>
          </w:tcPr>
          <w:p>
            <w:pPr>
              <w:spacing w:after="0"/>
              <w:rPr>
                <w:sz w:val="15"/>
                <w:szCs w:val="15"/>
                <w:color w:val="auto"/>
              </w:rPr>
            </w:pPr>
          </w:p>
        </w:tc>
        <w:tc>
          <w:tcPr>
            <w:tcW w:w="860" w:type="dxa"/>
            <w:vAlign w:val="bottom"/>
          </w:tcPr>
          <w:p>
            <w:pPr>
              <w:jc w:val="right"/>
              <w:spacing w:after="0" w:line="176" w:lineRule="exact"/>
              <w:rPr>
                <w:sz w:val="20"/>
                <w:szCs w:val="20"/>
                <w:color w:val="auto"/>
              </w:rPr>
            </w:pPr>
            <w:r>
              <w:rPr>
                <w:rFonts w:ascii="Arial" w:cs="Arial" w:eastAsia="Arial" w:hAnsi="Arial"/>
                <w:sz w:val="16"/>
                <w:szCs w:val="16"/>
                <w:color w:val="auto"/>
              </w:rPr>
              <w:t>(175)</w:t>
            </w:r>
          </w:p>
        </w:tc>
        <w:tc>
          <w:tcPr>
            <w:tcW w:w="300" w:type="dxa"/>
            <w:vAlign w:val="bottom"/>
          </w:tcPr>
          <w:p>
            <w:pPr>
              <w:spacing w:after="0"/>
              <w:rPr>
                <w:sz w:val="15"/>
                <w:szCs w:val="15"/>
                <w:color w:val="auto"/>
              </w:rPr>
            </w:pPr>
          </w:p>
        </w:tc>
        <w:tc>
          <w:tcPr>
            <w:tcW w:w="1060" w:type="dxa"/>
            <w:vAlign w:val="bottom"/>
          </w:tcPr>
          <w:p>
            <w:pPr>
              <w:jc w:val="right"/>
              <w:spacing w:after="0" w:line="176" w:lineRule="exact"/>
              <w:rPr>
                <w:sz w:val="20"/>
                <w:szCs w:val="20"/>
                <w:color w:val="auto"/>
              </w:rPr>
            </w:pPr>
            <w:r>
              <w:rPr>
                <w:rFonts w:ascii="Arial" w:cs="Arial" w:eastAsia="Arial" w:hAnsi="Arial"/>
                <w:sz w:val="16"/>
                <w:szCs w:val="16"/>
                <w:color w:val="auto"/>
              </w:rPr>
              <w:t>(167)</w:t>
            </w:r>
          </w:p>
        </w:tc>
        <w:tc>
          <w:tcPr>
            <w:tcW w:w="0" w:type="dxa"/>
            <w:vAlign w:val="bottom"/>
          </w:tcPr>
          <w:p>
            <w:pPr>
              <w:spacing w:after="0"/>
              <w:rPr>
                <w:sz w:val="1"/>
                <w:szCs w:val="1"/>
                <w:color w:val="auto"/>
              </w:rPr>
            </w:pPr>
          </w:p>
        </w:tc>
      </w:tr>
      <w:tr>
        <w:trPr>
          <w:trHeight w:val="176"/>
        </w:trPr>
        <w:tc>
          <w:tcPr>
            <w:tcW w:w="6180" w:type="dxa"/>
            <w:vAlign w:val="bottom"/>
          </w:tcPr>
          <w:p>
            <w:pPr>
              <w:spacing w:after="0" w:line="176" w:lineRule="exact"/>
              <w:rPr>
                <w:sz w:val="20"/>
                <w:szCs w:val="20"/>
                <w:color w:val="auto"/>
              </w:rPr>
            </w:pPr>
            <w:r>
              <w:rPr>
                <w:rFonts w:ascii="Arial" w:cs="Arial" w:eastAsia="Arial" w:hAnsi="Arial"/>
                <w:sz w:val="16"/>
                <w:szCs w:val="16"/>
                <w:color w:val="auto"/>
              </w:rPr>
              <w:t>Equity earnings (losses), before income tax</w:t>
            </w:r>
          </w:p>
        </w:tc>
        <w:tc>
          <w:tcPr>
            <w:tcW w:w="240" w:type="dxa"/>
            <w:vAlign w:val="bottom"/>
          </w:tcPr>
          <w:p>
            <w:pPr>
              <w:spacing w:after="0"/>
              <w:rPr>
                <w:sz w:val="15"/>
                <w:szCs w:val="15"/>
                <w:color w:val="auto"/>
              </w:rPr>
            </w:pPr>
          </w:p>
        </w:tc>
        <w:tc>
          <w:tcPr>
            <w:tcW w:w="1020" w:type="dxa"/>
            <w:vAlign w:val="bottom"/>
          </w:tcPr>
          <w:p>
            <w:pPr>
              <w:jc w:val="right"/>
              <w:spacing w:after="0" w:line="176" w:lineRule="exact"/>
              <w:rPr>
                <w:sz w:val="20"/>
                <w:szCs w:val="20"/>
                <w:color w:val="auto"/>
              </w:rPr>
            </w:pPr>
            <w:r>
              <w:rPr>
                <w:rFonts w:ascii="Arial" w:cs="Arial" w:eastAsia="Arial" w:hAnsi="Arial"/>
                <w:sz w:val="16"/>
                <w:szCs w:val="16"/>
                <w:color w:val="auto"/>
              </w:rPr>
              <w:t>7</w:t>
            </w:r>
          </w:p>
        </w:tc>
        <w:tc>
          <w:tcPr>
            <w:tcW w:w="300" w:type="dxa"/>
            <w:vAlign w:val="bottom"/>
          </w:tcPr>
          <w:p>
            <w:pPr>
              <w:spacing w:after="0"/>
              <w:rPr>
                <w:sz w:val="15"/>
                <w:szCs w:val="15"/>
                <w:color w:val="auto"/>
              </w:rPr>
            </w:pPr>
          </w:p>
        </w:tc>
        <w:tc>
          <w:tcPr>
            <w:tcW w:w="1080" w:type="dxa"/>
            <w:vAlign w:val="bottom"/>
          </w:tcPr>
          <w:p>
            <w:pPr>
              <w:jc w:val="right"/>
              <w:spacing w:after="0" w:line="176" w:lineRule="exact"/>
              <w:rPr>
                <w:sz w:val="20"/>
                <w:szCs w:val="20"/>
                <w:color w:val="auto"/>
              </w:rPr>
            </w:pPr>
            <w:r>
              <w:rPr>
                <w:rFonts w:ascii="Arial" w:cs="Arial" w:eastAsia="Arial" w:hAnsi="Arial"/>
                <w:sz w:val="16"/>
                <w:szCs w:val="16"/>
                <w:color w:val="auto"/>
              </w:rPr>
              <w:t>(8)</w:t>
            </w:r>
          </w:p>
        </w:tc>
        <w:tc>
          <w:tcPr>
            <w:tcW w:w="380" w:type="dxa"/>
            <w:vAlign w:val="bottom"/>
          </w:tcPr>
          <w:p>
            <w:pPr>
              <w:spacing w:after="0"/>
              <w:rPr>
                <w:sz w:val="15"/>
                <w:szCs w:val="15"/>
                <w:color w:val="auto"/>
              </w:rPr>
            </w:pPr>
          </w:p>
        </w:tc>
        <w:tc>
          <w:tcPr>
            <w:tcW w:w="860" w:type="dxa"/>
            <w:vAlign w:val="bottom"/>
          </w:tcPr>
          <w:p>
            <w:pPr>
              <w:jc w:val="right"/>
              <w:spacing w:after="0" w:line="176" w:lineRule="exact"/>
              <w:rPr>
                <w:sz w:val="20"/>
                <w:szCs w:val="20"/>
                <w:color w:val="auto"/>
              </w:rPr>
            </w:pPr>
            <w:r>
              <w:rPr>
                <w:rFonts w:ascii="Arial" w:cs="Arial" w:eastAsia="Arial" w:hAnsi="Arial"/>
                <w:sz w:val="16"/>
                <w:szCs w:val="16"/>
                <w:color w:val="auto"/>
              </w:rPr>
              <w:t>8</w:t>
            </w:r>
          </w:p>
        </w:tc>
        <w:tc>
          <w:tcPr>
            <w:tcW w:w="300" w:type="dxa"/>
            <w:vAlign w:val="bottom"/>
          </w:tcPr>
          <w:p>
            <w:pPr>
              <w:spacing w:after="0"/>
              <w:rPr>
                <w:sz w:val="15"/>
                <w:szCs w:val="15"/>
                <w:color w:val="auto"/>
              </w:rPr>
            </w:pPr>
          </w:p>
        </w:tc>
        <w:tc>
          <w:tcPr>
            <w:tcW w:w="1060" w:type="dxa"/>
            <w:vAlign w:val="bottom"/>
          </w:tcPr>
          <w:p>
            <w:pPr>
              <w:jc w:val="right"/>
              <w:spacing w:after="0" w:line="176" w:lineRule="exact"/>
              <w:rPr>
                <w:sz w:val="20"/>
                <w:szCs w:val="20"/>
                <w:color w:val="auto"/>
              </w:rPr>
            </w:pPr>
            <w:r>
              <w:rPr>
                <w:rFonts w:ascii="Arial" w:cs="Arial" w:eastAsia="Arial" w:hAnsi="Arial"/>
                <w:sz w:val="16"/>
                <w:szCs w:val="16"/>
                <w:color w:val="auto"/>
              </w:rPr>
              <w:t>7</w:t>
            </w:r>
          </w:p>
        </w:tc>
        <w:tc>
          <w:tcPr>
            <w:tcW w:w="0" w:type="dxa"/>
            <w:vAlign w:val="bottom"/>
          </w:tcPr>
          <w:p>
            <w:pPr>
              <w:spacing w:after="0"/>
              <w:rPr>
                <w:sz w:val="1"/>
                <w:szCs w:val="1"/>
                <w:color w:val="auto"/>
              </w:rPr>
            </w:pPr>
          </w:p>
        </w:tc>
      </w:tr>
      <w:tr>
        <w:trPr>
          <w:trHeight w:val="176"/>
        </w:trPr>
        <w:tc>
          <w:tcPr>
            <w:tcW w:w="6180" w:type="dxa"/>
            <w:vAlign w:val="bottom"/>
          </w:tcPr>
          <w:p>
            <w:pPr>
              <w:spacing w:after="0" w:line="176" w:lineRule="exact"/>
              <w:rPr>
                <w:sz w:val="20"/>
                <w:szCs w:val="20"/>
                <w:color w:val="auto"/>
              </w:rPr>
            </w:pPr>
            <w:r>
              <w:rPr>
                <w:rFonts w:ascii="Arial" w:cs="Arial" w:eastAsia="Arial" w:hAnsi="Arial"/>
                <w:sz w:val="16"/>
                <w:szCs w:val="16"/>
                <w:color w:val="auto"/>
              </w:rPr>
              <w:t>Remeasurement of equity method investments</w:t>
            </w:r>
          </w:p>
        </w:tc>
        <w:tc>
          <w:tcPr>
            <w:tcW w:w="240" w:type="dxa"/>
            <w:vAlign w:val="bottom"/>
          </w:tcPr>
          <w:p>
            <w:pPr>
              <w:spacing w:after="0"/>
              <w:rPr>
                <w:sz w:val="15"/>
                <w:szCs w:val="15"/>
                <w:color w:val="auto"/>
              </w:rPr>
            </w:pPr>
          </w:p>
        </w:tc>
        <w:tc>
          <w:tcPr>
            <w:tcW w:w="1020" w:type="dxa"/>
            <w:vAlign w:val="bottom"/>
          </w:tcPr>
          <w:p>
            <w:pPr>
              <w:jc w:val="right"/>
              <w:spacing w:after="0" w:line="176" w:lineRule="exact"/>
              <w:rPr>
                <w:sz w:val="20"/>
                <w:szCs w:val="20"/>
                <w:color w:val="auto"/>
              </w:rPr>
            </w:pPr>
            <w:r>
              <w:rPr>
                <w:rFonts w:ascii="Arial" w:cs="Arial" w:eastAsia="Arial" w:hAnsi="Arial"/>
                <w:sz w:val="16"/>
                <w:szCs w:val="16"/>
                <w:color w:val="auto"/>
              </w:rPr>
              <w:t>277</w:t>
            </w:r>
          </w:p>
        </w:tc>
        <w:tc>
          <w:tcPr>
            <w:tcW w:w="300" w:type="dxa"/>
            <w:vAlign w:val="bottom"/>
          </w:tcPr>
          <w:p>
            <w:pPr>
              <w:spacing w:after="0"/>
              <w:rPr>
                <w:sz w:val="15"/>
                <w:szCs w:val="15"/>
                <w:color w:val="auto"/>
              </w:rPr>
            </w:pPr>
          </w:p>
        </w:tc>
        <w:tc>
          <w:tcPr>
            <w:tcW w:w="1080" w:type="dxa"/>
            <w:vAlign w:val="bottom"/>
          </w:tcPr>
          <w:p>
            <w:pPr>
              <w:jc w:val="right"/>
              <w:ind w:right="20"/>
              <w:spacing w:after="0" w:line="176" w:lineRule="exact"/>
              <w:rPr>
                <w:sz w:val="20"/>
                <w:szCs w:val="20"/>
                <w:color w:val="auto"/>
              </w:rPr>
            </w:pPr>
            <w:r>
              <w:rPr>
                <w:rFonts w:ascii="Arial" w:cs="Arial" w:eastAsia="Arial" w:hAnsi="Arial"/>
                <w:sz w:val="16"/>
                <w:szCs w:val="16"/>
                <w:color w:val="auto"/>
              </w:rPr>
              <w:t>―</w:t>
            </w:r>
          </w:p>
        </w:tc>
        <w:tc>
          <w:tcPr>
            <w:tcW w:w="380" w:type="dxa"/>
            <w:vAlign w:val="bottom"/>
          </w:tcPr>
          <w:p>
            <w:pPr>
              <w:spacing w:after="0"/>
              <w:rPr>
                <w:sz w:val="15"/>
                <w:szCs w:val="15"/>
                <w:color w:val="auto"/>
              </w:rPr>
            </w:pPr>
          </w:p>
        </w:tc>
        <w:tc>
          <w:tcPr>
            <w:tcW w:w="860" w:type="dxa"/>
            <w:vAlign w:val="bottom"/>
          </w:tcPr>
          <w:p>
            <w:pPr>
              <w:jc w:val="right"/>
              <w:spacing w:after="0" w:line="176" w:lineRule="exact"/>
              <w:rPr>
                <w:sz w:val="20"/>
                <w:szCs w:val="20"/>
                <w:color w:val="auto"/>
              </w:rPr>
            </w:pPr>
            <w:r>
              <w:rPr>
                <w:rFonts w:ascii="Arial" w:cs="Arial" w:eastAsia="Arial" w:hAnsi="Arial"/>
                <w:sz w:val="16"/>
                <w:szCs w:val="16"/>
                <w:color w:val="auto"/>
              </w:rPr>
              <w:t>277</w:t>
            </w:r>
          </w:p>
        </w:tc>
        <w:tc>
          <w:tcPr>
            <w:tcW w:w="300" w:type="dxa"/>
            <w:vAlign w:val="bottom"/>
          </w:tcPr>
          <w:p>
            <w:pPr>
              <w:spacing w:after="0"/>
              <w:rPr>
                <w:sz w:val="15"/>
                <w:szCs w:val="15"/>
                <w:color w:val="auto"/>
              </w:rPr>
            </w:pPr>
          </w:p>
        </w:tc>
        <w:tc>
          <w:tcPr>
            <w:tcW w:w="1060" w:type="dxa"/>
            <w:vAlign w:val="bottom"/>
          </w:tcPr>
          <w:p>
            <w:pPr>
              <w:jc w:val="right"/>
              <w:spacing w:after="0" w:line="176" w:lineRule="exact"/>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76"/>
        </w:trPr>
        <w:tc>
          <w:tcPr>
            <w:tcW w:w="6180" w:type="dxa"/>
            <w:vAlign w:val="bottom"/>
          </w:tcPr>
          <w:p>
            <w:pPr>
              <w:spacing w:after="0" w:line="176" w:lineRule="exact"/>
              <w:rPr>
                <w:sz w:val="20"/>
                <w:szCs w:val="20"/>
                <w:color w:val="auto"/>
              </w:rPr>
            </w:pPr>
            <w:r>
              <w:rPr>
                <w:rFonts w:ascii="Arial" w:cs="Arial" w:eastAsia="Arial" w:hAnsi="Arial"/>
                <w:sz w:val="16"/>
                <w:szCs w:val="16"/>
                <w:color w:val="auto"/>
              </w:rPr>
              <w:t>Other income, net</w:t>
            </w:r>
          </w:p>
        </w:tc>
        <w:tc>
          <w:tcPr>
            <w:tcW w:w="240" w:type="dxa"/>
            <w:vAlign w:val="bottom"/>
          </w:tcPr>
          <w:p>
            <w:pPr>
              <w:spacing w:after="0"/>
              <w:rPr>
                <w:sz w:val="15"/>
                <w:szCs w:val="15"/>
                <w:color w:val="auto"/>
              </w:rPr>
            </w:pPr>
          </w:p>
        </w:tc>
        <w:tc>
          <w:tcPr>
            <w:tcW w:w="1020" w:type="dxa"/>
            <w:vAlign w:val="bottom"/>
          </w:tcPr>
          <w:p>
            <w:pPr>
              <w:jc w:val="right"/>
              <w:spacing w:after="0" w:line="176" w:lineRule="exact"/>
              <w:rPr>
                <w:sz w:val="20"/>
                <w:szCs w:val="20"/>
                <w:color w:val="auto"/>
              </w:rPr>
            </w:pPr>
            <w:r>
              <w:rPr>
                <w:rFonts w:ascii="Arial" w:cs="Arial" w:eastAsia="Arial" w:hAnsi="Arial"/>
                <w:sz w:val="16"/>
                <w:szCs w:val="16"/>
                <w:color w:val="auto"/>
              </w:rPr>
              <w:t>31</w:t>
            </w:r>
          </w:p>
        </w:tc>
        <w:tc>
          <w:tcPr>
            <w:tcW w:w="300" w:type="dxa"/>
            <w:vAlign w:val="bottom"/>
          </w:tcPr>
          <w:p>
            <w:pPr>
              <w:spacing w:after="0"/>
              <w:rPr>
                <w:sz w:val="15"/>
                <w:szCs w:val="15"/>
                <w:color w:val="auto"/>
              </w:rPr>
            </w:pPr>
          </w:p>
        </w:tc>
        <w:tc>
          <w:tcPr>
            <w:tcW w:w="1080" w:type="dxa"/>
            <w:vAlign w:val="bottom"/>
          </w:tcPr>
          <w:p>
            <w:pPr>
              <w:jc w:val="right"/>
              <w:ind w:right="20"/>
              <w:spacing w:after="0" w:line="176" w:lineRule="exact"/>
              <w:rPr>
                <w:sz w:val="20"/>
                <w:szCs w:val="20"/>
                <w:color w:val="auto"/>
              </w:rPr>
            </w:pPr>
            <w:r>
              <w:rPr>
                <w:rFonts w:ascii="Arial" w:cs="Arial" w:eastAsia="Arial" w:hAnsi="Arial"/>
                <w:sz w:val="16"/>
                <w:szCs w:val="16"/>
                <w:color w:val="auto"/>
              </w:rPr>
              <w:t>8</w:t>
            </w:r>
          </w:p>
        </w:tc>
        <w:tc>
          <w:tcPr>
            <w:tcW w:w="380" w:type="dxa"/>
            <w:vAlign w:val="bottom"/>
          </w:tcPr>
          <w:p>
            <w:pPr>
              <w:spacing w:after="0"/>
              <w:rPr>
                <w:sz w:val="15"/>
                <w:szCs w:val="15"/>
                <w:color w:val="auto"/>
              </w:rPr>
            </w:pPr>
          </w:p>
        </w:tc>
        <w:tc>
          <w:tcPr>
            <w:tcW w:w="860" w:type="dxa"/>
            <w:vAlign w:val="bottom"/>
          </w:tcPr>
          <w:p>
            <w:pPr>
              <w:jc w:val="right"/>
              <w:spacing w:after="0" w:line="176" w:lineRule="exact"/>
              <w:rPr>
                <w:sz w:val="20"/>
                <w:szCs w:val="20"/>
                <w:color w:val="auto"/>
              </w:rPr>
            </w:pPr>
            <w:r>
              <w:rPr>
                <w:rFonts w:ascii="Arial" w:cs="Arial" w:eastAsia="Arial" w:hAnsi="Arial"/>
                <w:sz w:val="16"/>
                <w:szCs w:val="16"/>
                <w:color w:val="auto"/>
              </w:rPr>
              <w:t>74</w:t>
            </w:r>
          </w:p>
        </w:tc>
        <w:tc>
          <w:tcPr>
            <w:tcW w:w="300" w:type="dxa"/>
            <w:vAlign w:val="bottom"/>
          </w:tcPr>
          <w:p>
            <w:pPr>
              <w:spacing w:after="0"/>
              <w:rPr>
                <w:sz w:val="15"/>
                <w:szCs w:val="15"/>
                <w:color w:val="auto"/>
              </w:rPr>
            </w:pPr>
          </w:p>
        </w:tc>
        <w:tc>
          <w:tcPr>
            <w:tcW w:w="1060" w:type="dxa"/>
            <w:vAlign w:val="bottom"/>
          </w:tcPr>
          <w:p>
            <w:pPr>
              <w:jc w:val="right"/>
              <w:spacing w:after="0" w:line="176" w:lineRule="exact"/>
              <w:rPr>
                <w:sz w:val="20"/>
                <w:szCs w:val="20"/>
                <w:color w:val="auto"/>
              </w:rPr>
            </w:pPr>
            <w:r>
              <w:rPr>
                <w:rFonts w:ascii="Arial" w:cs="Arial" w:eastAsia="Arial" w:hAnsi="Arial"/>
                <w:sz w:val="16"/>
                <w:szCs w:val="16"/>
                <w:color w:val="auto"/>
              </w:rPr>
              <w:t>16</w:t>
            </w:r>
          </w:p>
        </w:tc>
        <w:tc>
          <w:tcPr>
            <w:tcW w:w="0" w:type="dxa"/>
            <w:vAlign w:val="bottom"/>
          </w:tcPr>
          <w:p>
            <w:pPr>
              <w:spacing w:after="0"/>
              <w:rPr>
                <w:sz w:val="1"/>
                <w:szCs w:val="1"/>
                <w:color w:val="auto"/>
              </w:rPr>
            </w:pPr>
          </w:p>
        </w:tc>
      </w:tr>
      <w:tr>
        <w:trPr>
          <w:trHeight w:val="176"/>
        </w:trPr>
        <w:tc>
          <w:tcPr>
            <w:tcW w:w="6180" w:type="dxa"/>
            <w:vAlign w:val="bottom"/>
          </w:tcPr>
          <w:p>
            <w:pPr>
              <w:spacing w:after="0" w:line="176" w:lineRule="exact"/>
              <w:rPr>
                <w:sz w:val="20"/>
                <w:szCs w:val="20"/>
                <w:color w:val="auto"/>
              </w:rPr>
            </w:pPr>
            <w:r>
              <w:rPr>
                <w:rFonts w:ascii="Arial" w:cs="Arial" w:eastAsia="Arial" w:hAnsi="Arial"/>
                <w:sz w:val="16"/>
                <w:szCs w:val="16"/>
                <w:color w:val="auto"/>
              </w:rPr>
              <w:t>Interest income</w:t>
            </w:r>
          </w:p>
        </w:tc>
        <w:tc>
          <w:tcPr>
            <w:tcW w:w="240" w:type="dxa"/>
            <w:vAlign w:val="bottom"/>
          </w:tcPr>
          <w:p>
            <w:pPr>
              <w:spacing w:after="0"/>
              <w:rPr>
                <w:sz w:val="15"/>
                <w:szCs w:val="15"/>
                <w:color w:val="auto"/>
              </w:rPr>
            </w:pPr>
          </w:p>
        </w:tc>
        <w:tc>
          <w:tcPr>
            <w:tcW w:w="1020" w:type="dxa"/>
            <w:vAlign w:val="bottom"/>
          </w:tcPr>
          <w:p>
            <w:pPr>
              <w:jc w:val="right"/>
              <w:spacing w:after="0" w:line="176" w:lineRule="exact"/>
              <w:rPr>
                <w:sz w:val="20"/>
                <w:szCs w:val="20"/>
                <w:color w:val="auto"/>
              </w:rPr>
            </w:pPr>
            <w:r>
              <w:rPr>
                <w:rFonts w:ascii="Arial" w:cs="Arial" w:eastAsia="Arial" w:hAnsi="Arial"/>
                <w:sz w:val="16"/>
                <w:szCs w:val="16"/>
                <w:color w:val="auto"/>
              </w:rPr>
              <w:t>12</w:t>
            </w:r>
          </w:p>
        </w:tc>
        <w:tc>
          <w:tcPr>
            <w:tcW w:w="300" w:type="dxa"/>
            <w:vAlign w:val="bottom"/>
          </w:tcPr>
          <w:p>
            <w:pPr>
              <w:spacing w:after="0"/>
              <w:rPr>
                <w:sz w:val="15"/>
                <w:szCs w:val="15"/>
                <w:color w:val="auto"/>
              </w:rPr>
            </w:pPr>
          </w:p>
        </w:tc>
        <w:tc>
          <w:tcPr>
            <w:tcW w:w="1080" w:type="dxa"/>
            <w:vAlign w:val="bottom"/>
          </w:tcPr>
          <w:p>
            <w:pPr>
              <w:jc w:val="right"/>
              <w:ind w:right="20"/>
              <w:spacing w:after="0" w:line="176" w:lineRule="exact"/>
              <w:rPr>
                <w:sz w:val="20"/>
                <w:szCs w:val="20"/>
                <w:color w:val="auto"/>
              </w:rPr>
            </w:pPr>
            <w:r>
              <w:rPr>
                <w:rFonts w:ascii="Arial" w:cs="Arial" w:eastAsia="Arial" w:hAnsi="Arial"/>
                <w:sz w:val="16"/>
                <w:szCs w:val="16"/>
                <w:color w:val="auto"/>
              </w:rPr>
              <w:t>4</w:t>
            </w:r>
          </w:p>
        </w:tc>
        <w:tc>
          <w:tcPr>
            <w:tcW w:w="380" w:type="dxa"/>
            <w:vAlign w:val="bottom"/>
          </w:tcPr>
          <w:p>
            <w:pPr>
              <w:spacing w:after="0"/>
              <w:rPr>
                <w:sz w:val="15"/>
                <w:szCs w:val="15"/>
                <w:color w:val="auto"/>
              </w:rPr>
            </w:pPr>
          </w:p>
        </w:tc>
        <w:tc>
          <w:tcPr>
            <w:tcW w:w="860" w:type="dxa"/>
            <w:vAlign w:val="bottom"/>
          </w:tcPr>
          <w:p>
            <w:pPr>
              <w:jc w:val="right"/>
              <w:spacing w:after="0" w:line="176" w:lineRule="exact"/>
              <w:rPr>
                <w:sz w:val="20"/>
                <w:szCs w:val="20"/>
                <w:color w:val="auto"/>
              </w:rPr>
            </w:pPr>
            <w:r>
              <w:rPr>
                <w:rFonts w:ascii="Arial" w:cs="Arial" w:eastAsia="Arial" w:hAnsi="Arial"/>
                <w:sz w:val="16"/>
                <w:szCs w:val="16"/>
                <w:color w:val="auto"/>
              </w:rPr>
              <w:t>15</w:t>
            </w:r>
          </w:p>
        </w:tc>
        <w:tc>
          <w:tcPr>
            <w:tcW w:w="300" w:type="dxa"/>
            <w:vAlign w:val="bottom"/>
          </w:tcPr>
          <w:p>
            <w:pPr>
              <w:spacing w:after="0"/>
              <w:rPr>
                <w:sz w:val="15"/>
                <w:szCs w:val="15"/>
                <w:color w:val="auto"/>
              </w:rPr>
            </w:pPr>
          </w:p>
        </w:tc>
        <w:tc>
          <w:tcPr>
            <w:tcW w:w="1060" w:type="dxa"/>
            <w:vAlign w:val="bottom"/>
          </w:tcPr>
          <w:p>
            <w:pPr>
              <w:jc w:val="right"/>
              <w:spacing w:after="0" w:line="176" w:lineRule="exact"/>
              <w:rPr>
                <w:sz w:val="20"/>
                <w:szCs w:val="20"/>
                <w:color w:val="auto"/>
              </w:rPr>
            </w:pPr>
            <w:r>
              <w:rPr>
                <w:rFonts w:ascii="Arial" w:cs="Arial" w:eastAsia="Arial" w:hAnsi="Arial"/>
                <w:sz w:val="16"/>
                <w:szCs w:val="16"/>
                <w:color w:val="auto"/>
              </w:rPr>
              <w:t>8</w:t>
            </w:r>
          </w:p>
        </w:tc>
        <w:tc>
          <w:tcPr>
            <w:tcW w:w="0" w:type="dxa"/>
            <w:vAlign w:val="bottom"/>
          </w:tcPr>
          <w:p>
            <w:pPr>
              <w:spacing w:after="0"/>
              <w:rPr>
                <w:sz w:val="1"/>
                <w:szCs w:val="1"/>
                <w:color w:val="auto"/>
              </w:rPr>
            </w:pPr>
          </w:p>
        </w:tc>
      </w:tr>
      <w:tr>
        <w:trPr>
          <w:trHeight w:val="194"/>
        </w:trPr>
        <w:tc>
          <w:tcPr>
            <w:tcW w:w="6180" w:type="dxa"/>
            <w:vAlign w:val="bottom"/>
          </w:tcPr>
          <w:p>
            <w:pPr>
              <w:spacing w:after="0"/>
              <w:rPr>
                <w:sz w:val="20"/>
                <w:szCs w:val="20"/>
                <w:color w:val="auto"/>
              </w:rPr>
            </w:pPr>
            <w:r>
              <w:rPr>
                <w:rFonts w:ascii="Arial" w:cs="Arial" w:eastAsia="Arial" w:hAnsi="Arial"/>
                <w:sz w:val="16"/>
                <w:szCs w:val="16"/>
                <w:color w:val="auto"/>
              </w:rPr>
              <w:t>Interest expense</w:t>
            </w:r>
          </w:p>
        </w:tc>
        <w:tc>
          <w:tcPr>
            <w:tcW w:w="2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(118)</w:t>
            </w:r>
          </w:p>
        </w:tc>
        <w:tc>
          <w:tcPr>
            <w:tcW w:w="3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(103)</w:t>
            </w:r>
          </w:p>
        </w:tc>
        <w:tc>
          <w:tcPr>
            <w:tcW w:w="3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(226)</w:t>
            </w:r>
          </w:p>
        </w:tc>
        <w:tc>
          <w:tcPr>
            <w:tcW w:w="3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(212)</w:t>
            </w:r>
          </w:p>
        </w:tc>
        <w:tc>
          <w:tcPr>
            <w:tcW w:w="0" w:type="dxa"/>
            <w:vAlign w:val="bottom"/>
          </w:tcPr>
          <w:p>
            <w:pPr>
              <w:spacing w:after="0"/>
              <w:rPr>
                <w:sz w:val="1"/>
                <w:szCs w:val="1"/>
                <w:color w:val="auto"/>
              </w:rPr>
            </w:pPr>
          </w:p>
        </w:tc>
      </w:tr>
      <w:tr>
        <w:trPr>
          <w:trHeight w:val="164"/>
        </w:trPr>
        <w:tc>
          <w:tcPr>
            <w:tcW w:w="6180" w:type="dxa"/>
            <w:vAlign w:val="bottom"/>
          </w:tcPr>
          <w:p>
            <w:pPr>
              <w:spacing w:after="0" w:line="164" w:lineRule="exact"/>
              <w:rPr>
                <w:sz w:val="20"/>
                <w:szCs w:val="20"/>
                <w:color w:val="auto"/>
              </w:rPr>
            </w:pPr>
            <w:r>
              <w:rPr>
                <w:rFonts w:ascii="Arial" w:cs="Arial" w:eastAsia="Arial" w:hAnsi="Arial"/>
                <w:sz w:val="16"/>
                <w:szCs w:val="16"/>
                <w:color w:val="auto"/>
              </w:rPr>
              <w:t>Income before income taxes and equity earnings</w:t>
            </w:r>
          </w:p>
        </w:tc>
        <w:tc>
          <w:tcPr>
            <w:tcW w:w="2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6180" w:type="dxa"/>
            <w:vAlign w:val="bottom"/>
          </w:tcPr>
          <w:p>
            <w:pPr>
              <w:ind w:left="180"/>
              <w:spacing w:after="0" w:line="176" w:lineRule="exact"/>
              <w:rPr>
                <w:sz w:val="20"/>
                <w:szCs w:val="20"/>
                <w:color w:val="auto"/>
              </w:rPr>
            </w:pPr>
            <w:r>
              <w:rPr>
                <w:rFonts w:ascii="Arial" w:cs="Arial" w:eastAsia="Arial" w:hAnsi="Arial"/>
                <w:sz w:val="16"/>
                <w:szCs w:val="16"/>
                <w:color w:val="auto"/>
              </w:rPr>
              <w:t>of certain unconsolidated subsidiaries</w:t>
            </w:r>
          </w:p>
        </w:tc>
        <w:tc>
          <w:tcPr>
            <w:tcW w:w="240" w:type="dxa"/>
            <w:vAlign w:val="bottom"/>
          </w:tcPr>
          <w:p>
            <w:pPr>
              <w:spacing w:after="0"/>
              <w:rPr>
                <w:sz w:val="15"/>
                <w:szCs w:val="15"/>
                <w:color w:val="auto"/>
              </w:rPr>
            </w:pPr>
          </w:p>
        </w:tc>
        <w:tc>
          <w:tcPr>
            <w:tcW w:w="1020" w:type="dxa"/>
            <w:vAlign w:val="bottom"/>
          </w:tcPr>
          <w:p>
            <w:pPr>
              <w:jc w:val="right"/>
              <w:spacing w:after="0" w:line="176" w:lineRule="exact"/>
              <w:rPr>
                <w:sz w:val="20"/>
                <w:szCs w:val="20"/>
                <w:color w:val="auto"/>
              </w:rPr>
            </w:pPr>
            <w:r>
              <w:rPr>
                <w:rFonts w:ascii="Arial" w:cs="Arial" w:eastAsia="Arial" w:hAnsi="Arial"/>
                <w:sz w:val="16"/>
                <w:szCs w:val="16"/>
                <w:color w:val="auto"/>
              </w:rPr>
              <w:t>586</w:t>
            </w:r>
          </w:p>
        </w:tc>
        <w:tc>
          <w:tcPr>
            <w:tcW w:w="300" w:type="dxa"/>
            <w:vAlign w:val="bottom"/>
          </w:tcPr>
          <w:p>
            <w:pPr>
              <w:spacing w:after="0"/>
              <w:rPr>
                <w:sz w:val="15"/>
                <w:szCs w:val="15"/>
                <w:color w:val="auto"/>
              </w:rPr>
            </w:pPr>
          </w:p>
        </w:tc>
        <w:tc>
          <w:tcPr>
            <w:tcW w:w="1080" w:type="dxa"/>
            <w:vAlign w:val="bottom"/>
          </w:tcPr>
          <w:p>
            <w:pPr>
              <w:jc w:val="right"/>
              <w:ind w:right="20"/>
              <w:spacing w:after="0" w:line="176" w:lineRule="exact"/>
              <w:rPr>
                <w:sz w:val="20"/>
                <w:szCs w:val="20"/>
                <w:color w:val="auto"/>
              </w:rPr>
            </w:pPr>
            <w:r>
              <w:rPr>
                <w:rFonts w:ascii="Arial" w:cs="Arial" w:eastAsia="Arial" w:hAnsi="Arial"/>
                <w:sz w:val="16"/>
                <w:szCs w:val="16"/>
                <w:color w:val="auto"/>
              </w:rPr>
              <w:t>237</w:t>
            </w:r>
          </w:p>
        </w:tc>
        <w:tc>
          <w:tcPr>
            <w:tcW w:w="380" w:type="dxa"/>
            <w:vAlign w:val="bottom"/>
          </w:tcPr>
          <w:p>
            <w:pPr>
              <w:spacing w:after="0"/>
              <w:rPr>
                <w:sz w:val="15"/>
                <w:szCs w:val="15"/>
                <w:color w:val="auto"/>
              </w:rPr>
            </w:pPr>
          </w:p>
        </w:tc>
        <w:tc>
          <w:tcPr>
            <w:tcW w:w="860" w:type="dxa"/>
            <w:vAlign w:val="bottom"/>
          </w:tcPr>
          <w:p>
            <w:pPr>
              <w:jc w:val="right"/>
              <w:spacing w:after="0" w:line="176" w:lineRule="exact"/>
              <w:rPr>
                <w:sz w:val="20"/>
                <w:szCs w:val="20"/>
                <w:color w:val="auto"/>
              </w:rPr>
            </w:pPr>
            <w:r>
              <w:rPr>
                <w:rFonts w:ascii="Arial" w:cs="Arial" w:eastAsia="Arial" w:hAnsi="Arial"/>
                <w:sz w:val="16"/>
                <w:szCs w:val="16"/>
                <w:color w:val="auto"/>
              </w:rPr>
              <w:t>928</w:t>
            </w:r>
          </w:p>
        </w:tc>
        <w:tc>
          <w:tcPr>
            <w:tcW w:w="300" w:type="dxa"/>
            <w:vAlign w:val="bottom"/>
          </w:tcPr>
          <w:p>
            <w:pPr>
              <w:spacing w:after="0"/>
              <w:rPr>
                <w:sz w:val="15"/>
                <w:szCs w:val="15"/>
                <w:color w:val="auto"/>
              </w:rPr>
            </w:pPr>
          </w:p>
        </w:tc>
        <w:tc>
          <w:tcPr>
            <w:tcW w:w="1060" w:type="dxa"/>
            <w:vAlign w:val="bottom"/>
          </w:tcPr>
          <w:p>
            <w:pPr>
              <w:jc w:val="right"/>
              <w:spacing w:after="0" w:line="176" w:lineRule="exact"/>
              <w:rPr>
                <w:sz w:val="20"/>
                <w:szCs w:val="20"/>
                <w:color w:val="auto"/>
              </w:rPr>
            </w:pPr>
            <w:r>
              <w:rPr>
                <w:rFonts w:ascii="Arial" w:cs="Arial" w:eastAsia="Arial" w:hAnsi="Arial"/>
                <w:sz w:val="16"/>
                <w:szCs w:val="16"/>
                <w:color w:val="auto"/>
              </w:rPr>
              <w:t>376</w:t>
            </w:r>
          </w:p>
        </w:tc>
        <w:tc>
          <w:tcPr>
            <w:tcW w:w="0" w:type="dxa"/>
            <w:vAlign w:val="bottom"/>
          </w:tcPr>
          <w:p>
            <w:pPr>
              <w:spacing w:after="0"/>
              <w:rPr>
                <w:sz w:val="1"/>
                <w:szCs w:val="1"/>
                <w:color w:val="auto"/>
              </w:rPr>
            </w:pPr>
          </w:p>
        </w:tc>
      </w:tr>
      <w:tr>
        <w:trPr>
          <w:trHeight w:val="176"/>
        </w:trPr>
        <w:tc>
          <w:tcPr>
            <w:tcW w:w="6180" w:type="dxa"/>
            <w:vAlign w:val="bottom"/>
          </w:tcPr>
          <w:p>
            <w:pPr>
              <w:spacing w:after="0" w:line="176" w:lineRule="exact"/>
              <w:rPr>
                <w:sz w:val="20"/>
                <w:szCs w:val="20"/>
                <w:color w:val="auto"/>
              </w:rPr>
            </w:pPr>
            <w:r>
              <w:rPr>
                <w:rFonts w:ascii="Arial" w:cs="Arial" w:eastAsia="Arial" w:hAnsi="Arial"/>
                <w:sz w:val="16"/>
                <w:szCs w:val="16"/>
                <w:color w:val="auto"/>
              </w:rPr>
              <w:t>Income tax expense</w:t>
            </w:r>
          </w:p>
        </w:tc>
        <w:tc>
          <w:tcPr>
            <w:tcW w:w="240" w:type="dxa"/>
            <w:vAlign w:val="bottom"/>
          </w:tcPr>
          <w:p>
            <w:pPr>
              <w:spacing w:after="0"/>
              <w:rPr>
                <w:sz w:val="15"/>
                <w:szCs w:val="15"/>
                <w:color w:val="auto"/>
              </w:rPr>
            </w:pPr>
          </w:p>
        </w:tc>
        <w:tc>
          <w:tcPr>
            <w:tcW w:w="1020" w:type="dxa"/>
            <w:vAlign w:val="bottom"/>
          </w:tcPr>
          <w:p>
            <w:pPr>
              <w:jc w:val="right"/>
              <w:spacing w:after="0" w:line="176" w:lineRule="exact"/>
              <w:rPr>
                <w:sz w:val="20"/>
                <w:szCs w:val="20"/>
                <w:color w:val="auto"/>
              </w:rPr>
            </w:pPr>
            <w:r>
              <w:rPr>
                <w:rFonts w:ascii="Arial" w:cs="Arial" w:eastAsia="Arial" w:hAnsi="Arial"/>
                <w:sz w:val="16"/>
                <w:szCs w:val="16"/>
                <w:color w:val="auto"/>
              </w:rPr>
              <w:t>(92)</w:t>
            </w:r>
          </w:p>
        </w:tc>
        <w:tc>
          <w:tcPr>
            <w:tcW w:w="300" w:type="dxa"/>
            <w:vAlign w:val="bottom"/>
          </w:tcPr>
          <w:p>
            <w:pPr>
              <w:spacing w:after="0"/>
              <w:rPr>
                <w:sz w:val="15"/>
                <w:szCs w:val="15"/>
                <w:color w:val="auto"/>
              </w:rPr>
            </w:pPr>
          </w:p>
        </w:tc>
        <w:tc>
          <w:tcPr>
            <w:tcW w:w="1080" w:type="dxa"/>
            <w:vAlign w:val="bottom"/>
          </w:tcPr>
          <w:p>
            <w:pPr>
              <w:jc w:val="right"/>
              <w:spacing w:after="0" w:line="176" w:lineRule="exact"/>
              <w:rPr>
                <w:sz w:val="20"/>
                <w:szCs w:val="20"/>
                <w:color w:val="auto"/>
              </w:rPr>
            </w:pPr>
            <w:r>
              <w:rPr>
                <w:rFonts w:ascii="Arial" w:cs="Arial" w:eastAsia="Arial" w:hAnsi="Arial"/>
                <w:sz w:val="16"/>
                <w:szCs w:val="16"/>
                <w:color w:val="auto"/>
              </w:rPr>
              <w:t>(59)</w:t>
            </w:r>
          </w:p>
        </w:tc>
        <w:tc>
          <w:tcPr>
            <w:tcW w:w="380" w:type="dxa"/>
            <w:vAlign w:val="bottom"/>
          </w:tcPr>
          <w:p>
            <w:pPr>
              <w:spacing w:after="0"/>
              <w:rPr>
                <w:sz w:val="15"/>
                <w:szCs w:val="15"/>
                <w:color w:val="auto"/>
              </w:rPr>
            </w:pPr>
          </w:p>
        </w:tc>
        <w:tc>
          <w:tcPr>
            <w:tcW w:w="860" w:type="dxa"/>
            <w:vAlign w:val="bottom"/>
          </w:tcPr>
          <w:p>
            <w:pPr>
              <w:jc w:val="right"/>
              <w:spacing w:after="0" w:line="176" w:lineRule="exact"/>
              <w:rPr>
                <w:sz w:val="20"/>
                <w:szCs w:val="20"/>
                <w:color w:val="auto"/>
              </w:rPr>
            </w:pPr>
            <w:r>
              <w:rPr>
                <w:rFonts w:ascii="Arial" w:cs="Arial" w:eastAsia="Arial" w:hAnsi="Arial"/>
                <w:sz w:val="16"/>
                <w:szCs w:val="16"/>
                <w:color w:val="auto"/>
              </w:rPr>
              <w:t>(201)</w:t>
            </w:r>
          </w:p>
        </w:tc>
        <w:tc>
          <w:tcPr>
            <w:tcW w:w="300" w:type="dxa"/>
            <w:vAlign w:val="bottom"/>
          </w:tcPr>
          <w:p>
            <w:pPr>
              <w:spacing w:after="0"/>
              <w:rPr>
                <w:sz w:val="15"/>
                <w:szCs w:val="15"/>
                <w:color w:val="auto"/>
              </w:rPr>
            </w:pPr>
          </w:p>
        </w:tc>
        <w:tc>
          <w:tcPr>
            <w:tcW w:w="1060" w:type="dxa"/>
            <w:vAlign w:val="bottom"/>
          </w:tcPr>
          <w:p>
            <w:pPr>
              <w:jc w:val="right"/>
              <w:spacing w:after="0" w:line="176" w:lineRule="exact"/>
              <w:rPr>
                <w:sz w:val="20"/>
                <w:szCs w:val="20"/>
                <w:color w:val="auto"/>
              </w:rPr>
            </w:pPr>
            <w:r>
              <w:rPr>
                <w:rFonts w:ascii="Arial" w:cs="Arial" w:eastAsia="Arial" w:hAnsi="Arial"/>
                <w:sz w:val="16"/>
                <w:szCs w:val="16"/>
                <w:color w:val="auto"/>
              </w:rPr>
              <w:t>(117)</w:t>
            </w:r>
          </w:p>
        </w:tc>
        <w:tc>
          <w:tcPr>
            <w:tcW w:w="0" w:type="dxa"/>
            <w:vAlign w:val="bottom"/>
          </w:tcPr>
          <w:p>
            <w:pPr>
              <w:spacing w:after="0"/>
              <w:rPr>
                <w:sz w:val="1"/>
                <w:szCs w:val="1"/>
                <w:color w:val="auto"/>
              </w:rPr>
            </w:pPr>
          </w:p>
        </w:tc>
      </w:tr>
      <w:tr>
        <w:trPr>
          <w:trHeight w:val="194"/>
        </w:trPr>
        <w:tc>
          <w:tcPr>
            <w:tcW w:w="6180" w:type="dxa"/>
            <w:vAlign w:val="bottom"/>
          </w:tcPr>
          <w:p>
            <w:pPr>
              <w:spacing w:after="0"/>
              <w:rPr>
                <w:sz w:val="20"/>
                <w:szCs w:val="20"/>
                <w:color w:val="auto"/>
              </w:rPr>
            </w:pPr>
            <w:r>
              <w:rPr>
                <w:rFonts w:ascii="Arial" w:cs="Arial" w:eastAsia="Arial" w:hAnsi="Arial"/>
                <w:sz w:val="16"/>
                <w:szCs w:val="16"/>
                <w:color w:val="auto"/>
              </w:rPr>
              <w:t>Equity earnings, net of income tax</w:t>
            </w:r>
          </w:p>
        </w:tc>
        <w:tc>
          <w:tcPr>
            <w:tcW w:w="2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w:t>
            </w:r>
          </w:p>
        </w:tc>
        <w:tc>
          <w:tcPr>
            <w:tcW w:w="3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27</w:t>
            </w:r>
          </w:p>
        </w:tc>
        <w:tc>
          <w:tcPr>
            <w:tcW w:w="3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w:t>
            </w:r>
          </w:p>
        </w:tc>
        <w:tc>
          <w:tcPr>
            <w:tcW w:w="3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46</w:t>
            </w:r>
          </w:p>
        </w:tc>
        <w:tc>
          <w:tcPr>
            <w:tcW w:w="0" w:type="dxa"/>
            <w:vAlign w:val="bottom"/>
          </w:tcPr>
          <w:p>
            <w:pPr>
              <w:spacing w:after="0"/>
              <w:rPr>
                <w:sz w:val="1"/>
                <w:szCs w:val="1"/>
                <w:color w:val="auto"/>
              </w:rPr>
            </w:pPr>
          </w:p>
        </w:tc>
      </w:tr>
      <w:tr>
        <w:trPr>
          <w:trHeight w:val="164"/>
        </w:trPr>
        <w:tc>
          <w:tcPr>
            <w:tcW w:w="6180" w:type="dxa"/>
            <w:vAlign w:val="bottom"/>
          </w:tcPr>
          <w:p>
            <w:pPr>
              <w:spacing w:after="0" w:line="164" w:lineRule="exact"/>
              <w:rPr>
                <w:sz w:val="20"/>
                <w:szCs w:val="20"/>
                <w:color w:val="auto"/>
              </w:rPr>
            </w:pPr>
            <w:r>
              <w:rPr>
                <w:rFonts w:ascii="Arial" w:cs="Arial" w:eastAsia="Arial" w:hAnsi="Arial"/>
                <w:sz w:val="16"/>
                <w:szCs w:val="16"/>
                <w:color w:val="auto"/>
              </w:rPr>
              <w:t>Net income</w:t>
            </w:r>
          </w:p>
        </w:tc>
        <w:tc>
          <w:tcPr>
            <w:tcW w:w="240" w:type="dxa"/>
            <w:vAlign w:val="bottom"/>
          </w:tcPr>
          <w:p>
            <w:pPr>
              <w:spacing w:after="0"/>
              <w:rPr>
                <w:sz w:val="14"/>
                <w:szCs w:val="14"/>
                <w:color w:val="auto"/>
              </w:rPr>
            </w:pPr>
          </w:p>
        </w:tc>
        <w:tc>
          <w:tcPr>
            <w:tcW w:w="1020" w:type="dxa"/>
            <w:vAlign w:val="bottom"/>
          </w:tcPr>
          <w:p>
            <w:pPr>
              <w:jc w:val="right"/>
              <w:spacing w:after="0" w:line="164" w:lineRule="exact"/>
              <w:rPr>
                <w:sz w:val="20"/>
                <w:szCs w:val="20"/>
                <w:color w:val="auto"/>
              </w:rPr>
            </w:pPr>
            <w:r>
              <w:rPr>
                <w:rFonts w:ascii="Arial" w:cs="Arial" w:eastAsia="Arial" w:hAnsi="Arial"/>
                <w:sz w:val="16"/>
                <w:szCs w:val="16"/>
                <w:color w:val="auto"/>
              </w:rPr>
              <w:t>502</w:t>
            </w:r>
          </w:p>
        </w:tc>
        <w:tc>
          <w:tcPr>
            <w:tcW w:w="300" w:type="dxa"/>
            <w:vAlign w:val="bottom"/>
          </w:tcPr>
          <w:p>
            <w:pPr>
              <w:spacing w:after="0"/>
              <w:rPr>
                <w:sz w:val="14"/>
                <w:szCs w:val="14"/>
                <w:color w:val="auto"/>
              </w:rPr>
            </w:pPr>
          </w:p>
        </w:tc>
        <w:tc>
          <w:tcPr>
            <w:tcW w:w="1080" w:type="dxa"/>
            <w:vAlign w:val="bottom"/>
          </w:tcPr>
          <w:p>
            <w:pPr>
              <w:jc w:val="right"/>
              <w:ind w:right="20"/>
              <w:spacing w:after="0" w:line="164" w:lineRule="exact"/>
              <w:rPr>
                <w:sz w:val="20"/>
                <w:szCs w:val="20"/>
                <w:color w:val="auto"/>
              </w:rPr>
            </w:pPr>
            <w:r>
              <w:rPr>
                <w:rFonts w:ascii="Arial" w:cs="Arial" w:eastAsia="Arial" w:hAnsi="Arial"/>
                <w:sz w:val="16"/>
                <w:szCs w:val="16"/>
                <w:color w:val="auto"/>
              </w:rPr>
              <w:t>205</w:t>
            </w:r>
          </w:p>
        </w:tc>
        <w:tc>
          <w:tcPr>
            <w:tcW w:w="380" w:type="dxa"/>
            <w:vAlign w:val="bottom"/>
          </w:tcPr>
          <w:p>
            <w:pPr>
              <w:spacing w:after="0"/>
              <w:rPr>
                <w:sz w:val="14"/>
                <w:szCs w:val="14"/>
                <w:color w:val="auto"/>
              </w:rPr>
            </w:pPr>
          </w:p>
        </w:tc>
        <w:tc>
          <w:tcPr>
            <w:tcW w:w="860" w:type="dxa"/>
            <w:vAlign w:val="bottom"/>
          </w:tcPr>
          <w:p>
            <w:pPr>
              <w:jc w:val="right"/>
              <w:spacing w:after="0" w:line="164" w:lineRule="exact"/>
              <w:rPr>
                <w:sz w:val="20"/>
                <w:szCs w:val="20"/>
                <w:color w:val="auto"/>
              </w:rPr>
            </w:pPr>
            <w:r>
              <w:rPr>
                <w:rFonts w:ascii="Arial" w:cs="Arial" w:eastAsia="Arial" w:hAnsi="Arial"/>
                <w:sz w:val="16"/>
                <w:szCs w:val="16"/>
                <w:color w:val="auto"/>
              </w:rPr>
              <w:t>766</w:t>
            </w:r>
          </w:p>
        </w:tc>
        <w:tc>
          <w:tcPr>
            <w:tcW w:w="300" w:type="dxa"/>
            <w:vAlign w:val="bottom"/>
          </w:tcPr>
          <w:p>
            <w:pPr>
              <w:spacing w:after="0"/>
              <w:rPr>
                <w:sz w:val="14"/>
                <w:szCs w:val="14"/>
                <w:color w:val="auto"/>
              </w:rPr>
            </w:pPr>
          </w:p>
        </w:tc>
        <w:tc>
          <w:tcPr>
            <w:tcW w:w="1060" w:type="dxa"/>
            <w:vAlign w:val="bottom"/>
          </w:tcPr>
          <w:p>
            <w:pPr>
              <w:jc w:val="right"/>
              <w:spacing w:after="0" w:line="164" w:lineRule="exact"/>
              <w:rPr>
                <w:sz w:val="20"/>
                <w:szCs w:val="20"/>
                <w:color w:val="auto"/>
              </w:rPr>
            </w:pPr>
            <w:r>
              <w:rPr>
                <w:rFonts w:ascii="Arial" w:cs="Arial" w:eastAsia="Arial" w:hAnsi="Arial"/>
                <w:sz w:val="16"/>
                <w:szCs w:val="16"/>
                <w:color w:val="auto"/>
              </w:rPr>
              <w:t>305</w:t>
            </w:r>
          </w:p>
        </w:tc>
        <w:tc>
          <w:tcPr>
            <w:tcW w:w="0" w:type="dxa"/>
            <w:vAlign w:val="bottom"/>
          </w:tcPr>
          <w:p>
            <w:pPr>
              <w:spacing w:after="0"/>
              <w:rPr>
                <w:sz w:val="1"/>
                <w:szCs w:val="1"/>
                <w:color w:val="auto"/>
              </w:rPr>
            </w:pPr>
          </w:p>
        </w:tc>
      </w:tr>
      <w:tr>
        <w:trPr>
          <w:trHeight w:val="176"/>
        </w:trPr>
        <w:tc>
          <w:tcPr>
            <w:tcW w:w="6180" w:type="dxa"/>
            <w:vAlign w:val="bottom"/>
          </w:tcPr>
          <w:p>
            <w:pPr>
              <w:spacing w:after="0" w:line="176" w:lineRule="exact"/>
              <w:rPr>
                <w:sz w:val="20"/>
                <w:szCs w:val="20"/>
                <w:color w:val="auto"/>
              </w:rPr>
            </w:pPr>
            <w:r>
              <w:rPr>
                <w:rFonts w:ascii="Arial" w:cs="Arial" w:eastAsia="Arial" w:hAnsi="Arial"/>
                <w:sz w:val="16"/>
                <w:szCs w:val="16"/>
                <w:color w:val="auto"/>
              </w:rPr>
              <w:t>Losses attributable to noncontrolling interests</w:t>
            </w:r>
          </w:p>
        </w:tc>
        <w:tc>
          <w:tcPr>
            <w:tcW w:w="240" w:type="dxa"/>
            <w:vAlign w:val="bottom"/>
          </w:tcPr>
          <w:p>
            <w:pPr>
              <w:spacing w:after="0"/>
              <w:rPr>
                <w:sz w:val="15"/>
                <w:szCs w:val="15"/>
                <w:color w:val="auto"/>
              </w:rPr>
            </w:pPr>
          </w:p>
        </w:tc>
        <w:tc>
          <w:tcPr>
            <w:tcW w:w="1020" w:type="dxa"/>
            <w:vAlign w:val="bottom"/>
          </w:tcPr>
          <w:p>
            <w:pPr>
              <w:jc w:val="right"/>
              <w:spacing w:after="0" w:line="176" w:lineRule="exact"/>
              <w:rPr>
                <w:sz w:val="20"/>
                <w:szCs w:val="20"/>
                <w:color w:val="auto"/>
              </w:rPr>
            </w:pPr>
            <w:r>
              <w:rPr>
                <w:rFonts w:ascii="Arial" w:cs="Arial" w:eastAsia="Arial" w:hAnsi="Arial"/>
                <w:sz w:val="16"/>
                <w:szCs w:val="16"/>
                <w:color w:val="auto"/>
              </w:rPr>
              <w:t>12</w:t>
            </w:r>
          </w:p>
        </w:tc>
        <w:tc>
          <w:tcPr>
            <w:tcW w:w="300" w:type="dxa"/>
            <w:vAlign w:val="bottom"/>
          </w:tcPr>
          <w:p>
            <w:pPr>
              <w:spacing w:after="0"/>
              <w:rPr>
                <w:sz w:val="15"/>
                <w:szCs w:val="15"/>
                <w:color w:val="auto"/>
              </w:rPr>
            </w:pPr>
          </w:p>
        </w:tc>
        <w:tc>
          <w:tcPr>
            <w:tcW w:w="1080" w:type="dxa"/>
            <w:vAlign w:val="bottom"/>
          </w:tcPr>
          <w:p>
            <w:pPr>
              <w:jc w:val="right"/>
              <w:ind w:right="20"/>
              <w:spacing w:after="0" w:line="176" w:lineRule="exact"/>
              <w:rPr>
                <w:sz w:val="20"/>
                <w:szCs w:val="20"/>
                <w:color w:val="auto"/>
              </w:rPr>
            </w:pPr>
            <w:r>
              <w:rPr>
                <w:rFonts w:ascii="Arial" w:cs="Arial" w:eastAsia="Arial" w:hAnsi="Arial"/>
                <w:sz w:val="16"/>
                <w:szCs w:val="16"/>
                <w:color w:val="auto"/>
              </w:rPr>
              <w:t>20</w:t>
            </w:r>
          </w:p>
        </w:tc>
        <w:tc>
          <w:tcPr>
            <w:tcW w:w="380" w:type="dxa"/>
            <w:vAlign w:val="bottom"/>
          </w:tcPr>
          <w:p>
            <w:pPr>
              <w:spacing w:after="0"/>
              <w:rPr>
                <w:sz w:val="15"/>
                <w:szCs w:val="15"/>
                <w:color w:val="auto"/>
              </w:rPr>
            </w:pPr>
          </w:p>
        </w:tc>
        <w:tc>
          <w:tcPr>
            <w:tcW w:w="860" w:type="dxa"/>
            <w:vAlign w:val="bottom"/>
          </w:tcPr>
          <w:p>
            <w:pPr>
              <w:jc w:val="right"/>
              <w:spacing w:after="0" w:line="176" w:lineRule="exact"/>
              <w:rPr>
                <w:sz w:val="20"/>
                <w:szCs w:val="20"/>
                <w:color w:val="auto"/>
              </w:rPr>
            </w:pPr>
            <w:r>
              <w:rPr>
                <w:rFonts w:ascii="Arial" w:cs="Arial" w:eastAsia="Arial" w:hAnsi="Arial"/>
                <w:sz w:val="16"/>
                <w:szCs w:val="16"/>
                <w:color w:val="auto"/>
              </w:rPr>
              <w:t>8</w:t>
            </w:r>
          </w:p>
        </w:tc>
        <w:tc>
          <w:tcPr>
            <w:tcW w:w="300" w:type="dxa"/>
            <w:vAlign w:val="bottom"/>
          </w:tcPr>
          <w:p>
            <w:pPr>
              <w:spacing w:after="0"/>
              <w:rPr>
                <w:sz w:val="15"/>
                <w:szCs w:val="15"/>
                <w:color w:val="auto"/>
              </w:rPr>
            </w:pPr>
          </w:p>
        </w:tc>
        <w:tc>
          <w:tcPr>
            <w:tcW w:w="1060" w:type="dxa"/>
            <w:vAlign w:val="bottom"/>
          </w:tcPr>
          <w:p>
            <w:pPr>
              <w:jc w:val="right"/>
              <w:spacing w:after="0" w:line="176" w:lineRule="exact"/>
              <w:rPr>
                <w:sz w:val="20"/>
                <w:szCs w:val="20"/>
                <w:color w:val="auto"/>
              </w:rPr>
            </w:pPr>
            <w:r>
              <w:rPr>
                <w:rFonts w:ascii="Arial" w:cs="Arial" w:eastAsia="Arial" w:hAnsi="Arial"/>
                <w:sz w:val="16"/>
                <w:szCs w:val="16"/>
                <w:color w:val="auto"/>
              </w:rPr>
              <w:t>28</w:t>
            </w:r>
          </w:p>
        </w:tc>
        <w:tc>
          <w:tcPr>
            <w:tcW w:w="0" w:type="dxa"/>
            <w:vAlign w:val="bottom"/>
          </w:tcPr>
          <w:p>
            <w:pPr>
              <w:spacing w:after="0"/>
              <w:rPr>
                <w:sz w:val="1"/>
                <w:szCs w:val="1"/>
                <w:color w:val="auto"/>
              </w:rPr>
            </w:pPr>
          </w:p>
        </w:tc>
      </w:tr>
      <w:tr>
        <w:trPr>
          <w:trHeight w:val="194"/>
        </w:trPr>
        <w:tc>
          <w:tcPr>
            <w:tcW w:w="6180" w:type="dxa"/>
            <w:vAlign w:val="bottom"/>
          </w:tcPr>
          <w:p>
            <w:pPr>
              <w:spacing w:after="0"/>
              <w:rPr>
                <w:sz w:val="20"/>
                <w:szCs w:val="20"/>
                <w:color w:val="auto"/>
              </w:rPr>
            </w:pPr>
            <w:r>
              <w:rPr>
                <w:rFonts w:ascii="Arial" w:cs="Arial" w:eastAsia="Arial" w:hAnsi="Arial"/>
                <w:sz w:val="16"/>
                <w:szCs w:val="16"/>
                <w:color w:val="auto"/>
              </w:rPr>
              <w:t>Preferred dividends of subsidiaries</w:t>
            </w:r>
          </w:p>
        </w:tc>
        <w:tc>
          <w:tcPr>
            <w:tcW w:w="2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w:t>
            </w:r>
          </w:p>
        </w:tc>
        <w:tc>
          <w:tcPr>
            <w:tcW w:w="3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w:t>
            </w:r>
          </w:p>
        </w:tc>
        <w:tc>
          <w:tcPr>
            <w:tcW w:w="3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w:t>
            </w:r>
          </w:p>
        </w:tc>
        <w:tc>
          <w:tcPr>
            <w:tcW w:w="3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183"/>
        </w:trPr>
        <w:tc>
          <w:tcPr>
            <w:tcW w:w="6180" w:type="dxa"/>
            <w:vAlign w:val="bottom"/>
          </w:tcPr>
          <w:p>
            <w:pPr>
              <w:spacing w:after="0" w:line="176" w:lineRule="exact"/>
              <w:rPr>
                <w:sz w:val="20"/>
                <w:szCs w:val="20"/>
                <w:color w:val="auto"/>
              </w:rPr>
            </w:pPr>
            <w:r>
              <w:rPr>
                <w:rFonts w:ascii="Arial" w:cs="Arial" w:eastAsia="Arial" w:hAnsi="Arial"/>
                <w:sz w:val="16"/>
                <w:szCs w:val="16"/>
                <w:color w:val="auto"/>
              </w:rPr>
              <w:t>Earnings</w:t>
            </w:r>
          </w:p>
        </w:tc>
        <w:tc>
          <w:tcPr>
            <w:tcW w:w="24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6"/>
                <w:szCs w:val="16"/>
                <w:color w:val="auto"/>
              </w:rPr>
              <w:t>511</w:t>
            </w:r>
          </w:p>
        </w:tc>
        <w:tc>
          <w:tcPr>
            <w:tcW w:w="300" w:type="dxa"/>
            <w:vAlign w:val="bottom"/>
            <w:tcBorders>
              <w:bottom w:val="single" w:sz="8" w:color="auto"/>
            </w:tcBorders>
          </w:tcPr>
          <w:p>
            <w:pPr>
              <w:jc w:val="right"/>
              <w:ind w:right="99"/>
              <w:spacing w:after="0" w:line="176" w:lineRule="exact"/>
              <w:rPr>
                <w:sz w:val="20"/>
                <w:szCs w:val="20"/>
                <w:color w:val="auto"/>
              </w:rPr>
            </w:pPr>
            <w:r>
              <w:rPr>
                <w:rFonts w:ascii="Arial" w:cs="Arial" w:eastAsia="Arial" w:hAnsi="Arial"/>
                <w:sz w:val="16"/>
                <w:szCs w:val="16"/>
                <w:color w:val="auto"/>
              </w:rPr>
              <w:t>$</w:t>
            </w:r>
          </w:p>
        </w:tc>
        <w:tc>
          <w:tcPr>
            <w:tcW w:w="1080" w:type="dxa"/>
            <w:vAlign w:val="bottom"/>
            <w:tcBorders>
              <w:bottom w:val="single" w:sz="8" w:color="auto"/>
            </w:tcBorders>
          </w:tcPr>
          <w:p>
            <w:pPr>
              <w:jc w:val="right"/>
              <w:ind w:right="20"/>
              <w:spacing w:after="0" w:line="176" w:lineRule="exact"/>
              <w:rPr>
                <w:sz w:val="20"/>
                <w:szCs w:val="20"/>
                <w:color w:val="auto"/>
              </w:rPr>
            </w:pPr>
            <w:r>
              <w:rPr>
                <w:rFonts w:ascii="Arial" w:cs="Arial" w:eastAsia="Arial" w:hAnsi="Arial"/>
                <w:sz w:val="16"/>
                <w:szCs w:val="16"/>
                <w:color w:val="auto"/>
              </w:rPr>
              <w:t>222</w:t>
            </w:r>
          </w:p>
        </w:tc>
        <w:tc>
          <w:tcPr>
            <w:tcW w:w="380" w:type="dxa"/>
            <w:vAlign w:val="bottom"/>
            <w:tcBorders>
              <w:bottom w:val="single" w:sz="8" w:color="auto"/>
            </w:tcBorders>
          </w:tcPr>
          <w:p>
            <w:pPr>
              <w:jc w:val="right"/>
              <w:ind w:right="179"/>
              <w:spacing w:after="0" w:line="176" w:lineRule="exact"/>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6"/>
                <w:szCs w:val="16"/>
                <w:color w:val="auto"/>
              </w:rPr>
              <w:t>769</w:t>
            </w:r>
          </w:p>
        </w:tc>
        <w:tc>
          <w:tcPr>
            <w:tcW w:w="300" w:type="dxa"/>
            <w:vAlign w:val="bottom"/>
            <w:tcBorders>
              <w:bottom w:val="single" w:sz="8" w:color="auto"/>
            </w:tcBorders>
          </w:tcPr>
          <w:p>
            <w:pPr>
              <w:jc w:val="right"/>
              <w:ind w:right="79"/>
              <w:spacing w:after="0" w:line="176" w:lineRule="exact"/>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6"/>
                <w:szCs w:val="16"/>
                <w:color w:val="auto"/>
              </w:rPr>
              <w:t>328</w:t>
            </w:r>
          </w:p>
        </w:tc>
        <w:tc>
          <w:tcPr>
            <w:tcW w:w="0" w:type="dxa"/>
            <w:vAlign w:val="bottom"/>
          </w:tcPr>
          <w:p>
            <w:pPr>
              <w:spacing w:after="0"/>
              <w:rPr>
                <w:sz w:val="1"/>
                <w:szCs w:val="1"/>
                <w:color w:val="auto"/>
              </w:rPr>
            </w:pPr>
          </w:p>
        </w:tc>
      </w:tr>
      <w:tr>
        <w:trPr>
          <w:trHeight w:val="358"/>
        </w:trPr>
        <w:tc>
          <w:tcPr>
            <w:tcW w:w="6180" w:type="dxa"/>
            <w:vAlign w:val="bottom"/>
          </w:tcPr>
          <w:p>
            <w:pPr>
              <w:spacing w:after="0"/>
              <w:rPr>
                <w:sz w:val="20"/>
                <w:szCs w:val="20"/>
                <w:color w:val="auto"/>
              </w:rPr>
            </w:pPr>
            <w:r>
              <w:rPr>
                <w:rFonts w:ascii="Arial" w:cs="Arial" w:eastAsia="Arial" w:hAnsi="Arial"/>
                <w:sz w:val="16"/>
                <w:szCs w:val="16"/>
                <w:color w:val="auto"/>
              </w:rPr>
              <w:t>Basic earnings per common share</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2.14</w:t>
            </w:r>
          </w:p>
        </w:tc>
        <w:tc>
          <w:tcPr>
            <w:tcW w:w="3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0.90</w:t>
            </w:r>
          </w:p>
        </w:tc>
        <w:tc>
          <w:tcPr>
            <w:tcW w:w="38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3.21</w:t>
            </w:r>
          </w:p>
        </w:tc>
        <w:tc>
          <w:tcPr>
            <w:tcW w:w="3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1.33</w:t>
            </w:r>
          </w:p>
        </w:tc>
        <w:tc>
          <w:tcPr>
            <w:tcW w:w="0" w:type="dxa"/>
            <w:vAlign w:val="bottom"/>
          </w:tcPr>
          <w:p>
            <w:pPr>
              <w:spacing w:after="0"/>
              <w:rPr>
                <w:sz w:val="1"/>
                <w:szCs w:val="1"/>
                <w:color w:val="auto"/>
              </w:rPr>
            </w:pPr>
          </w:p>
        </w:tc>
      </w:tr>
      <w:tr>
        <w:trPr>
          <w:trHeight w:val="183"/>
        </w:trPr>
        <w:tc>
          <w:tcPr>
            <w:tcW w:w="6180" w:type="dxa"/>
            <w:vAlign w:val="bottom"/>
          </w:tcPr>
          <w:p>
            <w:pPr>
              <w:spacing w:after="0" w:line="176" w:lineRule="exact"/>
              <w:rPr>
                <w:sz w:val="20"/>
                <w:szCs w:val="20"/>
                <w:color w:val="auto"/>
              </w:rPr>
            </w:pPr>
            <w:r>
              <w:rPr>
                <w:rFonts w:ascii="Arial" w:cs="Arial" w:eastAsia="Arial" w:hAnsi="Arial"/>
                <w:sz w:val="16"/>
                <w:szCs w:val="16"/>
                <w:color w:val="auto"/>
              </w:rPr>
              <w:t>Weighted-average number of shares outstanding, basic (thousands)</w:t>
            </w:r>
          </w:p>
        </w:tc>
        <w:tc>
          <w:tcPr>
            <w:tcW w:w="24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6"/>
                <w:szCs w:val="16"/>
                <w:color w:val="auto"/>
              </w:rPr>
              <w:t>239,415</w:t>
            </w:r>
          </w:p>
        </w:tc>
        <w:tc>
          <w:tcPr>
            <w:tcW w:w="30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20"/>
              <w:spacing w:after="0" w:line="176" w:lineRule="exact"/>
              <w:rPr>
                <w:sz w:val="20"/>
                <w:szCs w:val="20"/>
                <w:color w:val="auto"/>
              </w:rPr>
            </w:pPr>
            <w:r>
              <w:rPr>
                <w:rFonts w:ascii="Arial" w:cs="Arial" w:eastAsia="Arial" w:hAnsi="Arial"/>
                <w:sz w:val="16"/>
                <w:szCs w:val="16"/>
                <w:color w:val="auto"/>
              </w:rPr>
              <w:t>246,784</w:t>
            </w:r>
          </w:p>
        </w:tc>
        <w:tc>
          <w:tcPr>
            <w:tcW w:w="38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6"/>
                <w:szCs w:val="16"/>
                <w:color w:val="auto"/>
              </w:rPr>
              <w:t>239,769</w:t>
            </w:r>
          </w:p>
        </w:tc>
        <w:tc>
          <w:tcPr>
            <w:tcW w:w="30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6"/>
                <w:szCs w:val="16"/>
                <w:color w:val="auto"/>
              </w:rPr>
              <w:t>246,435</w:t>
            </w:r>
          </w:p>
        </w:tc>
        <w:tc>
          <w:tcPr>
            <w:tcW w:w="0" w:type="dxa"/>
            <w:vAlign w:val="bottom"/>
          </w:tcPr>
          <w:p>
            <w:pPr>
              <w:spacing w:after="0"/>
              <w:rPr>
                <w:sz w:val="1"/>
                <w:szCs w:val="1"/>
                <w:color w:val="auto"/>
              </w:rPr>
            </w:pPr>
          </w:p>
        </w:tc>
      </w:tr>
      <w:tr>
        <w:trPr>
          <w:trHeight w:val="358"/>
        </w:trPr>
        <w:tc>
          <w:tcPr>
            <w:tcW w:w="6180" w:type="dxa"/>
            <w:vAlign w:val="bottom"/>
          </w:tcPr>
          <w:p>
            <w:pPr>
              <w:spacing w:after="0"/>
              <w:rPr>
                <w:sz w:val="20"/>
                <w:szCs w:val="20"/>
                <w:color w:val="auto"/>
              </w:rPr>
            </w:pPr>
            <w:r>
              <w:rPr>
                <w:rFonts w:ascii="Arial" w:cs="Arial" w:eastAsia="Arial" w:hAnsi="Arial"/>
                <w:sz w:val="16"/>
                <w:szCs w:val="16"/>
                <w:color w:val="auto"/>
              </w:rPr>
              <w:t>Diluted earnings per common share</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2.12</w:t>
            </w:r>
          </w:p>
        </w:tc>
        <w:tc>
          <w:tcPr>
            <w:tcW w:w="3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0.89</w:t>
            </w:r>
          </w:p>
        </w:tc>
        <w:tc>
          <w:tcPr>
            <w:tcW w:w="38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3.19</w:t>
            </w:r>
          </w:p>
        </w:tc>
        <w:tc>
          <w:tcPr>
            <w:tcW w:w="3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1.31</w:t>
            </w:r>
          </w:p>
        </w:tc>
        <w:tc>
          <w:tcPr>
            <w:tcW w:w="0" w:type="dxa"/>
            <w:vAlign w:val="bottom"/>
          </w:tcPr>
          <w:p>
            <w:pPr>
              <w:spacing w:after="0"/>
              <w:rPr>
                <w:sz w:val="1"/>
                <w:szCs w:val="1"/>
                <w:color w:val="auto"/>
              </w:rPr>
            </w:pPr>
          </w:p>
        </w:tc>
      </w:tr>
      <w:tr>
        <w:trPr>
          <w:trHeight w:val="183"/>
        </w:trPr>
        <w:tc>
          <w:tcPr>
            <w:tcW w:w="6180" w:type="dxa"/>
            <w:vAlign w:val="bottom"/>
          </w:tcPr>
          <w:p>
            <w:pPr>
              <w:spacing w:after="0" w:line="176" w:lineRule="exact"/>
              <w:rPr>
                <w:sz w:val="20"/>
                <w:szCs w:val="20"/>
                <w:color w:val="auto"/>
              </w:rPr>
            </w:pPr>
            <w:r>
              <w:rPr>
                <w:rFonts w:ascii="Arial" w:cs="Arial" w:eastAsia="Arial" w:hAnsi="Arial"/>
                <w:sz w:val="16"/>
                <w:szCs w:val="16"/>
                <w:color w:val="auto"/>
              </w:rPr>
              <w:t>Weighted-average number of shares outstanding, diluted (thousands)</w:t>
            </w:r>
          </w:p>
        </w:tc>
        <w:tc>
          <w:tcPr>
            <w:tcW w:w="24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6"/>
                <w:szCs w:val="16"/>
                <w:color w:val="auto"/>
              </w:rPr>
              <w:t>240,761</w:t>
            </w:r>
          </w:p>
        </w:tc>
        <w:tc>
          <w:tcPr>
            <w:tcW w:w="30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20"/>
              <w:spacing w:after="0" w:line="176" w:lineRule="exact"/>
              <w:rPr>
                <w:sz w:val="20"/>
                <w:szCs w:val="20"/>
                <w:color w:val="auto"/>
              </w:rPr>
            </w:pPr>
            <w:r>
              <w:rPr>
                <w:rFonts w:ascii="Arial" w:cs="Arial" w:eastAsia="Arial" w:hAnsi="Arial"/>
                <w:sz w:val="16"/>
                <w:szCs w:val="16"/>
                <w:color w:val="auto"/>
              </w:rPr>
              <w:t>249,727</w:t>
            </w:r>
          </w:p>
        </w:tc>
        <w:tc>
          <w:tcPr>
            <w:tcW w:w="38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6"/>
                <w:szCs w:val="16"/>
                <w:color w:val="auto"/>
              </w:rPr>
              <w:t>241,154</w:t>
            </w:r>
          </w:p>
        </w:tc>
        <w:tc>
          <w:tcPr>
            <w:tcW w:w="30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6"/>
                <w:szCs w:val="16"/>
                <w:color w:val="auto"/>
              </w:rPr>
              <w:t>249,835</w:t>
            </w:r>
          </w:p>
        </w:tc>
        <w:tc>
          <w:tcPr>
            <w:tcW w:w="0" w:type="dxa"/>
            <w:vAlign w:val="bottom"/>
          </w:tcPr>
          <w:p>
            <w:pPr>
              <w:spacing w:after="0"/>
              <w:rPr>
                <w:sz w:val="1"/>
                <w:szCs w:val="1"/>
                <w:color w:val="auto"/>
              </w:rPr>
            </w:pPr>
          </w:p>
        </w:tc>
      </w:tr>
      <w:tr>
        <w:trPr>
          <w:trHeight w:val="195"/>
        </w:trPr>
        <w:tc>
          <w:tcPr>
            <w:tcW w:w="6180" w:type="dxa"/>
            <w:vAlign w:val="bottom"/>
          </w:tcPr>
          <w:p>
            <w:pPr>
              <w:spacing w:after="0"/>
              <w:rPr>
                <w:sz w:val="20"/>
                <w:szCs w:val="20"/>
                <w:color w:val="auto"/>
              </w:rPr>
            </w:pPr>
            <w:r>
              <w:rPr>
                <w:rFonts w:ascii="Arial" w:cs="Arial" w:eastAsia="Arial" w:hAnsi="Arial"/>
                <w:sz w:val="16"/>
                <w:szCs w:val="16"/>
                <w:color w:val="auto"/>
              </w:rPr>
              <w:t>Dividends declared per share of common stock</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0.48</w:t>
            </w: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20"/>
              <w:spacing w:after="0"/>
              <w:rPr>
                <w:sz w:val="20"/>
                <w:szCs w:val="20"/>
                <w:color w:val="auto"/>
              </w:rPr>
            </w:pPr>
            <w:r>
              <w:rPr>
                <w:rFonts w:ascii="Arial" w:cs="Arial" w:eastAsia="Arial" w:hAnsi="Arial"/>
                <w:sz w:val="16"/>
                <w:szCs w:val="16"/>
                <w:color w:val="auto"/>
              </w:rPr>
              <w:t>0.39</w:t>
            </w:r>
          </w:p>
        </w:tc>
        <w:tc>
          <w:tcPr>
            <w:tcW w:w="38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0.96</w:t>
            </w:r>
          </w:p>
        </w:tc>
        <w:tc>
          <w:tcPr>
            <w:tcW w:w="30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0.78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2466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rPr>
          <w:sz w:val="20"/>
          <w:szCs w:val="20"/>
          <w:color w:val="auto"/>
        </w:rPr>
      </w:pPr>
      <w:r>
        <w:rPr>
          <w:rFonts w:ascii="Arial" w:cs="Arial" w:eastAsia="Arial" w:hAnsi="Arial"/>
          <w:sz w:val="14"/>
          <w:szCs w:val="14"/>
          <w:i w:val="1"/>
          <w:iCs w:val="1"/>
          <w:color w:val="auto"/>
        </w:rPr>
        <w:t>See Notes to Condensed Consolidated Financial Statements.</w:t>
      </w:r>
    </w:p>
    <w:p>
      <w:pPr>
        <w:sectPr>
          <w:pgSz w:w="11900" w:h="16838" w:orient="portrait"/>
          <w:cols w:equalWidth="0" w:num="1">
            <w:col w:w="11420"/>
          </w:cols>
          <w:pgMar w:left="240" w:top="535" w:right="239" w:bottom="1440" w:gutter="0" w:footer="0" w:header="0"/>
        </w:sectPr>
      </w:pPr>
    </w:p>
    <w:bookmarkStart w:id="7" w:name="page8"/>
    <w:bookmarkEnd w:id="7"/>
    <w:p>
      <w:pPr>
        <w:spacing w:after="0"/>
        <w:rPr>
          <w:sz w:val="20"/>
          <w:szCs w:val="20"/>
          <w:color w:val="auto"/>
        </w:rPr>
      </w:pPr>
      <w:r>
        <w:rPr>
          <w:rFonts w:ascii="Arial" w:cs="Arial" w:eastAsia="Arial" w:hAnsi="Arial"/>
          <w:sz w:val="16"/>
          <w:szCs w:val="16"/>
          <w:b w:val="1"/>
          <w:bCs w:val="1"/>
          <w:color w:val="auto"/>
        </w:rPr>
        <w:t>SEMPRA ENERGY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-104775</wp:posOffset>
            </wp:positionV>
            <wp:extent cx="7246620" cy="3346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334645"/>
                    </a:xfrm>
                    <a:prstGeom prst="rect">
                      <a:avLst/>
                    </a:prstGeom>
                    <a:noFill/>
                  </pic:spPr>
                </pic:pic>
              </a:graphicData>
            </a:graphic>
          </wp:anchor>
        </w:drawing>
      </w:r>
    </w:p>
    <w:p>
      <w:pPr>
        <w:spacing w:after="0"/>
        <w:rPr>
          <w:sz w:val="20"/>
          <w:szCs w:val="20"/>
          <w:color w:val="auto"/>
        </w:rPr>
      </w:pPr>
      <w:r>
        <w:rPr>
          <w:rFonts w:ascii="Arial" w:cs="Arial" w:eastAsia="Arial" w:hAnsi="Arial"/>
          <w:sz w:val="16"/>
          <w:szCs w:val="16"/>
          <w:b w:val="1"/>
          <w:bCs w:val="1"/>
          <w:color w:val="auto"/>
        </w:rPr>
        <w:t>CONDENSED CONSOLIDATED BALANCE SHEETS</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8580" w:type="dxa"/>
            <w:vAlign w:val="bottom"/>
            <w:gridSpan w:val="2"/>
          </w:tcPr>
          <w:p>
            <w:pPr>
              <w:spacing w:after="0"/>
              <w:rPr>
                <w:sz w:val="20"/>
                <w:szCs w:val="20"/>
                <w:color w:val="auto"/>
              </w:rPr>
            </w:pPr>
            <w:r>
              <w:rPr>
                <w:rFonts w:ascii="Arial" w:cs="Arial" w:eastAsia="Arial" w:hAnsi="Arial"/>
                <w:sz w:val="14"/>
                <w:szCs w:val="14"/>
                <w:i w:val="1"/>
                <w:iCs w:val="1"/>
                <w:color w:val="auto"/>
              </w:rPr>
              <w:t>(Dollars in millions)</w:t>
            </w:r>
          </w:p>
        </w:tc>
        <w:tc>
          <w:tcPr>
            <w:tcW w:w="2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2"/>
        </w:trPr>
        <w:tc>
          <w:tcPr>
            <w:tcW w:w="180" w:type="dxa"/>
            <w:vAlign w:val="bottom"/>
          </w:tcPr>
          <w:p>
            <w:pPr>
              <w:spacing w:after="0"/>
              <w:rPr>
                <w:sz w:val="14"/>
                <w:szCs w:val="14"/>
                <w:color w:val="auto"/>
              </w:rPr>
            </w:pPr>
          </w:p>
        </w:tc>
        <w:tc>
          <w:tcPr>
            <w:tcW w:w="8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0" w:type="dxa"/>
            <w:vAlign w:val="bottom"/>
          </w:tcPr>
          <w:p>
            <w:pPr>
              <w:jc w:val="center"/>
              <w:ind w:right="120"/>
              <w:spacing w:after="0"/>
              <w:rPr>
                <w:sz w:val="20"/>
                <w:szCs w:val="20"/>
                <w:color w:val="auto"/>
              </w:rPr>
            </w:pPr>
            <w:r>
              <w:rPr>
                <w:rFonts w:ascii="Arial" w:cs="Arial" w:eastAsia="Arial" w:hAnsi="Arial"/>
                <w:sz w:val="14"/>
                <w:szCs w:val="14"/>
                <w:color w:val="auto"/>
              </w:rPr>
              <w:t>June 30,</w:t>
            </w:r>
          </w:p>
        </w:tc>
        <w:tc>
          <w:tcPr>
            <w:tcW w:w="180" w:type="dxa"/>
            <w:vAlign w:val="bottom"/>
          </w:tcPr>
          <w:p>
            <w:pPr>
              <w:spacing w:after="0"/>
              <w:rPr>
                <w:sz w:val="14"/>
                <w:szCs w:val="14"/>
                <w:color w:val="auto"/>
              </w:rPr>
            </w:pPr>
          </w:p>
        </w:tc>
        <w:tc>
          <w:tcPr>
            <w:tcW w:w="1260" w:type="dxa"/>
            <w:vAlign w:val="bottom"/>
          </w:tcPr>
          <w:p>
            <w:pPr>
              <w:jc w:val="right"/>
              <w:ind w:right="180"/>
              <w:spacing w:after="0"/>
              <w:rPr>
                <w:sz w:val="20"/>
                <w:szCs w:val="20"/>
                <w:color w:val="auto"/>
              </w:rPr>
            </w:pPr>
            <w:r>
              <w:rPr>
                <w:rFonts w:ascii="Arial" w:cs="Arial" w:eastAsia="Arial" w:hAnsi="Arial"/>
                <w:sz w:val="14"/>
                <w:szCs w:val="14"/>
                <w:color w:val="auto"/>
              </w:rPr>
              <w:t>December 31,</w:t>
            </w:r>
          </w:p>
        </w:tc>
        <w:tc>
          <w:tcPr>
            <w:tcW w:w="0" w:type="dxa"/>
            <w:vAlign w:val="bottom"/>
          </w:tcPr>
          <w:p>
            <w:pPr>
              <w:spacing w:after="0"/>
              <w:rPr>
                <w:sz w:val="1"/>
                <w:szCs w:val="1"/>
                <w:color w:val="auto"/>
              </w:rPr>
            </w:pPr>
          </w:p>
        </w:tc>
      </w:tr>
      <w:tr>
        <w:trPr>
          <w:trHeight w:val="168"/>
        </w:trPr>
        <w:tc>
          <w:tcPr>
            <w:tcW w:w="180" w:type="dxa"/>
            <w:vAlign w:val="bottom"/>
            <w:tcBorders>
              <w:bottom w:val="single" w:sz="8" w:color="auto"/>
            </w:tcBorders>
          </w:tcPr>
          <w:p>
            <w:pPr>
              <w:spacing w:after="0"/>
              <w:rPr>
                <w:sz w:val="14"/>
                <w:szCs w:val="14"/>
                <w:color w:val="auto"/>
              </w:rPr>
            </w:pPr>
          </w:p>
        </w:tc>
        <w:tc>
          <w:tcPr>
            <w:tcW w:w="84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center"/>
              <w:ind w:right="160"/>
              <w:spacing w:after="0"/>
              <w:rPr>
                <w:sz w:val="20"/>
                <w:szCs w:val="20"/>
                <w:color w:val="auto"/>
              </w:rPr>
            </w:pPr>
            <w:r>
              <w:rPr>
                <w:rFonts w:ascii="Arial" w:cs="Arial" w:eastAsia="Arial" w:hAnsi="Arial"/>
                <w:sz w:val="14"/>
                <w:szCs w:val="14"/>
                <w:color w:val="auto"/>
              </w:rPr>
              <w:t>2011</w:t>
            </w:r>
          </w:p>
        </w:tc>
        <w:tc>
          <w:tcPr>
            <w:tcW w:w="18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right"/>
              <w:ind w:right="380"/>
              <w:spacing w:after="0"/>
              <w:rPr>
                <w:sz w:val="20"/>
                <w:szCs w:val="20"/>
                <w:color w:val="auto"/>
              </w:rPr>
            </w:pPr>
            <w:r>
              <w:rPr>
                <w:rFonts w:ascii="Arial" w:cs="Arial" w:eastAsia="Arial" w:hAnsi="Arial"/>
                <w:sz w:val="14"/>
                <w:szCs w:val="14"/>
                <w:color w:val="auto"/>
              </w:rPr>
              <w:t>2010(1)</w:t>
            </w:r>
          </w:p>
        </w:tc>
        <w:tc>
          <w:tcPr>
            <w:tcW w:w="0" w:type="dxa"/>
            <w:vAlign w:val="bottom"/>
          </w:tcPr>
          <w:p>
            <w:pPr>
              <w:spacing w:after="0"/>
              <w:rPr>
                <w:sz w:val="1"/>
                <w:szCs w:val="1"/>
                <w:color w:val="auto"/>
              </w:rPr>
            </w:pPr>
          </w:p>
        </w:tc>
      </w:tr>
      <w:tr>
        <w:trPr>
          <w:trHeight w:val="191"/>
        </w:trPr>
        <w:tc>
          <w:tcPr>
            <w:tcW w:w="8580" w:type="dxa"/>
            <w:vAlign w:val="bottom"/>
            <w:gridSpan w:val="2"/>
            <w:vMerge w:val="restart"/>
          </w:tcPr>
          <w:p>
            <w:pPr>
              <w:spacing w:after="0"/>
              <w:rPr>
                <w:sz w:val="20"/>
                <w:szCs w:val="20"/>
                <w:color w:val="auto"/>
              </w:rPr>
            </w:pPr>
            <w:r>
              <w:rPr>
                <w:rFonts w:ascii="Arial" w:cs="Arial" w:eastAsia="Arial" w:hAnsi="Arial"/>
                <w:sz w:val="16"/>
                <w:szCs w:val="16"/>
                <w:color w:val="auto"/>
              </w:rPr>
              <w:t>ASSETS</w:t>
            </w:r>
          </w:p>
        </w:tc>
        <w:tc>
          <w:tcPr>
            <w:tcW w:w="200" w:type="dxa"/>
            <w:vAlign w:val="bottom"/>
          </w:tcPr>
          <w:p>
            <w:pPr>
              <w:spacing w:after="0"/>
              <w:rPr>
                <w:sz w:val="16"/>
                <w:szCs w:val="16"/>
                <w:color w:val="auto"/>
              </w:rPr>
            </w:pPr>
          </w:p>
        </w:tc>
        <w:tc>
          <w:tcPr>
            <w:tcW w:w="1200" w:type="dxa"/>
            <w:vAlign w:val="bottom"/>
          </w:tcPr>
          <w:p>
            <w:pPr>
              <w:jc w:val="center"/>
              <w:ind w:right="120"/>
              <w:spacing w:after="0"/>
              <w:rPr>
                <w:sz w:val="20"/>
                <w:szCs w:val="20"/>
                <w:color w:val="auto"/>
              </w:rPr>
            </w:pPr>
            <w:r>
              <w:rPr>
                <w:rFonts w:ascii="Arial" w:cs="Arial" w:eastAsia="Arial" w:hAnsi="Arial"/>
                <w:sz w:val="14"/>
                <w:szCs w:val="14"/>
                <w:color w:val="auto"/>
              </w:rPr>
              <w:t>(unaudited)</w:t>
            </w:r>
          </w:p>
        </w:tc>
        <w:tc>
          <w:tcPr>
            <w:tcW w:w="1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858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8580" w:type="dxa"/>
            <w:vAlign w:val="bottom"/>
            <w:gridSpan w:val="2"/>
          </w:tcPr>
          <w:p>
            <w:pPr>
              <w:spacing w:after="0" w:line="176" w:lineRule="exact"/>
              <w:rPr>
                <w:sz w:val="20"/>
                <w:szCs w:val="20"/>
                <w:color w:val="auto"/>
              </w:rPr>
            </w:pPr>
            <w:r>
              <w:rPr>
                <w:rFonts w:ascii="Arial" w:cs="Arial" w:eastAsia="Arial" w:hAnsi="Arial"/>
                <w:sz w:val="16"/>
                <w:szCs w:val="16"/>
                <w:color w:val="auto"/>
              </w:rPr>
              <w:t>Current assets:</w:t>
            </w:r>
          </w:p>
        </w:tc>
        <w:tc>
          <w:tcPr>
            <w:tcW w:w="2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80" w:type="dxa"/>
            <w:vAlign w:val="bottom"/>
          </w:tcPr>
          <w:p>
            <w:pPr>
              <w:spacing w:after="0"/>
              <w:rPr>
                <w:sz w:val="15"/>
                <w:szCs w:val="15"/>
                <w:color w:val="auto"/>
              </w:rPr>
            </w:pPr>
          </w:p>
        </w:tc>
        <w:tc>
          <w:tcPr>
            <w:tcW w:w="8400" w:type="dxa"/>
            <w:vAlign w:val="bottom"/>
          </w:tcPr>
          <w:p>
            <w:pPr>
              <w:spacing w:after="0" w:line="176" w:lineRule="exact"/>
              <w:rPr>
                <w:sz w:val="20"/>
                <w:szCs w:val="20"/>
                <w:color w:val="auto"/>
              </w:rPr>
            </w:pPr>
            <w:r>
              <w:rPr>
                <w:rFonts w:ascii="Arial" w:cs="Arial" w:eastAsia="Arial" w:hAnsi="Arial"/>
                <w:sz w:val="16"/>
                <w:szCs w:val="16"/>
                <w:color w:val="auto"/>
              </w:rPr>
              <w:t>Cash and cash equivalents</w:t>
            </w:r>
          </w:p>
        </w:tc>
        <w:tc>
          <w:tcPr>
            <w:tcW w:w="200" w:type="dxa"/>
            <w:vAlign w:val="bottom"/>
          </w:tcPr>
          <w:p>
            <w:pPr>
              <w:jc w:val="right"/>
              <w:ind w:right="44"/>
              <w:spacing w:after="0"/>
              <w:rPr>
                <w:sz w:val="20"/>
                <w:szCs w:val="20"/>
                <w:color w:val="auto"/>
              </w:rPr>
            </w:pPr>
            <w:r>
              <w:rPr>
                <w:rFonts w:ascii="Arial" w:cs="Arial" w:eastAsia="Arial" w:hAnsi="Arial"/>
                <w:sz w:val="15"/>
                <w:szCs w:val="15"/>
                <w:color w:val="auto"/>
                <w:w w:val="71"/>
              </w:rPr>
              <w:t>$</w:t>
            </w:r>
          </w:p>
        </w:tc>
        <w:tc>
          <w:tcPr>
            <w:tcW w:w="1200" w:type="dxa"/>
            <w:vAlign w:val="bottom"/>
          </w:tcPr>
          <w:p>
            <w:pPr>
              <w:jc w:val="right"/>
              <w:spacing w:after="0" w:line="176" w:lineRule="exact"/>
              <w:rPr>
                <w:sz w:val="20"/>
                <w:szCs w:val="20"/>
                <w:color w:val="auto"/>
              </w:rPr>
            </w:pPr>
            <w:r>
              <w:rPr>
                <w:rFonts w:ascii="Arial" w:cs="Arial" w:eastAsia="Arial" w:hAnsi="Arial"/>
                <w:sz w:val="16"/>
                <w:szCs w:val="16"/>
                <w:color w:val="auto"/>
              </w:rPr>
              <w:t>392</w:t>
            </w:r>
          </w:p>
        </w:tc>
        <w:tc>
          <w:tcPr>
            <w:tcW w:w="180" w:type="dxa"/>
            <w:vAlign w:val="bottom"/>
          </w:tcPr>
          <w:p>
            <w:pPr>
              <w:jc w:val="right"/>
              <w:spacing w:after="0" w:line="176" w:lineRule="exact"/>
              <w:rPr>
                <w:sz w:val="20"/>
                <w:szCs w:val="20"/>
                <w:color w:val="auto"/>
              </w:rPr>
            </w:pPr>
            <w:r>
              <w:rPr>
                <w:rFonts w:ascii="Arial" w:cs="Arial" w:eastAsia="Arial" w:hAnsi="Arial"/>
                <w:sz w:val="16"/>
                <w:szCs w:val="16"/>
                <w:color w:val="auto"/>
                <w:w w:val="89"/>
              </w:rPr>
              <w:t>$</w:t>
            </w:r>
          </w:p>
        </w:tc>
        <w:tc>
          <w:tcPr>
            <w:tcW w:w="1260" w:type="dxa"/>
            <w:vAlign w:val="bottom"/>
          </w:tcPr>
          <w:p>
            <w:pPr>
              <w:jc w:val="right"/>
              <w:spacing w:after="0" w:line="176" w:lineRule="exact"/>
              <w:rPr>
                <w:sz w:val="20"/>
                <w:szCs w:val="20"/>
                <w:color w:val="auto"/>
              </w:rPr>
            </w:pPr>
            <w:r>
              <w:rPr>
                <w:rFonts w:ascii="Arial" w:cs="Arial" w:eastAsia="Arial" w:hAnsi="Arial"/>
                <w:sz w:val="16"/>
                <w:szCs w:val="16"/>
                <w:color w:val="auto"/>
              </w:rPr>
              <w:t>912</w:t>
            </w:r>
          </w:p>
        </w:tc>
        <w:tc>
          <w:tcPr>
            <w:tcW w:w="0" w:type="dxa"/>
            <w:vAlign w:val="bottom"/>
          </w:tcPr>
          <w:p>
            <w:pPr>
              <w:spacing w:after="0"/>
              <w:rPr>
                <w:sz w:val="1"/>
                <w:szCs w:val="1"/>
                <w:color w:val="auto"/>
              </w:rPr>
            </w:pPr>
          </w:p>
        </w:tc>
      </w:tr>
      <w:tr>
        <w:trPr>
          <w:trHeight w:val="176"/>
        </w:trPr>
        <w:tc>
          <w:tcPr>
            <w:tcW w:w="180" w:type="dxa"/>
            <w:vAlign w:val="bottom"/>
          </w:tcPr>
          <w:p>
            <w:pPr>
              <w:spacing w:after="0"/>
              <w:rPr>
                <w:sz w:val="15"/>
                <w:szCs w:val="15"/>
                <w:color w:val="auto"/>
              </w:rPr>
            </w:pPr>
          </w:p>
        </w:tc>
        <w:tc>
          <w:tcPr>
            <w:tcW w:w="8400" w:type="dxa"/>
            <w:vAlign w:val="bottom"/>
          </w:tcPr>
          <w:p>
            <w:pPr>
              <w:spacing w:after="0" w:line="176" w:lineRule="exact"/>
              <w:rPr>
                <w:sz w:val="20"/>
                <w:szCs w:val="20"/>
                <w:color w:val="auto"/>
              </w:rPr>
            </w:pPr>
            <w:r>
              <w:rPr>
                <w:rFonts w:ascii="Arial" w:cs="Arial" w:eastAsia="Arial" w:hAnsi="Arial"/>
                <w:sz w:val="16"/>
                <w:szCs w:val="16"/>
                <w:color w:val="auto"/>
              </w:rPr>
              <w:t>Restricted cash</w:t>
            </w:r>
          </w:p>
        </w:tc>
        <w:tc>
          <w:tcPr>
            <w:tcW w:w="200" w:type="dxa"/>
            <w:vAlign w:val="bottom"/>
          </w:tcPr>
          <w:p>
            <w:pPr>
              <w:spacing w:after="0"/>
              <w:rPr>
                <w:sz w:val="15"/>
                <w:szCs w:val="15"/>
                <w:color w:val="auto"/>
              </w:rPr>
            </w:pPr>
          </w:p>
        </w:tc>
        <w:tc>
          <w:tcPr>
            <w:tcW w:w="1200" w:type="dxa"/>
            <w:vAlign w:val="bottom"/>
          </w:tcPr>
          <w:p>
            <w:pPr>
              <w:jc w:val="right"/>
              <w:spacing w:after="0" w:line="176" w:lineRule="exact"/>
              <w:rPr>
                <w:sz w:val="20"/>
                <w:szCs w:val="20"/>
                <w:color w:val="auto"/>
              </w:rPr>
            </w:pPr>
            <w:r>
              <w:rPr>
                <w:rFonts w:ascii="Arial" w:cs="Arial" w:eastAsia="Arial" w:hAnsi="Arial"/>
                <w:sz w:val="16"/>
                <w:szCs w:val="16"/>
                <w:color w:val="auto"/>
              </w:rPr>
              <w:t>188</w:t>
            </w:r>
          </w:p>
        </w:tc>
        <w:tc>
          <w:tcPr>
            <w:tcW w:w="180" w:type="dxa"/>
            <w:vAlign w:val="bottom"/>
          </w:tcPr>
          <w:p>
            <w:pPr>
              <w:spacing w:after="0"/>
              <w:rPr>
                <w:sz w:val="15"/>
                <w:szCs w:val="15"/>
                <w:color w:val="auto"/>
              </w:rPr>
            </w:pPr>
          </w:p>
        </w:tc>
        <w:tc>
          <w:tcPr>
            <w:tcW w:w="1260" w:type="dxa"/>
            <w:vAlign w:val="bottom"/>
          </w:tcPr>
          <w:p>
            <w:pPr>
              <w:jc w:val="right"/>
              <w:spacing w:after="0" w:line="176" w:lineRule="exact"/>
              <w:rPr>
                <w:sz w:val="20"/>
                <w:szCs w:val="20"/>
                <w:color w:val="auto"/>
              </w:rPr>
            </w:pPr>
            <w:r>
              <w:rPr>
                <w:rFonts w:ascii="Arial" w:cs="Arial" w:eastAsia="Arial" w:hAnsi="Arial"/>
                <w:sz w:val="16"/>
                <w:szCs w:val="16"/>
                <w:color w:val="auto"/>
              </w:rPr>
              <w:t>131</w:t>
            </w:r>
          </w:p>
        </w:tc>
        <w:tc>
          <w:tcPr>
            <w:tcW w:w="0" w:type="dxa"/>
            <w:vAlign w:val="bottom"/>
          </w:tcPr>
          <w:p>
            <w:pPr>
              <w:spacing w:after="0"/>
              <w:rPr>
                <w:sz w:val="1"/>
                <w:szCs w:val="1"/>
                <w:color w:val="auto"/>
              </w:rPr>
            </w:pPr>
          </w:p>
        </w:tc>
      </w:tr>
      <w:tr>
        <w:trPr>
          <w:trHeight w:val="176"/>
        </w:trPr>
        <w:tc>
          <w:tcPr>
            <w:tcW w:w="180" w:type="dxa"/>
            <w:vAlign w:val="bottom"/>
          </w:tcPr>
          <w:p>
            <w:pPr>
              <w:spacing w:after="0"/>
              <w:rPr>
                <w:sz w:val="15"/>
                <w:szCs w:val="15"/>
                <w:color w:val="auto"/>
              </w:rPr>
            </w:pPr>
          </w:p>
        </w:tc>
        <w:tc>
          <w:tcPr>
            <w:tcW w:w="8400" w:type="dxa"/>
            <w:vAlign w:val="bottom"/>
          </w:tcPr>
          <w:p>
            <w:pPr>
              <w:spacing w:after="0" w:line="176" w:lineRule="exact"/>
              <w:rPr>
                <w:sz w:val="20"/>
                <w:szCs w:val="20"/>
                <w:color w:val="auto"/>
              </w:rPr>
            </w:pPr>
            <w:r>
              <w:rPr>
                <w:rFonts w:ascii="Arial" w:cs="Arial" w:eastAsia="Arial" w:hAnsi="Arial"/>
                <w:sz w:val="16"/>
                <w:szCs w:val="16"/>
                <w:color w:val="auto"/>
              </w:rPr>
              <w:t>Trade accounts receivable</w:t>
            </w:r>
          </w:p>
        </w:tc>
        <w:tc>
          <w:tcPr>
            <w:tcW w:w="200" w:type="dxa"/>
            <w:vAlign w:val="bottom"/>
          </w:tcPr>
          <w:p>
            <w:pPr>
              <w:spacing w:after="0"/>
              <w:rPr>
                <w:sz w:val="15"/>
                <w:szCs w:val="15"/>
                <w:color w:val="auto"/>
              </w:rPr>
            </w:pPr>
          </w:p>
        </w:tc>
        <w:tc>
          <w:tcPr>
            <w:tcW w:w="1200" w:type="dxa"/>
            <w:vAlign w:val="bottom"/>
          </w:tcPr>
          <w:p>
            <w:pPr>
              <w:jc w:val="right"/>
              <w:spacing w:after="0" w:line="176" w:lineRule="exact"/>
              <w:rPr>
                <w:sz w:val="20"/>
                <w:szCs w:val="20"/>
                <w:color w:val="auto"/>
              </w:rPr>
            </w:pPr>
            <w:r>
              <w:rPr>
                <w:rFonts w:ascii="Arial" w:cs="Arial" w:eastAsia="Arial" w:hAnsi="Arial"/>
                <w:sz w:val="16"/>
                <w:szCs w:val="16"/>
                <w:color w:val="auto"/>
              </w:rPr>
              <w:t>1,014</w:t>
            </w:r>
          </w:p>
        </w:tc>
        <w:tc>
          <w:tcPr>
            <w:tcW w:w="180" w:type="dxa"/>
            <w:vAlign w:val="bottom"/>
          </w:tcPr>
          <w:p>
            <w:pPr>
              <w:spacing w:after="0"/>
              <w:rPr>
                <w:sz w:val="15"/>
                <w:szCs w:val="15"/>
                <w:color w:val="auto"/>
              </w:rPr>
            </w:pPr>
          </w:p>
        </w:tc>
        <w:tc>
          <w:tcPr>
            <w:tcW w:w="1260" w:type="dxa"/>
            <w:vAlign w:val="bottom"/>
          </w:tcPr>
          <w:p>
            <w:pPr>
              <w:jc w:val="right"/>
              <w:spacing w:after="0" w:line="176" w:lineRule="exact"/>
              <w:rPr>
                <w:sz w:val="20"/>
                <w:szCs w:val="20"/>
                <w:color w:val="auto"/>
              </w:rPr>
            </w:pPr>
            <w:r>
              <w:rPr>
                <w:rFonts w:ascii="Arial" w:cs="Arial" w:eastAsia="Arial" w:hAnsi="Arial"/>
                <w:sz w:val="16"/>
                <w:szCs w:val="16"/>
                <w:color w:val="auto"/>
              </w:rPr>
              <w:t>891</w:t>
            </w:r>
          </w:p>
        </w:tc>
        <w:tc>
          <w:tcPr>
            <w:tcW w:w="0" w:type="dxa"/>
            <w:vAlign w:val="bottom"/>
          </w:tcPr>
          <w:p>
            <w:pPr>
              <w:spacing w:after="0"/>
              <w:rPr>
                <w:sz w:val="1"/>
                <w:szCs w:val="1"/>
                <w:color w:val="auto"/>
              </w:rPr>
            </w:pPr>
          </w:p>
        </w:tc>
      </w:tr>
      <w:tr>
        <w:trPr>
          <w:trHeight w:val="176"/>
        </w:trPr>
        <w:tc>
          <w:tcPr>
            <w:tcW w:w="180" w:type="dxa"/>
            <w:vAlign w:val="bottom"/>
          </w:tcPr>
          <w:p>
            <w:pPr>
              <w:spacing w:after="0"/>
              <w:rPr>
                <w:sz w:val="15"/>
                <w:szCs w:val="15"/>
                <w:color w:val="auto"/>
              </w:rPr>
            </w:pPr>
          </w:p>
        </w:tc>
        <w:tc>
          <w:tcPr>
            <w:tcW w:w="8400" w:type="dxa"/>
            <w:vAlign w:val="bottom"/>
          </w:tcPr>
          <w:p>
            <w:pPr>
              <w:spacing w:after="0" w:line="176" w:lineRule="exact"/>
              <w:rPr>
                <w:sz w:val="20"/>
                <w:szCs w:val="20"/>
                <w:color w:val="auto"/>
              </w:rPr>
            </w:pPr>
            <w:r>
              <w:rPr>
                <w:rFonts w:ascii="Arial" w:cs="Arial" w:eastAsia="Arial" w:hAnsi="Arial"/>
                <w:sz w:val="16"/>
                <w:szCs w:val="16"/>
                <w:color w:val="auto"/>
              </w:rPr>
              <w:t>Other accounts and notes receivable</w:t>
            </w:r>
          </w:p>
        </w:tc>
        <w:tc>
          <w:tcPr>
            <w:tcW w:w="200" w:type="dxa"/>
            <w:vAlign w:val="bottom"/>
          </w:tcPr>
          <w:p>
            <w:pPr>
              <w:spacing w:after="0"/>
              <w:rPr>
                <w:sz w:val="15"/>
                <w:szCs w:val="15"/>
                <w:color w:val="auto"/>
              </w:rPr>
            </w:pPr>
          </w:p>
        </w:tc>
        <w:tc>
          <w:tcPr>
            <w:tcW w:w="1200" w:type="dxa"/>
            <w:vAlign w:val="bottom"/>
          </w:tcPr>
          <w:p>
            <w:pPr>
              <w:jc w:val="right"/>
              <w:spacing w:after="0" w:line="176" w:lineRule="exact"/>
              <w:rPr>
                <w:sz w:val="20"/>
                <w:szCs w:val="20"/>
                <w:color w:val="auto"/>
              </w:rPr>
            </w:pPr>
            <w:r>
              <w:rPr>
                <w:rFonts w:ascii="Arial" w:cs="Arial" w:eastAsia="Arial" w:hAnsi="Arial"/>
                <w:sz w:val="16"/>
                <w:szCs w:val="16"/>
                <w:color w:val="auto"/>
              </w:rPr>
              <w:t>162</w:t>
            </w:r>
          </w:p>
        </w:tc>
        <w:tc>
          <w:tcPr>
            <w:tcW w:w="180" w:type="dxa"/>
            <w:vAlign w:val="bottom"/>
          </w:tcPr>
          <w:p>
            <w:pPr>
              <w:spacing w:after="0"/>
              <w:rPr>
                <w:sz w:val="15"/>
                <w:szCs w:val="15"/>
                <w:color w:val="auto"/>
              </w:rPr>
            </w:pPr>
          </w:p>
        </w:tc>
        <w:tc>
          <w:tcPr>
            <w:tcW w:w="1260" w:type="dxa"/>
            <w:vAlign w:val="bottom"/>
          </w:tcPr>
          <w:p>
            <w:pPr>
              <w:jc w:val="right"/>
              <w:spacing w:after="0" w:line="176" w:lineRule="exact"/>
              <w:rPr>
                <w:sz w:val="20"/>
                <w:szCs w:val="20"/>
                <w:color w:val="auto"/>
              </w:rPr>
            </w:pPr>
            <w:r>
              <w:rPr>
                <w:rFonts w:ascii="Arial" w:cs="Arial" w:eastAsia="Arial" w:hAnsi="Arial"/>
                <w:sz w:val="16"/>
                <w:szCs w:val="16"/>
                <w:color w:val="auto"/>
              </w:rPr>
              <w:t>141</w:t>
            </w:r>
          </w:p>
        </w:tc>
        <w:tc>
          <w:tcPr>
            <w:tcW w:w="0" w:type="dxa"/>
            <w:vAlign w:val="bottom"/>
          </w:tcPr>
          <w:p>
            <w:pPr>
              <w:spacing w:after="0"/>
              <w:rPr>
                <w:sz w:val="1"/>
                <w:szCs w:val="1"/>
                <w:color w:val="auto"/>
              </w:rPr>
            </w:pPr>
          </w:p>
        </w:tc>
      </w:tr>
      <w:tr>
        <w:trPr>
          <w:trHeight w:val="176"/>
        </w:trPr>
        <w:tc>
          <w:tcPr>
            <w:tcW w:w="180" w:type="dxa"/>
            <w:vAlign w:val="bottom"/>
          </w:tcPr>
          <w:p>
            <w:pPr>
              <w:spacing w:after="0"/>
              <w:rPr>
                <w:sz w:val="15"/>
                <w:szCs w:val="15"/>
                <w:color w:val="auto"/>
              </w:rPr>
            </w:pPr>
          </w:p>
        </w:tc>
        <w:tc>
          <w:tcPr>
            <w:tcW w:w="8400" w:type="dxa"/>
            <w:vAlign w:val="bottom"/>
          </w:tcPr>
          <w:p>
            <w:pPr>
              <w:spacing w:after="0" w:line="176" w:lineRule="exact"/>
              <w:rPr>
                <w:sz w:val="20"/>
                <w:szCs w:val="20"/>
                <w:color w:val="auto"/>
              </w:rPr>
            </w:pPr>
            <w:r>
              <w:rPr>
                <w:rFonts w:ascii="Arial" w:cs="Arial" w:eastAsia="Arial" w:hAnsi="Arial"/>
                <w:sz w:val="16"/>
                <w:szCs w:val="16"/>
                <w:color w:val="auto"/>
              </w:rPr>
              <w:t>Due from unconsolidated affiliates</w:t>
            </w:r>
          </w:p>
        </w:tc>
        <w:tc>
          <w:tcPr>
            <w:tcW w:w="200" w:type="dxa"/>
            <w:vAlign w:val="bottom"/>
          </w:tcPr>
          <w:p>
            <w:pPr>
              <w:spacing w:after="0"/>
              <w:rPr>
                <w:sz w:val="15"/>
                <w:szCs w:val="15"/>
                <w:color w:val="auto"/>
              </w:rPr>
            </w:pPr>
          </w:p>
        </w:tc>
        <w:tc>
          <w:tcPr>
            <w:tcW w:w="1200" w:type="dxa"/>
            <w:vAlign w:val="bottom"/>
          </w:tcPr>
          <w:p>
            <w:pPr>
              <w:jc w:val="right"/>
              <w:spacing w:after="0" w:line="176" w:lineRule="exact"/>
              <w:rPr>
                <w:sz w:val="20"/>
                <w:szCs w:val="20"/>
                <w:color w:val="auto"/>
              </w:rPr>
            </w:pPr>
            <w:r>
              <w:rPr>
                <w:rFonts w:ascii="Arial" w:cs="Arial" w:eastAsia="Arial" w:hAnsi="Arial"/>
                <w:sz w:val="16"/>
                <w:szCs w:val="16"/>
                <w:color w:val="auto"/>
              </w:rPr>
              <w:t>―</w:t>
            </w:r>
          </w:p>
        </w:tc>
        <w:tc>
          <w:tcPr>
            <w:tcW w:w="180" w:type="dxa"/>
            <w:vAlign w:val="bottom"/>
          </w:tcPr>
          <w:p>
            <w:pPr>
              <w:spacing w:after="0"/>
              <w:rPr>
                <w:sz w:val="15"/>
                <w:szCs w:val="15"/>
                <w:color w:val="auto"/>
              </w:rPr>
            </w:pPr>
          </w:p>
        </w:tc>
        <w:tc>
          <w:tcPr>
            <w:tcW w:w="1260" w:type="dxa"/>
            <w:vAlign w:val="bottom"/>
          </w:tcPr>
          <w:p>
            <w:pPr>
              <w:jc w:val="right"/>
              <w:spacing w:after="0" w:line="176" w:lineRule="exact"/>
              <w:rPr>
                <w:sz w:val="20"/>
                <w:szCs w:val="20"/>
                <w:color w:val="auto"/>
              </w:rPr>
            </w:pPr>
            <w:r>
              <w:rPr>
                <w:rFonts w:ascii="Arial" w:cs="Arial" w:eastAsia="Arial" w:hAnsi="Arial"/>
                <w:sz w:val="16"/>
                <w:szCs w:val="16"/>
                <w:color w:val="auto"/>
              </w:rPr>
              <w:t>34</w:t>
            </w:r>
          </w:p>
        </w:tc>
        <w:tc>
          <w:tcPr>
            <w:tcW w:w="0" w:type="dxa"/>
            <w:vAlign w:val="bottom"/>
          </w:tcPr>
          <w:p>
            <w:pPr>
              <w:spacing w:after="0"/>
              <w:rPr>
                <w:sz w:val="1"/>
                <w:szCs w:val="1"/>
                <w:color w:val="auto"/>
              </w:rPr>
            </w:pPr>
          </w:p>
        </w:tc>
      </w:tr>
      <w:tr>
        <w:trPr>
          <w:trHeight w:val="176"/>
        </w:trPr>
        <w:tc>
          <w:tcPr>
            <w:tcW w:w="180" w:type="dxa"/>
            <w:vAlign w:val="bottom"/>
          </w:tcPr>
          <w:p>
            <w:pPr>
              <w:spacing w:after="0"/>
              <w:rPr>
                <w:sz w:val="15"/>
                <w:szCs w:val="15"/>
                <w:color w:val="auto"/>
              </w:rPr>
            </w:pPr>
          </w:p>
        </w:tc>
        <w:tc>
          <w:tcPr>
            <w:tcW w:w="8400" w:type="dxa"/>
            <w:vAlign w:val="bottom"/>
          </w:tcPr>
          <w:p>
            <w:pPr>
              <w:spacing w:after="0" w:line="176" w:lineRule="exact"/>
              <w:rPr>
                <w:sz w:val="20"/>
                <w:szCs w:val="20"/>
                <w:color w:val="auto"/>
              </w:rPr>
            </w:pPr>
            <w:r>
              <w:rPr>
                <w:rFonts w:ascii="Arial" w:cs="Arial" w:eastAsia="Arial" w:hAnsi="Arial"/>
                <w:sz w:val="16"/>
                <w:szCs w:val="16"/>
                <w:color w:val="auto"/>
              </w:rPr>
              <w:t>Income taxes receivable</w:t>
            </w:r>
          </w:p>
        </w:tc>
        <w:tc>
          <w:tcPr>
            <w:tcW w:w="200" w:type="dxa"/>
            <w:vAlign w:val="bottom"/>
          </w:tcPr>
          <w:p>
            <w:pPr>
              <w:spacing w:after="0"/>
              <w:rPr>
                <w:sz w:val="15"/>
                <w:szCs w:val="15"/>
                <w:color w:val="auto"/>
              </w:rPr>
            </w:pPr>
          </w:p>
        </w:tc>
        <w:tc>
          <w:tcPr>
            <w:tcW w:w="1200" w:type="dxa"/>
            <w:vAlign w:val="bottom"/>
          </w:tcPr>
          <w:p>
            <w:pPr>
              <w:jc w:val="right"/>
              <w:spacing w:after="0" w:line="176" w:lineRule="exact"/>
              <w:rPr>
                <w:sz w:val="20"/>
                <w:szCs w:val="20"/>
                <w:color w:val="auto"/>
              </w:rPr>
            </w:pPr>
            <w:r>
              <w:rPr>
                <w:rFonts w:ascii="Arial" w:cs="Arial" w:eastAsia="Arial" w:hAnsi="Arial"/>
                <w:sz w:val="16"/>
                <w:szCs w:val="16"/>
                <w:color w:val="auto"/>
              </w:rPr>
              <w:t>243</w:t>
            </w:r>
          </w:p>
        </w:tc>
        <w:tc>
          <w:tcPr>
            <w:tcW w:w="180" w:type="dxa"/>
            <w:vAlign w:val="bottom"/>
          </w:tcPr>
          <w:p>
            <w:pPr>
              <w:spacing w:after="0"/>
              <w:rPr>
                <w:sz w:val="15"/>
                <w:szCs w:val="15"/>
                <w:color w:val="auto"/>
              </w:rPr>
            </w:pPr>
          </w:p>
        </w:tc>
        <w:tc>
          <w:tcPr>
            <w:tcW w:w="1260" w:type="dxa"/>
            <w:vAlign w:val="bottom"/>
          </w:tcPr>
          <w:p>
            <w:pPr>
              <w:jc w:val="right"/>
              <w:spacing w:after="0" w:line="176" w:lineRule="exact"/>
              <w:rPr>
                <w:sz w:val="20"/>
                <w:szCs w:val="20"/>
                <w:color w:val="auto"/>
              </w:rPr>
            </w:pPr>
            <w:r>
              <w:rPr>
                <w:rFonts w:ascii="Arial" w:cs="Arial" w:eastAsia="Arial" w:hAnsi="Arial"/>
                <w:sz w:val="16"/>
                <w:szCs w:val="16"/>
                <w:color w:val="auto"/>
              </w:rPr>
              <w:t>248</w:t>
            </w:r>
          </w:p>
        </w:tc>
        <w:tc>
          <w:tcPr>
            <w:tcW w:w="0" w:type="dxa"/>
            <w:vAlign w:val="bottom"/>
          </w:tcPr>
          <w:p>
            <w:pPr>
              <w:spacing w:after="0"/>
              <w:rPr>
                <w:sz w:val="1"/>
                <w:szCs w:val="1"/>
                <w:color w:val="auto"/>
              </w:rPr>
            </w:pPr>
          </w:p>
        </w:tc>
      </w:tr>
      <w:tr>
        <w:trPr>
          <w:trHeight w:val="176"/>
        </w:trPr>
        <w:tc>
          <w:tcPr>
            <w:tcW w:w="180" w:type="dxa"/>
            <w:vAlign w:val="bottom"/>
          </w:tcPr>
          <w:p>
            <w:pPr>
              <w:spacing w:after="0"/>
              <w:rPr>
                <w:sz w:val="15"/>
                <w:szCs w:val="15"/>
                <w:color w:val="auto"/>
              </w:rPr>
            </w:pPr>
          </w:p>
        </w:tc>
        <w:tc>
          <w:tcPr>
            <w:tcW w:w="8400" w:type="dxa"/>
            <w:vAlign w:val="bottom"/>
          </w:tcPr>
          <w:p>
            <w:pPr>
              <w:spacing w:after="0" w:line="176" w:lineRule="exact"/>
              <w:rPr>
                <w:sz w:val="20"/>
                <w:szCs w:val="20"/>
                <w:color w:val="auto"/>
              </w:rPr>
            </w:pPr>
            <w:r>
              <w:rPr>
                <w:rFonts w:ascii="Arial" w:cs="Arial" w:eastAsia="Arial" w:hAnsi="Arial"/>
                <w:sz w:val="16"/>
                <w:szCs w:val="16"/>
                <w:color w:val="auto"/>
              </w:rPr>
              <w:t>Deferred income taxes</w:t>
            </w:r>
          </w:p>
        </w:tc>
        <w:tc>
          <w:tcPr>
            <w:tcW w:w="200" w:type="dxa"/>
            <w:vAlign w:val="bottom"/>
          </w:tcPr>
          <w:p>
            <w:pPr>
              <w:spacing w:after="0"/>
              <w:rPr>
                <w:sz w:val="15"/>
                <w:szCs w:val="15"/>
                <w:color w:val="auto"/>
              </w:rPr>
            </w:pPr>
          </w:p>
        </w:tc>
        <w:tc>
          <w:tcPr>
            <w:tcW w:w="1200" w:type="dxa"/>
            <w:vAlign w:val="bottom"/>
          </w:tcPr>
          <w:p>
            <w:pPr>
              <w:jc w:val="right"/>
              <w:spacing w:after="0" w:line="176" w:lineRule="exact"/>
              <w:rPr>
                <w:sz w:val="20"/>
                <w:szCs w:val="20"/>
                <w:color w:val="auto"/>
              </w:rPr>
            </w:pPr>
            <w:r>
              <w:rPr>
                <w:rFonts w:ascii="Arial" w:cs="Arial" w:eastAsia="Arial" w:hAnsi="Arial"/>
                <w:sz w:val="16"/>
                <w:szCs w:val="16"/>
                <w:color w:val="auto"/>
              </w:rPr>
              <w:t>―</w:t>
            </w:r>
          </w:p>
        </w:tc>
        <w:tc>
          <w:tcPr>
            <w:tcW w:w="180" w:type="dxa"/>
            <w:vAlign w:val="bottom"/>
          </w:tcPr>
          <w:p>
            <w:pPr>
              <w:spacing w:after="0"/>
              <w:rPr>
                <w:sz w:val="15"/>
                <w:szCs w:val="15"/>
                <w:color w:val="auto"/>
              </w:rPr>
            </w:pPr>
          </w:p>
        </w:tc>
        <w:tc>
          <w:tcPr>
            <w:tcW w:w="1260" w:type="dxa"/>
            <w:vAlign w:val="bottom"/>
          </w:tcPr>
          <w:p>
            <w:pPr>
              <w:jc w:val="right"/>
              <w:spacing w:after="0" w:line="176" w:lineRule="exact"/>
              <w:rPr>
                <w:sz w:val="20"/>
                <w:szCs w:val="20"/>
                <w:color w:val="auto"/>
              </w:rPr>
            </w:pPr>
            <w:r>
              <w:rPr>
                <w:rFonts w:ascii="Arial" w:cs="Arial" w:eastAsia="Arial" w:hAnsi="Arial"/>
                <w:sz w:val="16"/>
                <w:szCs w:val="16"/>
                <w:color w:val="auto"/>
              </w:rPr>
              <w:t>75</w:t>
            </w:r>
          </w:p>
        </w:tc>
        <w:tc>
          <w:tcPr>
            <w:tcW w:w="0" w:type="dxa"/>
            <w:vAlign w:val="bottom"/>
          </w:tcPr>
          <w:p>
            <w:pPr>
              <w:spacing w:after="0"/>
              <w:rPr>
                <w:sz w:val="1"/>
                <w:szCs w:val="1"/>
                <w:color w:val="auto"/>
              </w:rPr>
            </w:pPr>
          </w:p>
        </w:tc>
      </w:tr>
      <w:tr>
        <w:trPr>
          <w:trHeight w:val="176"/>
        </w:trPr>
        <w:tc>
          <w:tcPr>
            <w:tcW w:w="180" w:type="dxa"/>
            <w:vAlign w:val="bottom"/>
          </w:tcPr>
          <w:p>
            <w:pPr>
              <w:spacing w:after="0"/>
              <w:rPr>
                <w:sz w:val="15"/>
                <w:szCs w:val="15"/>
                <w:color w:val="auto"/>
              </w:rPr>
            </w:pPr>
          </w:p>
        </w:tc>
        <w:tc>
          <w:tcPr>
            <w:tcW w:w="8400" w:type="dxa"/>
            <w:vAlign w:val="bottom"/>
          </w:tcPr>
          <w:p>
            <w:pPr>
              <w:spacing w:after="0" w:line="176" w:lineRule="exact"/>
              <w:rPr>
                <w:sz w:val="20"/>
                <w:szCs w:val="20"/>
                <w:color w:val="auto"/>
              </w:rPr>
            </w:pPr>
            <w:r>
              <w:rPr>
                <w:rFonts w:ascii="Arial" w:cs="Arial" w:eastAsia="Arial" w:hAnsi="Arial"/>
                <w:sz w:val="16"/>
                <w:szCs w:val="16"/>
                <w:color w:val="auto"/>
              </w:rPr>
              <w:t>Inventories</w:t>
            </w:r>
          </w:p>
        </w:tc>
        <w:tc>
          <w:tcPr>
            <w:tcW w:w="200" w:type="dxa"/>
            <w:vAlign w:val="bottom"/>
          </w:tcPr>
          <w:p>
            <w:pPr>
              <w:spacing w:after="0"/>
              <w:rPr>
                <w:sz w:val="15"/>
                <w:szCs w:val="15"/>
                <w:color w:val="auto"/>
              </w:rPr>
            </w:pPr>
          </w:p>
        </w:tc>
        <w:tc>
          <w:tcPr>
            <w:tcW w:w="1200" w:type="dxa"/>
            <w:vAlign w:val="bottom"/>
          </w:tcPr>
          <w:p>
            <w:pPr>
              <w:jc w:val="right"/>
              <w:spacing w:after="0" w:line="176" w:lineRule="exact"/>
              <w:rPr>
                <w:sz w:val="20"/>
                <w:szCs w:val="20"/>
                <w:color w:val="auto"/>
              </w:rPr>
            </w:pPr>
            <w:r>
              <w:rPr>
                <w:rFonts w:ascii="Arial" w:cs="Arial" w:eastAsia="Arial" w:hAnsi="Arial"/>
                <w:sz w:val="16"/>
                <w:szCs w:val="16"/>
                <w:color w:val="auto"/>
              </w:rPr>
              <w:t>211</w:t>
            </w:r>
          </w:p>
        </w:tc>
        <w:tc>
          <w:tcPr>
            <w:tcW w:w="180" w:type="dxa"/>
            <w:vAlign w:val="bottom"/>
          </w:tcPr>
          <w:p>
            <w:pPr>
              <w:spacing w:after="0"/>
              <w:rPr>
                <w:sz w:val="15"/>
                <w:szCs w:val="15"/>
                <w:color w:val="auto"/>
              </w:rPr>
            </w:pPr>
          </w:p>
        </w:tc>
        <w:tc>
          <w:tcPr>
            <w:tcW w:w="1260" w:type="dxa"/>
            <w:vAlign w:val="bottom"/>
          </w:tcPr>
          <w:p>
            <w:pPr>
              <w:jc w:val="right"/>
              <w:spacing w:after="0" w:line="176" w:lineRule="exact"/>
              <w:rPr>
                <w:sz w:val="20"/>
                <w:szCs w:val="20"/>
                <w:color w:val="auto"/>
              </w:rPr>
            </w:pPr>
            <w:r>
              <w:rPr>
                <w:rFonts w:ascii="Arial" w:cs="Arial" w:eastAsia="Arial" w:hAnsi="Arial"/>
                <w:sz w:val="16"/>
                <w:szCs w:val="16"/>
                <w:color w:val="auto"/>
              </w:rPr>
              <w:t>258</w:t>
            </w:r>
          </w:p>
        </w:tc>
        <w:tc>
          <w:tcPr>
            <w:tcW w:w="0" w:type="dxa"/>
            <w:vAlign w:val="bottom"/>
          </w:tcPr>
          <w:p>
            <w:pPr>
              <w:spacing w:after="0"/>
              <w:rPr>
                <w:sz w:val="1"/>
                <w:szCs w:val="1"/>
                <w:color w:val="auto"/>
              </w:rPr>
            </w:pPr>
          </w:p>
        </w:tc>
      </w:tr>
      <w:tr>
        <w:trPr>
          <w:trHeight w:val="176"/>
        </w:trPr>
        <w:tc>
          <w:tcPr>
            <w:tcW w:w="180" w:type="dxa"/>
            <w:vAlign w:val="bottom"/>
          </w:tcPr>
          <w:p>
            <w:pPr>
              <w:spacing w:after="0"/>
              <w:rPr>
                <w:sz w:val="15"/>
                <w:szCs w:val="15"/>
                <w:color w:val="auto"/>
              </w:rPr>
            </w:pPr>
          </w:p>
        </w:tc>
        <w:tc>
          <w:tcPr>
            <w:tcW w:w="8400" w:type="dxa"/>
            <w:vAlign w:val="bottom"/>
          </w:tcPr>
          <w:p>
            <w:pPr>
              <w:spacing w:after="0" w:line="176" w:lineRule="exact"/>
              <w:rPr>
                <w:sz w:val="20"/>
                <w:szCs w:val="20"/>
                <w:color w:val="auto"/>
              </w:rPr>
            </w:pPr>
            <w:r>
              <w:rPr>
                <w:rFonts w:ascii="Arial" w:cs="Arial" w:eastAsia="Arial" w:hAnsi="Arial"/>
                <w:sz w:val="16"/>
                <w:szCs w:val="16"/>
                <w:color w:val="auto"/>
              </w:rPr>
              <w:t>Regulatory assets</w:t>
            </w:r>
          </w:p>
        </w:tc>
        <w:tc>
          <w:tcPr>
            <w:tcW w:w="200" w:type="dxa"/>
            <w:vAlign w:val="bottom"/>
          </w:tcPr>
          <w:p>
            <w:pPr>
              <w:spacing w:after="0"/>
              <w:rPr>
                <w:sz w:val="15"/>
                <w:szCs w:val="15"/>
                <w:color w:val="auto"/>
              </w:rPr>
            </w:pPr>
          </w:p>
        </w:tc>
        <w:tc>
          <w:tcPr>
            <w:tcW w:w="1200" w:type="dxa"/>
            <w:vAlign w:val="bottom"/>
          </w:tcPr>
          <w:p>
            <w:pPr>
              <w:jc w:val="right"/>
              <w:spacing w:after="0" w:line="176" w:lineRule="exact"/>
              <w:rPr>
                <w:sz w:val="20"/>
                <w:szCs w:val="20"/>
                <w:color w:val="auto"/>
              </w:rPr>
            </w:pPr>
            <w:r>
              <w:rPr>
                <w:rFonts w:ascii="Arial" w:cs="Arial" w:eastAsia="Arial" w:hAnsi="Arial"/>
                <w:sz w:val="16"/>
                <w:szCs w:val="16"/>
                <w:color w:val="auto"/>
              </w:rPr>
              <w:t>69</w:t>
            </w:r>
          </w:p>
        </w:tc>
        <w:tc>
          <w:tcPr>
            <w:tcW w:w="180" w:type="dxa"/>
            <w:vAlign w:val="bottom"/>
          </w:tcPr>
          <w:p>
            <w:pPr>
              <w:spacing w:after="0"/>
              <w:rPr>
                <w:sz w:val="15"/>
                <w:szCs w:val="15"/>
                <w:color w:val="auto"/>
              </w:rPr>
            </w:pPr>
          </w:p>
        </w:tc>
        <w:tc>
          <w:tcPr>
            <w:tcW w:w="1260" w:type="dxa"/>
            <w:vAlign w:val="bottom"/>
          </w:tcPr>
          <w:p>
            <w:pPr>
              <w:jc w:val="right"/>
              <w:spacing w:after="0" w:line="176" w:lineRule="exact"/>
              <w:rPr>
                <w:sz w:val="20"/>
                <w:szCs w:val="20"/>
                <w:color w:val="auto"/>
              </w:rPr>
            </w:pPr>
            <w:r>
              <w:rPr>
                <w:rFonts w:ascii="Arial" w:cs="Arial" w:eastAsia="Arial" w:hAnsi="Arial"/>
                <w:sz w:val="16"/>
                <w:szCs w:val="16"/>
                <w:color w:val="auto"/>
              </w:rPr>
              <w:t>90</w:t>
            </w:r>
          </w:p>
        </w:tc>
        <w:tc>
          <w:tcPr>
            <w:tcW w:w="0" w:type="dxa"/>
            <w:vAlign w:val="bottom"/>
          </w:tcPr>
          <w:p>
            <w:pPr>
              <w:spacing w:after="0"/>
              <w:rPr>
                <w:sz w:val="1"/>
                <w:szCs w:val="1"/>
                <w:color w:val="auto"/>
              </w:rPr>
            </w:pPr>
          </w:p>
        </w:tc>
      </w:tr>
      <w:tr>
        <w:trPr>
          <w:trHeight w:val="176"/>
        </w:trPr>
        <w:tc>
          <w:tcPr>
            <w:tcW w:w="180" w:type="dxa"/>
            <w:vAlign w:val="bottom"/>
          </w:tcPr>
          <w:p>
            <w:pPr>
              <w:spacing w:after="0"/>
              <w:rPr>
                <w:sz w:val="15"/>
                <w:szCs w:val="15"/>
                <w:color w:val="auto"/>
              </w:rPr>
            </w:pPr>
          </w:p>
        </w:tc>
        <w:tc>
          <w:tcPr>
            <w:tcW w:w="8400" w:type="dxa"/>
            <w:vAlign w:val="bottom"/>
          </w:tcPr>
          <w:p>
            <w:pPr>
              <w:spacing w:after="0" w:line="176" w:lineRule="exact"/>
              <w:rPr>
                <w:sz w:val="20"/>
                <w:szCs w:val="20"/>
                <w:color w:val="auto"/>
              </w:rPr>
            </w:pPr>
            <w:r>
              <w:rPr>
                <w:rFonts w:ascii="Arial" w:cs="Arial" w:eastAsia="Arial" w:hAnsi="Arial"/>
                <w:sz w:val="16"/>
                <w:szCs w:val="16"/>
                <w:color w:val="auto"/>
              </w:rPr>
              <w:t>Fixed-price contracts and other derivatives</w:t>
            </w:r>
          </w:p>
        </w:tc>
        <w:tc>
          <w:tcPr>
            <w:tcW w:w="200" w:type="dxa"/>
            <w:vAlign w:val="bottom"/>
          </w:tcPr>
          <w:p>
            <w:pPr>
              <w:spacing w:after="0"/>
              <w:rPr>
                <w:sz w:val="15"/>
                <w:szCs w:val="15"/>
                <w:color w:val="auto"/>
              </w:rPr>
            </w:pPr>
          </w:p>
        </w:tc>
        <w:tc>
          <w:tcPr>
            <w:tcW w:w="1200" w:type="dxa"/>
            <w:vAlign w:val="bottom"/>
          </w:tcPr>
          <w:p>
            <w:pPr>
              <w:jc w:val="right"/>
              <w:spacing w:after="0" w:line="176" w:lineRule="exact"/>
              <w:rPr>
                <w:sz w:val="20"/>
                <w:szCs w:val="20"/>
                <w:color w:val="auto"/>
              </w:rPr>
            </w:pPr>
            <w:r>
              <w:rPr>
                <w:rFonts w:ascii="Arial" w:cs="Arial" w:eastAsia="Arial" w:hAnsi="Arial"/>
                <w:sz w:val="16"/>
                <w:szCs w:val="16"/>
                <w:color w:val="auto"/>
              </w:rPr>
              <w:t>87</w:t>
            </w:r>
          </w:p>
        </w:tc>
        <w:tc>
          <w:tcPr>
            <w:tcW w:w="180" w:type="dxa"/>
            <w:vAlign w:val="bottom"/>
          </w:tcPr>
          <w:p>
            <w:pPr>
              <w:spacing w:after="0"/>
              <w:rPr>
                <w:sz w:val="15"/>
                <w:szCs w:val="15"/>
                <w:color w:val="auto"/>
              </w:rPr>
            </w:pPr>
          </w:p>
        </w:tc>
        <w:tc>
          <w:tcPr>
            <w:tcW w:w="1260" w:type="dxa"/>
            <w:vAlign w:val="bottom"/>
          </w:tcPr>
          <w:p>
            <w:pPr>
              <w:jc w:val="right"/>
              <w:spacing w:after="0" w:line="176" w:lineRule="exact"/>
              <w:rPr>
                <w:sz w:val="20"/>
                <w:szCs w:val="20"/>
                <w:color w:val="auto"/>
              </w:rPr>
            </w:pPr>
            <w:r>
              <w:rPr>
                <w:rFonts w:ascii="Arial" w:cs="Arial" w:eastAsia="Arial" w:hAnsi="Arial"/>
                <w:sz w:val="16"/>
                <w:szCs w:val="16"/>
                <w:color w:val="auto"/>
              </w:rPr>
              <w:t>81</w:t>
            </w:r>
          </w:p>
        </w:tc>
        <w:tc>
          <w:tcPr>
            <w:tcW w:w="0" w:type="dxa"/>
            <w:vAlign w:val="bottom"/>
          </w:tcPr>
          <w:p>
            <w:pPr>
              <w:spacing w:after="0"/>
              <w:rPr>
                <w:sz w:val="1"/>
                <w:szCs w:val="1"/>
                <w:color w:val="auto"/>
              </w:rPr>
            </w:pPr>
          </w:p>
        </w:tc>
      </w:tr>
      <w:tr>
        <w:trPr>
          <w:trHeight w:val="176"/>
        </w:trPr>
        <w:tc>
          <w:tcPr>
            <w:tcW w:w="180" w:type="dxa"/>
            <w:vAlign w:val="bottom"/>
          </w:tcPr>
          <w:p>
            <w:pPr>
              <w:spacing w:after="0"/>
              <w:rPr>
                <w:sz w:val="15"/>
                <w:szCs w:val="15"/>
                <w:color w:val="auto"/>
              </w:rPr>
            </w:pPr>
          </w:p>
        </w:tc>
        <w:tc>
          <w:tcPr>
            <w:tcW w:w="8400" w:type="dxa"/>
            <w:vAlign w:val="bottom"/>
          </w:tcPr>
          <w:p>
            <w:pPr>
              <w:spacing w:after="0" w:line="176" w:lineRule="exact"/>
              <w:rPr>
                <w:sz w:val="20"/>
                <w:szCs w:val="20"/>
                <w:color w:val="auto"/>
              </w:rPr>
            </w:pPr>
            <w:r>
              <w:rPr>
                <w:rFonts w:ascii="Arial" w:cs="Arial" w:eastAsia="Arial" w:hAnsi="Arial"/>
                <w:sz w:val="16"/>
                <w:szCs w:val="16"/>
                <w:color w:val="auto"/>
              </w:rPr>
              <w:t>Settlement receivable related to wildfire litigation</w:t>
            </w:r>
          </w:p>
        </w:tc>
        <w:tc>
          <w:tcPr>
            <w:tcW w:w="200" w:type="dxa"/>
            <w:vAlign w:val="bottom"/>
          </w:tcPr>
          <w:p>
            <w:pPr>
              <w:spacing w:after="0"/>
              <w:rPr>
                <w:sz w:val="15"/>
                <w:szCs w:val="15"/>
                <w:color w:val="auto"/>
              </w:rPr>
            </w:pPr>
          </w:p>
        </w:tc>
        <w:tc>
          <w:tcPr>
            <w:tcW w:w="1200" w:type="dxa"/>
            <w:vAlign w:val="bottom"/>
          </w:tcPr>
          <w:p>
            <w:pPr>
              <w:jc w:val="right"/>
              <w:spacing w:after="0" w:line="176" w:lineRule="exact"/>
              <w:rPr>
                <w:sz w:val="20"/>
                <w:szCs w:val="20"/>
                <w:color w:val="auto"/>
              </w:rPr>
            </w:pPr>
            <w:r>
              <w:rPr>
                <w:rFonts w:ascii="Arial" w:cs="Arial" w:eastAsia="Arial" w:hAnsi="Arial"/>
                <w:sz w:val="16"/>
                <w:szCs w:val="16"/>
                <w:color w:val="auto"/>
              </w:rPr>
              <w:t>―</w:t>
            </w:r>
          </w:p>
        </w:tc>
        <w:tc>
          <w:tcPr>
            <w:tcW w:w="180" w:type="dxa"/>
            <w:vAlign w:val="bottom"/>
          </w:tcPr>
          <w:p>
            <w:pPr>
              <w:spacing w:after="0"/>
              <w:rPr>
                <w:sz w:val="15"/>
                <w:szCs w:val="15"/>
                <w:color w:val="auto"/>
              </w:rPr>
            </w:pPr>
          </w:p>
        </w:tc>
        <w:tc>
          <w:tcPr>
            <w:tcW w:w="1260" w:type="dxa"/>
            <w:vAlign w:val="bottom"/>
          </w:tcPr>
          <w:p>
            <w:pPr>
              <w:jc w:val="right"/>
              <w:spacing w:after="0" w:line="176" w:lineRule="exact"/>
              <w:rPr>
                <w:sz w:val="20"/>
                <w:szCs w:val="20"/>
                <w:color w:val="auto"/>
              </w:rPr>
            </w:pPr>
            <w:r>
              <w:rPr>
                <w:rFonts w:ascii="Arial" w:cs="Arial" w:eastAsia="Arial" w:hAnsi="Arial"/>
                <w:sz w:val="16"/>
                <w:szCs w:val="16"/>
                <w:color w:val="auto"/>
              </w:rPr>
              <w:t>300</w:t>
            </w:r>
          </w:p>
        </w:tc>
        <w:tc>
          <w:tcPr>
            <w:tcW w:w="0" w:type="dxa"/>
            <w:vAlign w:val="bottom"/>
          </w:tcPr>
          <w:p>
            <w:pPr>
              <w:spacing w:after="0"/>
              <w:rPr>
                <w:sz w:val="1"/>
                <w:szCs w:val="1"/>
                <w:color w:val="auto"/>
              </w:rPr>
            </w:pPr>
          </w:p>
        </w:tc>
      </w:tr>
      <w:tr>
        <w:trPr>
          <w:trHeight w:val="194"/>
        </w:trPr>
        <w:tc>
          <w:tcPr>
            <w:tcW w:w="180" w:type="dxa"/>
            <w:vAlign w:val="bottom"/>
          </w:tcPr>
          <w:p>
            <w:pPr>
              <w:spacing w:after="0"/>
              <w:rPr>
                <w:sz w:val="16"/>
                <w:szCs w:val="16"/>
                <w:color w:val="auto"/>
              </w:rPr>
            </w:pPr>
          </w:p>
        </w:tc>
        <w:tc>
          <w:tcPr>
            <w:tcW w:w="8400" w:type="dxa"/>
            <w:vAlign w:val="bottom"/>
          </w:tcPr>
          <w:p>
            <w:pPr>
              <w:spacing w:after="0"/>
              <w:rPr>
                <w:sz w:val="20"/>
                <w:szCs w:val="20"/>
                <w:color w:val="auto"/>
              </w:rPr>
            </w:pPr>
            <w:r>
              <w:rPr>
                <w:rFonts w:ascii="Arial" w:cs="Arial" w:eastAsia="Arial" w:hAnsi="Arial"/>
                <w:sz w:val="16"/>
                <w:szCs w:val="16"/>
                <w:color w:val="auto"/>
              </w:rPr>
              <w:t>Other</w:t>
            </w:r>
          </w:p>
        </w:tc>
        <w:tc>
          <w:tcPr>
            <w:tcW w:w="2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185</w:t>
            </w:r>
          </w:p>
        </w:tc>
        <w:tc>
          <w:tcPr>
            <w:tcW w:w="1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192</w:t>
            </w:r>
          </w:p>
        </w:tc>
        <w:tc>
          <w:tcPr>
            <w:tcW w:w="0" w:type="dxa"/>
            <w:vAlign w:val="bottom"/>
          </w:tcPr>
          <w:p>
            <w:pPr>
              <w:spacing w:after="0"/>
              <w:rPr>
                <w:sz w:val="1"/>
                <w:szCs w:val="1"/>
                <w:color w:val="auto"/>
              </w:rPr>
            </w:pPr>
          </w:p>
        </w:tc>
      </w:tr>
      <w:tr>
        <w:trPr>
          <w:trHeight w:val="183"/>
        </w:trPr>
        <w:tc>
          <w:tcPr>
            <w:tcW w:w="180" w:type="dxa"/>
            <w:vAlign w:val="bottom"/>
          </w:tcPr>
          <w:p>
            <w:pPr>
              <w:spacing w:after="0"/>
              <w:rPr>
                <w:sz w:val="15"/>
                <w:szCs w:val="15"/>
                <w:color w:val="auto"/>
              </w:rPr>
            </w:pPr>
          </w:p>
        </w:tc>
        <w:tc>
          <w:tcPr>
            <w:tcW w:w="8400" w:type="dxa"/>
            <w:vAlign w:val="bottom"/>
          </w:tcPr>
          <w:p>
            <w:pPr>
              <w:ind w:left="180"/>
              <w:spacing w:after="0" w:line="176" w:lineRule="exact"/>
              <w:rPr>
                <w:sz w:val="20"/>
                <w:szCs w:val="20"/>
                <w:color w:val="auto"/>
              </w:rPr>
            </w:pPr>
            <w:r>
              <w:rPr>
                <w:rFonts w:ascii="Arial" w:cs="Arial" w:eastAsia="Arial" w:hAnsi="Arial"/>
                <w:sz w:val="16"/>
                <w:szCs w:val="16"/>
                <w:color w:val="auto"/>
              </w:rPr>
              <w:t>Total current assets</w:t>
            </w:r>
          </w:p>
        </w:tc>
        <w:tc>
          <w:tcPr>
            <w:tcW w:w="20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6"/>
                <w:szCs w:val="16"/>
                <w:color w:val="auto"/>
              </w:rPr>
              <w:t>2,551</w:t>
            </w:r>
          </w:p>
        </w:tc>
        <w:tc>
          <w:tcPr>
            <w:tcW w:w="18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6"/>
                <w:szCs w:val="16"/>
                <w:color w:val="auto"/>
              </w:rPr>
              <w:t>3,353</w:t>
            </w:r>
          </w:p>
        </w:tc>
        <w:tc>
          <w:tcPr>
            <w:tcW w:w="0" w:type="dxa"/>
            <w:vAlign w:val="bottom"/>
          </w:tcPr>
          <w:p>
            <w:pPr>
              <w:spacing w:after="0"/>
              <w:rPr>
                <w:sz w:val="1"/>
                <w:szCs w:val="1"/>
                <w:color w:val="auto"/>
              </w:rPr>
            </w:pPr>
          </w:p>
        </w:tc>
      </w:tr>
      <w:tr>
        <w:trPr>
          <w:trHeight w:val="367"/>
        </w:trPr>
        <w:tc>
          <w:tcPr>
            <w:tcW w:w="8580" w:type="dxa"/>
            <w:vAlign w:val="bottom"/>
            <w:gridSpan w:val="2"/>
          </w:tcPr>
          <w:p>
            <w:pPr>
              <w:spacing w:after="0"/>
              <w:rPr>
                <w:sz w:val="20"/>
                <w:szCs w:val="20"/>
                <w:color w:val="auto"/>
              </w:rPr>
            </w:pPr>
            <w:r>
              <w:rPr>
                <w:rFonts w:ascii="Arial" w:cs="Arial" w:eastAsia="Arial" w:hAnsi="Arial"/>
                <w:sz w:val="16"/>
                <w:szCs w:val="16"/>
                <w:color w:val="auto"/>
              </w:rPr>
              <w:t>Investments and other assets:</w:t>
            </w:r>
          </w:p>
        </w:tc>
        <w:tc>
          <w:tcPr>
            <w:tcW w:w="2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180" w:type="dxa"/>
            <w:vAlign w:val="bottom"/>
          </w:tcPr>
          <w:p>
            <w:pPr>
              <w:spacing w:after="0"/>
              <w:rPr>
                <w:sz w:val="15"/>
                <w:szCs w:val="15"/>
                <w:color w:val="auto"/>
              </w:rPr>
            </w:pPr>
          </w:p>
        </w:tc>
        <w:tc>
          <w:tcPr>
            <w:tcW w:w="8400" w:type="dxa"/>
            <w:vAlign w:val="bottom"/>
          </w:tcPr>
          <w:p>
            <w:pPr>
              <w:spacing w:after="0" w:line="176" w:lineRule="exact"/>
              <w:rPr>
                <w:sz w:val="20"/>
                <w:szCs w:val="20"/>
                <w:color w:val="auto"/>
              </w:rPr>
            </w:pPr>
            <w:r>
              <w:rPr>
                <w:rFonts w:ascii="Arial" w:cs="Arial" w:eastAsia="Arial" w:hAnsi="Arial"/>
                <w:sz w:val="16"/>
                <w:szCs w:val="16"/>
                <w:color w:val="auto"/>
              </w:rPr>
              <w:t>Restricted cash</w:t>
            </w:r>
          </w:p>
        </w:tc>
        <w:tc>
          <w:tcPr>
            <w:tcW w:w="200" w:type="dxa"/>
            <w:vAlign w:val="bottom"/>
          </w:tcPr>
          <w:p>
            <w:pPr>
              <w:spacing w:after="0"/>
              <w:rPr>
                <w:sz w:val="15"/>
                <w:szCs w:val="15"/>
                <w:color w:val="auto"/>
              </w:rPr>
            </w:pPr>
          </w:p>
        </w:tc>
        <w:tc>
          <w:tcPr>
            <w:tcW w:w="1200" w:type="dxa"/>
            <w:vAlign w:val="bottom"/>
          </w:tcPr>
          <w:p>
            <w:pPr>
              <w:jc w:val="right"/>
              <w:spacing w:after="0" w:line="176" w:lineRule="exact"/>
              <w:rPr>
                <w:sz w:val="20"/>
                <w:szCs w:val="20"/>
                <w:color w:val="auto"/>
              </w:rPr>
            </w:pPr>
            <w:r>
              <w:rPr>
                <w:rFonts w:ascii="Arial" w:cs="Arial" w:eastAsia="Arial" w:hAnsi="Arial"/>
                <w:sz w:val="16"/>
                <w:szCs w:val="16"/>
                <w:color w:val="auto"/>
              </w:rPr>
              <w:t>2</w:t>
            </w:r>
          </w:p>
        </w:tc>
        <w:tc>
          <w:tcPr>
            <w:tcW w:w="180" w:type="dxa"/>
            <w:vAlign w:val="bottom"/>
          </w:tcPr>
          <w:p>
            <w:pPr>
              <w:spacing w:after="0"/>
              <w:rPr>
                <w:sz w:val="15"/>
                <w:szCs w:val="15"/>
                <w:color w:val="auto"/>
              </w:rPr>
            </w:pPr>
          </w:p>
        </w:tc>
        <w:tc>
          <w:tcPr>
            <w:tcW w:w="1260" w:type="dxa"/>
            <w:vAlign w:val="bottom"/>
          </w:tcPr>
          <w:p>
            <w:pPr>
              <w:jc w:val="right"/>
              <w:spacing w:after="0" w:line="176" w:lineRule="exact"/>
              <w:rPr>
                <w:sz w:val="20"/>
                <w:szCs w:val="20"/>
                <w:color w:val="auto"/>
              </w:rPr>
            </w:pPr>
            <w:r>
              <w:rPr>
                <w:rFonts w:ascii="Arial" w:cs="Arial" w:eastAsia="Arial" w:hAnsi="Arial"/>
                <w:sz w:val="16"/>
                <w:szCs w:val="16"/>
                <w:color w:val="auto"/>
              </w:rPr>
              <w:t>27</w:t>
            </w:r>
          </w:p>
        </w:tc>
        <w:tc>
          <w:tcPr>
            <w:tcW w:w="0" w:type="dxa"/>
            <w:vAlign w:val="bottom"/>
          </w:tcPr>
          <w:p>
            <w:pPr>
              <w:spacing w:after="0"/>
              <w:rPr>
                <w:sz w:val="1"/>
                <w:szCs w:val="1"/>
                <w:color w:val="auto"/>
              </w:rPr>
            </w:pPr>
          </w:p>
        </w:tc>
      </w:tr>
      <w:tr>
        <w:trPr>
          <w:trHeight w:val="176"/>
        </w:trPr>
        <w:tc>
          <w:tcPr>
            <w:tcW w:w="180" w:type="dxa"/>
            <w:vAlign w:val="bottom"/>
          </w:tcPr>
          <w:p>
            <w:pPr>
              <w:spacing w:after="0"/>
              <w:rPr>
                <w:sz w:val="15"/>
                <w:szCs w:val="15"/>
                <w:color w:val="auto"/>
              </w:rPr>
            </w:pPr>
          </w:p>
        </w:tc>
        <w:tc>
          <w:tcPr>
            <w:tcW w:w="8400" w:type="dxa"/>
            <w:vAlign w:val="bottom"/>
          </w:tcPr>
          <w:p>
            <w:pPr>
              <w:spacing w:after="0" w:line="176" w:lineRule="exact"/>
              <w:rPr>
                <w:sz w:val="20"/>
                <w:szCs w:val="20"/>
                <w:color w:val="auto"/>
              </w:rPr>
            </w:pPr>
            <w:r>
              <w:rPr>
                <w:rFonts w:ascii="Arial" w:cs="Arial" w:eastAsia="Arial" w:hAnsi="Arial"/>
                <w:sz w:val="16"/>
                <w:szCs w:val="16"/>
                <w:color w:val="auto"/>
              </w:rPr>
              <w:t>Regulatory assets arising from pension and other postretirement</w:t>
            </w:r>
          </w:p>
        </w:tc>
        <w:tc>
          <w:tcPr>
            <w:tcW w:w="2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80" w:type="dxa"/>
            <w:vAlign w:val="bottom"/>
          </w:tcPr>
          <w:p>
            <w:pPr>
              <w:spacing w:after="0"/>
              <w:rPr>
                <w:sz w:val="15"/>
                <w:szCs w:val="15"/>
                <w:color w:val="auto"/>
              </w:rPr>
            </w:pPr>
          </w:p>
        </w:tc>
        <w:tc>
          <w:tcPr>
            <w:tcW w:w="8400" w:type="dxa"/>
            <w:vAlign w:val="bottom"/>
          </w:tcPr>
          <w:p>
            <w:pPr>
              <w:ind w:left="180"/>
              <w:spacing w:after="0" w:line="176" w:lineRule="exact"/>
              <w:rPr>
                <w:sz w:val="20"/>
                <w:szCs w:val="20"/>
                <w:color w:val="auto"/>
              </w:rPr>
            </w:pPr>
            <w:r>
              <w:rPr>
                <w:rFonts w:ascii="Arial" w:cs="Arial" w:eastAsia="Arial" w:hAnsi="Arial"/>
                <w:sz w:val="16"/>
                <w:szCs w:val="16"/>
                <w:color w:val="auto"/>
              </w:rPr>
              <w:t>benefit obligations</w:t>
            </w:r>
          </w:p>
        </w:tc>
        <w:tc>
          <w:tcPr>
            <w:tcW w:w="200" w:type="dxa"/>
            <w:vAlign w:val="bottom"/>
          </w:tcPr>
          <w:p>
            <w:pPr>
              <w:spacing w:after="0"/>
              <w:rPr>
                <w:sz w:val="15"/>
                <w:szCs w:val="15"/>
                <w:color w:val="auto"/>
              </w:rPr>
            </w:pPr>
          </w:p>
        </w:tc>
        <w:tc>
          <w:tcPr>
            <w:tcW w:w="1200" w:type="dxa"/>
            <w:vAlign w:val="bottom"/>
          </w:tcPr>
          <w:p>
            <w:pPr>
              <w:jc w:val="right"/>
              <w:spacing w:after="0" w:line="176" w:lineRule="exact"/>
              <w:rPr>
                <w:sz w:val="20"/>
                <w:szCs w:val="20"/>
                <w:color w:val="auto"/>
              </w:rPr>
            </w:pPr>
            <w:r>
              <w:rPr>
                <w:rFonts w:ascii="Arial" w:cs="Arial" w:eastAsia="Arial" w:hAnsi="Arial"/>
                <w:sz w:val="16"/>
                <w:szCs w:val="16"/>
                <w:color w:val="auto"/>
              </w:rPr>
              <w:t>868</w:t>
            </w:r>
          </w:p>
        </w:tc>
        <w:tc>
          <w:tcPr>
            <w:tcW w:w="180" w:type="dxa"/>
            <w:vAlign w:val="bottom"/>
          </w:tcPr>
          <w:p>
            <w:pPr>
              <w:spacing w:after="0"/>
              <w:rPr>
                <w:sz w:val="15"/>
                <w:szCs w:val="15"/>
                <w:color w:val="auto"/>
              </w:rPr>
            </w:pPr>
          </w:p>
        </w:tc>
        <w:tc>
          <w:tcPr>
            <w:tcW w:w="1260" w:type="dxa"/>
            <w:vAlign w:val="bottom"/>
          </w:tcPr>
          <w:p>
            <w:pPr>
              <w:jc w:val="right"/>
              <w:spacing w:after="0" w:line="176" w:lineRule="exact"/>
              <w:rPr>
                <w:sz w:val="20"/>
                <w:szCs w:val="20"/>
                <w:color w:val="auto"/>
              </w:rPr>
            </w:pPr>
            <w:r>
              <w:rPr>
                <w:rFonts w:ascii="Arial" w:cs="Arial" w:eastAsia="Arial" w:hAnsi="Arial"/>
                <w:sz w:val="16"/>
                <w:szCs w:val="16"/>
                <w:color w:val="auto"/>
              </w:rPr>
              <w:t>869</w:t>
            </w:r>
          </w:p>
        </w:tc>
        <w:tc>
          <w:tcPr>
            <w:tcW w:w="0" w:type="dxa"/>
            <w:vAlign w:val="bottom"/>
          </w:tcPr>
          <w:p>
            <w:pPr>
              <w:spacing w:after="0"/>
              <w:rPr>
                <w:sz w:val="1"/>
                <w:szCs w:val="1"/>
                <w:color w:val="auto"/>
              </w:rPr>
            </w:pPr>
          </w:p>
        </w:tc>
      </w:tr>
      <w:tr>
        <w:trPr>
          <w:trHeight w:val="176"/>
        </w:trPr>
        <w:tc>
          <w:tcPr>
            <w:tcW w:w="180" w:type="dxa"/>
            <w:vAlign w:val="bottom"/>
          </w:tcPr>
          <w:p>
            <w:pPr>
              <w:spacing w:after="0"/>
              <w:rPr>
                <w:sz w:val="15"/>
                <w:szCs w:val="15"/>
                <w:color w:val="auto"/>
              </w:rPr>
            </w:pPr>
          </w:p>
        </w:tc>
        <w:tc>
          <w:tcPr>
            <w:tcW w:w="8400" w:type="dxa"/>
            <w:vAlign w:val="bottom"/>
          </w:tcPr>
          <w:p>
            <w:pPr>
              <w:spacing w:after="0" w:line="176" w:lineRule="exact"/>
              <w:rPr>
                <w:sz w:val="20"/>
                <w:szCs w:val="20"/>
                <w:color w:val="auto"/>
              </w:rPr>
            </w:pPr>
            <w:r>
              <w:rPr>
                <w:rFonts w:ascii="Arial" w:cs="Arial" w:eastAsia="Arial" w:hAnsi="Arial"/>
                <w:sz w:val="16"/>
                <w:szCs w:val="16"/>
                <w:color w:val="auto"/>
              </w:rPr>
              <w:t>Regulatory assets arising from wildfire litigation costs</w:t>
            </w:r>
          </w:p>
        </w:tc>
        <w:tc>
          <w:tcPr>
            <w:tcW w:w="200" w:type="dxa"/>
            <w:vAlign w:val="bottom"/>
          </w:tcPr>
          <w:p>
            <w:pPr>
              <w:spacing w:after="0"/>
              <w:rPr>
                <w:sz w:val="15"/>
                <w:szCs w:val="15"/>
                <w:color w:val="auto"/>
              </w:rPr>
            </w:pPr>
          </w:p>
        </w:tc>
        <w:tc>
          <w:tcPr>
            <w:tcW w:w="1200" w:type="dxa"/>
            <w:vAlign w:val="bottom"/>
          </w:tcPr>
          <w:p>
            <w:pPr>
              <w:jc w:val="right"/>
              <w:spacing w:after="0" w:line="176" w:lineRule="exact"/>
              <w:rPr>
                <w:sz w:val="20"/>
                <w:szCs w:val="20"/>
                <w:color w:val="auto"/>
              </w:rPr>
            </w:pPr>
            <w:r>
              <w:rPr>
                <w:rFonts w:ascii="Arial" w:cs="Arial" w:eastAsia="Arial" w:hAnsi="Arial"/>
                <w:sz w:val="16"/>
                <w:szCs w:val="16"/>
                <w:color w:val="auto"/>
              </w:rPr>
              <w:t>397</w:t>
            </w:r>
          </w:p>
        </w:tc>
        <w:tc>
          <w:tcPr>
            <w:tcW w:w="180" w:type="dxa"/>
            <w:vAlign w:val="bottom"/>
          </w:tcPr>
          <w:p>
            <w:pPr>
              <w:spacing w:after="0"/>
              <w:rPr>
                <w:sz w:val="15"/>
                <w:szCs w:val="15"/>
                <w:color w:val="auto"/>
              </w:rPr>
            </w:pPr>
          </w:p>
        </w:tc>
        <w:tc>
          <w:tcPr>
            <w:tcW w:w="1260" w:type="dxa"/>
            <w:vAlign w:val="bottom"/>
          </w:tcPr>
          <w:p>
            <w:pPr>
              <w:jc w:val="right"/>
              <w:spacing w:after="0" w:line="176" w:lineRule="exact"/>
              <w:rPr>
                <w:sz w:val="20"/>
                <w:szCs w:val="20"/>
                <w:color w:val="auto"/>
              </w:rPr>
            </w:pPr>
            <w:r>
              <w:rPr>
                <w:rFonts w:ascii="Arial" w:cs="Arial" w:eastAsia="Arial" w:hAnsi="Arial"/>
                <w:sz w:val="16"/>
                <w:szCs w:val="16"/>
                <w:color w:val="auto"/>
              </w:rPr>
              <w:t>364</w:t>
            </w:r>
          </w:p>
        </w:tc>
        <w:tc>
          <w:tcPr>
            <w:tcW w:w="0" w:type="dxa"/>
            <w:vAlign w:val="bottom"/>
          </w:tcPr>
          <w:p>
            <w:pPr>
              <w:spacing w:after="0"/>
              <w:rPr>
                <w:sz w:val="1"/>
                <w:szCs w:val="1"/>
                <w:color w:val="auto"/>
              </w:rPr>
            </w:pPr>
          </w:p>
        </w:tc>
      </w:tr>
      <w:tr>
        <w:trPr>
          <w:trHeight w:val="176"/>
        </w:trPr>
        <w:tc>
          <w:tcPr>
            <w:tcW w:w="180" w:type="dxa"/>
            <w:vAlign w:val="bottom"/>
          </w:tcPr>
          <w:p>
            <w:pPr>
              <w:spacing w:after="0"/>
              <w:rPr>
                <w:sz w:val="15"/>
                <w:szCs w:val="15"/>
                <w:color w:val="auto"/>
              </w:rPr>
            </w:pPr>
          </w:p>
        </w:tc>
        <w:tc>
          <w:tcPr>
            <w:tcW w:w="8400" w:type="dxa"/>
            <w:vAlign w:val="bottom"/>
          </w:tcPr>
          <w:p>
            <w:pPr>
              <w:spacing w:after="0" w:line="176" w:lineRule="exact"/>
              <w:rPr>
                <w:sz w:val="20"/>
                <w:szCs w:val="20"/>
                <w:color w:val="auto"/>
              </w:rPr>
            </w:pPr>
            <w:r>
              <w:rPr>
                <w:rFonts w:ascii="Arial" w:cs="Arial" w:eastAsia="Arial" w:hAnsi="Arial"/>
                <w:sz w:val="16"/>
                <w:szCs w:val="16"/>
                <w:color w:val="auto"/>
              </w:rPr>
              <w:t>Other regulatory assets</w:t>
            </w:r>
          </w:p>
        </w:tc>
        <w:tc>
          <w:tcPr>
            <w:tcW w:w="200" w:type="dxa"/>
            <w:vAlign w:val="bottom"/>
          </w:tcPr>
          <w:p>
            <w:pPr>
              <w:spacing w:after="0"/>
              <w:rPr>
                <w:sz w:val="15"/>
                <w:szCs w:val="15"/>
                <w:color w:val="auto"/>
              </w:rPr>
            </w:pPr>
          </w:p>
        </w:tc>
        <w:tc>
          <w:tcPr>
            <w:tcW w:w="1200" w:type="dxa"/>
            <w:vAlign w:val="bottom"/>
          </w:tcPr>
          <w:p>
            <w:pPr>
              <w:jc w:val="right"/>
              <w:spacing w:after="0" w:line="176" w:lineRule="exact"/>
              <w:rPr>
                <w:sz w:val="20"/>
                <w:szCs w:val="20"/>
                <w:color w:val="auto"/>
              </w:rPr>
            </w:pPr>
            <w:r>
              <w:rPr>
                <w:rFonts w:ascii="Arial" w:cs="Arial" w:eastAsia="Arial" w:hAnsi="Arial"/>
                <w:sz w:val="16"/>
                <w:szCs w:val="16"/>
                <w:color w:val="auto"/>
              </w:rPr>
              <w:t>948</w:t>
            </w:r>
          </w:p>
        </w:tc>
        <w:tc>
          <w:tcPr>
            <w:tcW w:w="180" w:type="dxa"/>
            <w:vAlign w:val="bottom"/>
          </w:tcPr>
          <w:p>
            <w:pPr>
              <w:spacing w:after="0"/>
              <w:rPr>
                <w:sz w:val="15"/>
                <w:szCs w:val="15"/>
                <w:color w:val="auto"/>
              </w:rPr>
            </w:pPr>
          </w:p>
        </w:tc>
        <w:tc>
          <w:tcPr>
            <w:tcW w:w="1260" w:type="dxa"/>
            <w:vAlign w:val="bottom"/>
          </w:tcPr>
          <w:p>
            <w:pPr>
              <w:jc w:val="right"/>
              <w:spacing w:after="0" w:line="176" w:lineRule="exact"/>
              <w:rPr>
                <w:sz w:val="20"/>
                <w:szCs w:val="20"/>
                <w:color w:val="auto"/>
              </w:rPr>
            </w:pPr>
            <w:r>
              <w:rPr>
                <w:rFonts w:ascii="Arial" w:cs="Arial" w:eastAsia="Arial" w:hAnsi="Arial"/>
                <w:sz w:val="16"/>
                <w:szCs w:val="16"/>
                <w:color w:val="auto"/>
              </w:rPr>
              <w:t>934</w:t>
            </w:r>
          </w:p>
        </w:tc>
        <w:tc>
          <w:tcPr>
            <w:tcW w:w="0" w:type="dxa"/>
            <w:vAlign w:val="bottom"/>
          </w:tcPr>
          <w:p>
            <w:pPr>
              <w:spacing w:after="0"/>
              <w:rPr>
                <w:sz w:val="1"/>
                <w:szCs w:val="1"/>
                <w:color w:val="auto"/>
              </w:rPr>
            </w:pPr>
          </w:p>
        </w:tc>
      </w:tr>
      <w:tr>
        <w:trPr>
          <w:trHeight w:val="176"/>
        </w:trPr>
        <w:tc>
          <w:tcPr>
            <w:tcW w:w="180" w:type="dxa"/>
            <w:vAlign w:val="bottom"/>
          </w:tcPr>
          <w:p>
            <w:pPr>
              <w:spacing w:after="0"/>
              <w:rPr>
                <w:sz w:val="15"/>
                <w:szCs w:val="15"/>
                <w:color w:val="auto"/>
              </w:rPr>
            </w:pPr>
          </w:p>
        </w:tc>
        <w:tc>
          <w:tcPr>
            <w:tcW w:w="8400" w:type="dxa"/>
            <w:vAlign w:val="bottom"/>
          </w:tcPr>
          <w:p>
            <w:pPr>
              <w:spacing w:after="0" w:line="176" w:lineRule="exact"/>
              <w:rPr>
                <w:sz w:val="20"/>
                <w:szCs w:val="20"/>
                <w:color w:val="auto"/>
              </w:rPr>
            </w:pPr>
            <w:r>
              <w:rPr>
                <w:rFonts w:ascii="Arial" w:cs="Arial" w:eastAsia="Arial" w:hAnsi="Arial"/>
                <w:sz w:val="16"/>
                <w:szCs w:val="16"/>
                <w:color w:val="auto"/>
              </w:rPr>
              <w:t>Nuclear decommissioning trusts</w:t>
            </w:r>
          </w:p>
        </w:tc>
        <w:tc>
          <w:tcPr>
            <w:tcW w:w="200" w:type="dxa"/>
            <w:vAlign w:val="bottom"/>
          </w:tcPr>
          <w:p>
            <w:pPr>
              <w:spacing w:after="0"/>
              <w:rPr>
                <w:sz w:val="15"/>
                <w:szCs w:val="15"/>
                <w:color w:val="auto"/>
              </w:rPr>
            </w:pPr>
          </w:p>
        </w:tc>
        <w:tc>
          <w:tcPr>
            <w:tcW w:w="1200" w:type="dxa"/>
            <w:vAlign w:val="bottom"/>
          </w:tcPr>
          <w:p>
            <w:pPr>
              <w:jc w:val="right"/>
              <w:spacing w:after="0" w:line="176" w:lineRule="exact"/>
              <w:rPr>
                <w:sz w:val="20"/>
                <w:szCs w:val="20"/>
                <w:color w:val="auto"/>
              </w:rPr>
            </w:pPr>
            <w:r>
              <w:rPr>
                <w:rFonts w:ascii="Arial" w:cs="Arial" w:eastAsia="Arial" w:hAnsi="Arial"/>
                <w:sz w:val="16"/>
                <w:szCs w:val="16"/>
                <w:color w:val="auto"/>
              </w:rPr>
              <w:t>808</w:t>
            </w:r>
          </w:p>
        </w:tc>
        <w:tc>
          <w:tcPr>
            <w:tcW w:w="180" w:type="dxa"/>
            <w:vAlign w:val="bottom"/>
          </w:tcPr>
          <w:p>
            <w:pPr>
              <w:spacing w:after="0"/>
              <w:rPr>
                <w:sz w:val="15"/>
                <w:szCs w:val="15"/>
                <w:color w:val="auto"/>
              </w:rPr>
            </w:pPr>
          </w:p>
        </w:tc>
        <w:tc>
          <w:tcPr>
            <w:tcW w:w="1260" w:type="dxa"/>
            <w:vAlign w:val="bottom"/>
          </w:tcPr>
          <w:p>
            <w:pPr>
              <w:jc w:val="right"/>
              <w:spacing w:after="0" w:line="176" w:lineRule="exact"/>
              <w:rPr>
                <w:sz w:val="20"/>
                <w:szCs w:val="20"/>
                <w:color w:val="auto"/>
              </w:rPr>
            </w:pPr>
            <w:r>
              <w:rPr>
                <w:rFonts w:ascii="Arial" w:cs="Arial" w:eastAsia="Arial" w:hAnsi="Arial"/>
                <w:sz w:val="16"/>
                <w:szCs w:val="16"/>
                <w:color w:val="auto"/>
              </w:rPr>
              <w:t>769</w:t>
            </w:r>
          </w:p>
        </w:tc>
        <w:tc>
          <w:tcPr>
            <w:tcW w:w="0" w:type="dxa"/>
            <w:vAlign w:val="bottom"/>
          </w:tcPr>
          <w:p>
            <w:pPr>
              <w:spacing w:after="0"/>
              <w:rPr>
                <w:sz w:val="1"/>
                <w:szCs w:val="1"/>
                <w:color w:val="auto"/>
              </w:rPr>
            </w:pPr>
          </w:p>
        </w:tc>
      </w:tr>
      <w:tr>
        <w:trPr>
          <w:trHeight w:val="176"/>
        </w:trPr>
        <w:tc>
          <w:tcPr>
            <w:tcW w:w="180" w:type="dxa"/>
            <w:vAlign w:val="bottom"/>
          </w:tcPr>
          <w:p>
            <w:pPr>
              <w:spacing w:after="0"/>
              <w:rPr>
                <w:sz w:val="15"/>
                <w:szCs w:val="15"/>
                <w:color w:val="auto"/>
              </w:rPr>
            </w:pPr>
          </w:p>
        </w:tc>
        <w:tc>
          <w:tcPr>
            <w:tcW w:w="8400" w:type="dxa"/>
            <w:vAlign w:val="bottom"/>
          </w:tcPr>
          <w:p>
            <w:pPr>
              <w:spacing w:after="0" w:line="176" w:lineRule="exact"/>
              <w:rPr>
                <w:sz w:val="20"/>
                <w:szCs w:val="20"/>
                <w:color w:val="auto"/>
              </w:rPr>
            </w:pPr>
            <w:r>
              <w:rPr>
                <w:rFonts w:ascii="Arial" w:cs="Arial" w:eastAsia="Arial" w:hAnsi="Arial"/>
                <w:sz w:val="16"/>
                <w:szCs w:val="16"/>
                <w:color w:val="auto"/>
              </w:rPr>
              <w:t>Investment in RBS Sempra Commodities LLP</w:t>
            </w:r>
          </w:p>
        </w:tc>
        <w:tc>
          <w:tcPr>
            <w:tcW w:w="200" w:type="dxa"/>
            <w:vAlign w:val="bottom"/>
          </w:tcPr>
          <w:p>
            <w:pPr>
              <w:spacing w:after="0"/>
              <w:rPr>
                <w:sz w:val="15"/>
                <w:szCs w:val="15"/>
                <w:color w:val="auto"/>
              </w:rPr>
            </w:pPr>
          </w:p>
        </w:tc>
        <w:tc>
          <w:tcPr>
            <w:tcW w:w="1200" w:type="dxa"/>
            <w:vAlign w:val="bottom"/>
          </w:tcPr>
          <w:p>
            <w:pPr>
              <w:jc w:val="right"/>
              <w:spacing w:after="0" w:line="176" w:lineRule="exact"/>
              <w:rPr>
                <w:sz w:val="20"/>
                <w:szCs w:val="20"/>
                <w:color w:val="auto"/>
              </w:rPr>
            </w:pPr>
            <w:r>
              <w:rPr>
                <w:rFonts w:ascii="Arial" w:cs="Arial" w:eastAsia="Arial" w:hAnsi="Arial"/>
                <w:sz w:val="16"/>
                <w:szCs w:val="16"/>
                <w:color w:val="auto"/>
              </w:rPr>
              <w:t>439</w:t>
            </w:r>
          </w:p>
        </w:tc>
        <w:tc>
          <w:tcPr>
            <w:tcW w:w="180" w:type="dxa"/>
            <w:vAlign w:val="bottom"/>
          </w:tcPr>
          <w:p>
            <w:pPr>
              <w:spacing w:after="0"/>
              <w:rPr>
                <w:sz w:val="15"/>
                <w:szCs w:val="15"/>
                <w:color w:val="auto"/>
              </w:rPr>
            </w:pPr>
          </w:p>
        </w:tc>
        <w:tc>
          <w:tcPr>
            <w:tcW w:w="1260" w:type="dxa"/>
            <w:vAlign w:val="bottom"/>
          </w:tcPr>
          <w:p>
            <w:pPr>
              <w:jc w:val="right"/>
              <w:spacing w:after="0" w:line="176" w:lineRule="exact"/>
              <w:rPr>
                <w:sz w:val="20"/>
                <w:szCs w:val="20"/>
                <w:color w:val="auto"/>
              </w:rPr>
            </w:pPr>
            <w:r>
              <w:rPr>
                <w:rFonts w:ascii="Arial" w:cs="Arial" w:eastAsia="Arial" w:hAnsi="Arial"/>
                <w:sz w:val="16"/>
                <w:szCs w:val="16"/>
                <w:color w:val="auto"/>
              </w:rPr>
              <w:t>787</w:t>
            </w:r>
          </w:p>
        </w:tc>
        <w:tc>
          <w:tcPr>
            <w:tcW w:w="0" w:type="dxa"/>
            <w:vAlign w:val="bottom"/>
          </w:tcPr>
          <w:p>
            <w:pPr>
              <w:spacing w:after="0"/>
              <w:rPr>
                <w:sz w:val="1"/>
                <w:szCs w:val="1"/>
                <w:color w:val="auto"/>
              </w:rPr>
            </w:pPr>
          </w:p>
        </w:tc>
      </w:tr>
      <w:tr>
        <w:trPr>
          <w:trHeight w:val="176"/>
        </w:trPr>
        <w:tc>
          <w:tcPr>
            <w:tcW w:w="180" w:type="dxa"/>
            <w:vAlign w:val="bottom"/>
          </w:tcPr>
          <w:p>
            <w:pPr>
              <w:spacing w:after="0"/>
              <w:rPr>
                <w:sz w:val="15"/>
                <w:szCs w:val="15"/>
                <w:color w:val="auto"/>
              </w:rPr>
            </w:pPr>
          </w:p>
        </w:tc>
        <w:tc>
          <w:tcPr>
            <w:tcW w:w="8400" w:type="dxa"/>
            <w:vAlign w:val="bottom"/>
          </w:tcPr>
          <w:p>
            <w:pPr>
              <w:spacing w:after="0" w:line="176" w:lineRule="exact"/>
              <w:rPr>
                <w:sz w:val="20"/>
                <w:szCs w:val="20"/>
                <w:color w:val="auto"/>
              </w:rPr>
            </w:pPr>
            <w:r>
              <w:rPr>
                <w:rFonts w:ascii="Arial" w:cs="Arial" w:eastAsia="Arial" w:hAnsi="Arial"/>
                <w:sz w:val="16"/>
                <w:szCs w:val="16"/>
                <w:color w:val="auto"/>
              </w:rPr>
              <w:t>Other investments</w:t>
            </w:r>
          </w:p>
        </w:tc>
        <w:tc>
          <w:tcPr>
            <w:tcW w:w="200" w:type="dxa"/>
            <w:vAlign w:val="bottom"/>
          </w:tcPr>
          <w:p>
            <w:pPr>
              <w:spacing w:after="0"/>
              <w:rPr>
                <w:sz w:val="15"/>
                <w:szCs w:val="15"/>
                <w:color w:val="auto"/>
              </w:rPr>
            </w:pPr>
          </w:p>
        </w:tc>
        <w:tc>
          <w:tcPr>
            <w:tcW w:w="1200" w:type="dxa"/>
            <w:vAlign w:val="bottom"/>
          </w:tcPr>
          <w:p>
            <w:pPr>
              <w:jc w:val="right"/>
              <w:spacing w:after="0" w:line="176" w:lineRule="exact"/>
              <w:rPr>
                <w:sz w:val="20"/>
                <w:szCs w:val="20"/>
                <w:color w:val="auto"/>
              </w:rPr>
            </w:pPr>
            <w:r>
              <w:rPr>
                <w:rFonts w:ascii="Arial" w:cs="Arial" w:eastAsia="Arial" w:hAnsi="Arial"/>
                <w:sz w:val="16"/>
                <w:szCs w:val="16"/>
                <w:color w:val="auto"/>
              </w:rPr>
              <w:t>1,513</w:t>
            </w:r>
          </w:p>
        </w:tc>
        <w:tc>
          <w:tcPr>
            <w:tcW w:w="180" w:type="dxa"/>
            <w:vAlign w:val="bottom"/>
          </w:tcPr>
          <w:p>
            <w:pPr>
              <w:spacing w:after="0"/>
              <w:rPr>
                <w:sz w:val="15"/>
                <w:szCs w:val="15"/>
                <w:color w:val="auto"/>
              </w:rPr>
            </w:pPr>
          </w:p>
        </w:tc>
        <w:tc>
          <w:tcPr>
            <w:tcW w:w="1260" w:type="dxa"/>
            <w:vAlign w:val="bottom"/>
          </w:tcPr>
          <w:p>
            <w:pPr>
              <w:jc w:val="right"/>
              <w:spacing w:after="0" w:line="176" w:lineRule="exact"/>
              <w:rPr>
                <w:sz w:val="20"/>
                <w:szCs w:val="20"/>
                <w:color w:val="auto"/>
              </w:rPr>
            </w:pPr>
            <w:r>
              <w:rPr>
                <w:rFonts w:ascii="Arial" w:cs="Arial" w:eastAsia="Arial" w:hAnsi="Arial"/>
                <w:sz w:val="16"/>
                <w:szCs w:val="16"/>
                <w:color w:val="auto"/>
              </w:rPr>
              <w:t>2,164</w:t>
            </w:r>
          </w:p>
        </w:tc>
        <w:tc>
          <w:tcPr>
            <w:tcW w:w="0" w:type="dxa"/>
            <w:vAlign w:val="bottom"/>
          </w:tcPr>
          <w:p>
            <w:pPr>
              <w:spacing w:after="0"/>
              <w:rPr>
                <w:sz w:val="1"/>
                <w:szCs w:val="1"/>
                <w:color w:val="auto"/>
              </w:rPr>
            </w:pPr>
          </w:p>
        </w:tc>
      </w:tr>
      <w:tr>
        <w:trPr>
          <w:trHeight w:val="176"/>
        </w:trPr>
        <w:tc>
          <w:tcPr>
            <w:tcW w:w="180" w:type="dxa"/>
            <w:vAlign w:val="bottom"/>
          </w:tcPr>
          <w:p>
            <w:pPr>
              <w:spacing w:after="0"/>
              <w:rPr>
                <w:sz w:val="15"/>
                <w:szCs w:val="15"/>
                <w:color w:val="auto"/>
              </w:rPr>
            </w:pPr>
          </w:p>
        </w:tc>
        <w:tc>
          <w:tcPr>
            <w:tcW w:w="8400" w:type="dxa"/>
            <w:vAlign w:val="bottom"/>
          </w:tcPr>
          <w:p>
            <w:pPr>
              <w:spacing w:after="0" w:line="176" w:lineRule="exact"/>
              <w:rPr>
                <w:sz w:val="20"/>
                <w:szCs w:val="20"/>
                <w:color w:val="auto"/>
              </w:rPr>
            </w:pPr>
            <w:r>
              <w:rPr>
                <w:rFonts w:ascii="Arial" w:cs="Arial" w:eastAsia="Arial" w:hAnsi="Arial"/>
                <w:sz w:val="16"/>
                <w:szCs w:val="16"/>
                <w:color w:val="auto"/>
              </w:rPr>
              <w:t>Goodwill</w:t>
            </w:r>
          </w:p>
        </w:tc>
        <w:tc>
          <w:tcPr>
            <w:tcW w:w="200" w:type="dxa"/>
            <w:vAlign w:val="bottom"/>
          </w:tcPr>
          <w:p>
            <w:pPr>
              <w:spacing w:after="0"/>
              <w:rPr>
                <w:sz w:val="15"/>
                <w:szCs w:val="15"/>
                <w:color w:val="auto"/>
              </w:rPr>
            </w:pPr>
          </w:p>
        </w:tc>
        <w:tc>
          <w:tcPr>
            <w:tcW w:w="1200" w:type="dxa"/>
            <w:vAlign w:val="bottom"/>
          </w:tcPr>
          <w:p>
            <w:pPr>
              <w:jc w:val="right"/>
              <w:spacing w:after="0" w:line="176" w:lineRule="exact"/>
              <w:rPr>
                <w:sz w:val="20"/>
                <w:szCs w:val="20"/>
                <w:color w:val="auto"/>
              </w:rPr>
            </w:pPr>
            <w:r>
              <w:rPr>
                <w:rFonts w:ascii="Arial" w:cs="Arial" w:eastAsia="Arial" w:hAnsi="Arial"/>
                <w:sz w:val="16"/>
                <w:szCs w:val="16"/>
                <w:color w:val="auto"/>
              </w:rPr>
              <w:t>1,059</w:t>
            </w:r>
          </w:p>
        </w:tc>
        <w:tc>
          <w:tcPr>
            <w:tcW w:w="180" w:type="dxa"/>
            <w:vAlign w:val="bottom"/>
          </w:tcPr>
          <w:p>
            <w:pPr>
              <w:spacing w:after="0"/>
              <w:rPr>
                <w:sz w:val="15"/>
                <w:szCs w:val="15"/>
                <w:color w:val="auto"/>
              </w:rPr>
            </w:pPr>
          </w:p>
        </w:tc>
        <w:tc>
          <w:tcPr>
            <w:tcW w:w="1260" w:type="dxa"/>
            <w:vAlign w:val="bottom"/>
          </w:tcPr>
          <w:p>
            <w:pPr>
              <w:jc w:val="right"/>
              <w:spacing w:after="0" w:line="176" w:lineRule="exact"/>
              <w:rPr>
                <w:sz w:val="20"/>
                <w:szCs w:val="20"/>
                <w:color w:val="auto"/>
              </w:rPr>
            </w:pPr>
            <w:r>
              <w:rPr>
                <w:rFonts w:ascii="Arial" w:cs="Arial" w:eastAsia="Arial" w:hAnsi="Arial"/>
                <w:sz w:val="16"/>
                <w:szCs w:val="16"/>
                <w:color w:val="auto"/>
              </w:rPr>
              <w:t>87</w:t>
            </w:r>
          </w:p>
        </w:tc>
        <w:tc>
          <w:tcPr>
            <w:tcW w:w="0" w:type="dxa"/>
            <w:vAlign w:val="bottom"/>
          </w:tcPr>
          <w:p>
            <w:pPr>
              <w:spacing w:after="0"/>
              <w:rPr>
                <w:sz w:val="1"/>
                <w:szCs w:val="1"/>
                <w:color w:val="auto"/>
              </w:rPr>
            </w:pPr>
          </w:p>
        </w:tc>
      </w:tr>
      <w:tr>
        <w:trPr>
          <w:trHeight w:val="176"/>
        </w:trPr>
        <w:tc>
          <w:tcPr>
            <w:tcW w:w="180" w:type="dxa"/>
            <w:vAlign w:val="bottom"/>
          </w:tcPr>
          <w:p>
            <w:pPr>
              <w:spacing w:after="0"/>
              <w:rPr>
                <w:sz w:val="15"/>
                <w:szCs w:val="15"/>
                <w:color w:val="auto"/>
              </w:rPr>
            </w:pPr>
          </w:p>
        </w:tc>
        <w:tc>
          <w:tcPr>
            <w:tcW w:w="8400" w:type="dxa"/>
            <w:vAlign w:val="bottom"/>
          </w:tcPr>
          <w:p>
            <w:pPr>
              <w:spacing w:after="0" w:line="176" w:lineRule="exact"/>
              <w:rPr>
                <w:sz w:val="20"/>
                <w:szCs w:val="20"/>
                <w:color w:val="auto"/>
              </w:rPr>
            </w:pPr>
            <w:r>
              <w:rPr>
                <w:rFonts w:ascii="Arial" w:cs="Arial" w:eastAsia="Arial" w:hAnsi="Arial"/>
                <w:sz w:val="16"/>
                <w:szCs w:val="16"/>
                <w:color w:val="auto"/>
              </w:rPr>
              <w:t>Other intangible assets</w:t>
            </w:r>
          </w:p>
        </w:tc>
        <w:tc>
          <w:tcPr>
            <w:tcW w:w="200" w:type="dxa"/>
            <w:vAlign w:val="bottom"/>
          </w:tcPr>
          <w:p>
            <w:pPr>
              <w:spacing w:after="0"/>
              <w:rPr>
                <w:sz w:val="15"/>
                <w:szCs w:val="15"/>
                <w:color w:val="auto"/>
              </w:rPr>
            </w:pPr>
          </w:p>
        </w:tc>
        <w:tc>
          <w:tcPr>
            <w:tcW w:w="1200" w:type="dxa"/>
            <w:vAlign w:val="bottom"/>
          </w:tcPr>
          <w:p>
            <w:pPr>
              <w:jc w:val="right"/>
              <w:spacing w:after="0" w:line="176" w:lineRule="exact"/>
              <w:rPr>
                <w:sz w:val="20"/>
                <w:szCs w:val="20"/>
                <w:color w:val="auto"/>
              </w:rPr>
            </w:pPr>
            <w:r>
              <w:rPr>
                <w:rFonts w:ascii="Arial" w:cs="Arial" w:eastAsia="Arial" w:hAnsi="Arial"/>
                <w:sz w:val="16"/>
                <w:szCs w:val="16"/>
                <w:color w:val="auto"/>
              </w:rPr>
              <w:t>450</w:t>
            </w:r>
          </w:p>
        </w:tc>
        <w:tc>
          <w:tcPr>
            <w:tcW w:w="180" w:type="dxa"/>
            <w:vAlign w:val="bottom"/>
          </w:tcPr>
          <w:p>
            <w:pPr>
              <w:spacing w:after="0"/>
              <w:rPr>
                <w:sz w:val="15"/>
                <w:szCs w:val="15"/>
                <w:color w:val="auto"/>
              </w:rPr>
            </w:pPr>
          </w:p>
        </w:tc>
        <w:tc>
          <w:tcPr>
            <w:tcW w:w="1260" w:type="dxa"/>
            <w:vAlign w:val="bottom"/>
          </w:tcPr>
          <w:p>
            <w:pPr>
              <w:jc w:val="right"/>
              <w:spacing w:after="0" w:line="176" w:lineRule="exact"/>
              <w:rPr>
                <w:sz w:val="20"/>
                <w:szCs w:val="20"/>
                <w:color w:val="auto"/>
              </w:rPr>
            </w:pPr>
            <w:r>
              <w:rPr>
                <w:rFonts w:ascii="Arial" w:cs="Arial" w:eastAsia="Arial" w:hAnsi="Arial"/>
                <w:sz w:val="16"/>
                <w:szCs w:val="16"/>
                <w:color w:val="auto"/>
              </w:rPr>
              <w:t>453</w:t>
            </w:r>
          </w:p>
        </w:tc>
        <w:tc>
          <w:tcPr>
            <w:tcW w:w="0" w:type="dxa"/>
            <w:vAlign w:val="bottom"/>
          </w:tcPr>
          <w:p>
            <w:pPr>
              <w:spacing w:after="0"/>
              <w:rPr>
                <w:sz w:val="1"/>
                <w:szCs w:val="1"/>
                <w:color w:val="auto"/>
              </w:rPr>
            </w:pPr>
          </w:p>
        </w:tc>
      </w:tr>
      <w:tr>
        <w:trPr>
          <w:trHeight w:val="194"/>
        </w:trPr>
        <w:tc>
          <w:tcPr>
            <w:tcW w:w="180" w:type="dxa"/>
            <w:vAlign w:val="bottom"/>
          </w:tcPr>
          <w:p>
            <w:pPr>
              <w:spacing w:after="0"/>
              <w:rPr>
                <w:sz w:val="16"/>
                <w:szCs w:val="16"/>
                <w:color w:val="auto"/>
              </w:rPr>
            </w:pPr>
          </w:p>
        </w:tc>
        <w:tc>
          <w:tcPr>
            <w:tcW w:w="8400" w:type="dxa"/>
            <w:vAlign w:val="bottom"/>
          </w:tcPr>
          <w:p>
            <w:pPr>
              <w:spacing w:after="0"/>
              <w:rPr>
                <w:sz w:val="20"/>
                <w:szCs w:val="20"/>
                <w:color w:val="auto"/>
              </w:rPr>
            </w:pPr>
            <w:r>
              <w:rPr>
                <w:rFonts w:ascii="Arial" w:cs="Arial" w:eastAsia="Arial" w:hAnsi="Arial"/>
                <w:sz w:val="16"/>
                <w:szCs w:val="16"/>
                <w:color w:val="auto"/>
              </w:rPr>
              <w:t>Sundry</w:t>
            </w:r>
          </w:p>
        </w:tc>
        <w:tc>
          <w:tcPr>
            <w:tcW w:w="2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645</w:t>
            </w:r>
          </w:p>
        </w:tc>
        <w:tc>
          <w:tcPr>
            <w:tcW w:w="1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600</w:t>
            </w:r>
          </w:p>
        </w:tc>
        <w:tc>
          <w:tcPr>
            <w:tcW w:w="0" w:type="dxa"/>
            <w:vAlign w:val="bottom"/>
          </w:tcPr>
          <w:p>
            <w:pPr>
              <w:spacing w:after="0"/>
              <w:rPr>
                <w:sz w:val="1"/>
                <w:szCs w:val="1"/>
                <w:color w:val="auto"/>
              </w:rPr>
            </w:pPr>
          </w:p>
        </w:tc>
      </w:tr>
      <w:tr>
        <w:trPr>
          <w:trHeight w:val="183"/>
        </w:trPr>
        <w:tc>
          <w:tcPr>
            <w:tcW w:w="180" w:type="dxa"/>
            <w:vAlign w:val="bottom"/>
          </w:tcPr>
          <w:p>
            <w:pPr>
              <w:spacing w:after="0"/>
              <w:rPr>
                <w:sz w:val="15"/>
                <w:szCs w:val="15"/>
                <w:color w:val="auto"/>
              </w:rPr>
            </w:pPr>
          </w:p>
        </w:tc>
        <w:tc>
          <w:tcPr>
            <w:tcW w:w="8400" w:type="dxa"/>
            <w:vAlign w:val="bottom"/>
          </w:tcPr>
          <w:p>
            <w:pPr>
              <w:ind w:left="180"/>
              <w:spacing w:after="0" w:line="176" w:lineRule="exact"/>
              <w:rPr>
                <w:sz w:val="20"/>
                <w:szCs w:val="20"/>
                <w:color w:val="auto"/>
              </w:rPr>
            </w:pPr>
            <w:r>
              <w:rPr>
                <w:rFonts w:ascii="Arial" w:cs="Arial" w:eastAsia="Arial" w:hAnsi="Arial"/>
                <w:sz w:val="16"/>
                <w:szCs w:val="16"/>
                <w:color w:val="auto"/>
              </w:rPr>
              <w:t>Total investments and other assets</w:t>
            </w:r>
          </w:p>
        </w:tc>
        <w:tc>
          <w:tcPr>
            <w:tcW w:w="20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6"/>
                <w:szCs w:val="16"/>
                <w:color w:val="auto"/>
              </w:rPr>
              <w:t>7,129</w:t>
            </w:r>
          </w:p>
        </w:tc>
        <w:tc>
          <w:tcPr>
            <w:tcW w:w="18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6"/>
                <w:szCs w:val="16"/>
                <w:color w:val="auto"/>
              </w:rPr>
              <w:t>7,054</w:t>
            </w:r>
          </w:p>
        </w:tc>
        <w:tc>
          <w:tcPr>
            <w:tcW w:w="0" w:type="dxa"/>
            <w:vAlign w:val="bottom"/>
          </w:tcPr>
          <w:p>
            <w:pPr>
              <w:spacing w:after="0"/>
              <w:rPr>
                <w:sz w:val="1"/>
                <w:szCs w:val="1"/>
                <w:color w:val="auto"/>
              </w:rPr>
            </w:pPr>
          </w:p>
        </w:tc>
      </w:tr>
      <w:tr>
        <w:trPr>
          <w:trHeight w:val="367"/>
        </w:trPr>
        <w:tc>
          <w:tcPr>
            <w:tcW w:w="8580" w:type="dxa"/>
            <w:vAlign w:val="bottom"/>
            <w:gridSpan w:val="2"/>
          </w:tcPr>
          <w:p>
            <w:pPr>
              <w:spacing w:after="0"/>
              <w:rPr>
                <w:sz w:val="20"/>
                <w:szCs w:val="20"/>
                <w:color w:val="auto"/>
              </w:rPr>
            </w:pPr>
            <w:r>
              <w:rPr>
                <w:rFonts w:ascii="Arial" w:cs="Arial" w:eastAsia="Arial" w:hAnsi="Arial"/>
                <w:sz w:val="16"/>
                <w:szCs w:val="16"/>
                <w:color w:val="auto"/>
              </w:rPr>
              <w:t>Property, plant and equipment:</w:t>
            </w:r>
          </w:p>
        </w:tc>
        <w:tc>
          <w:tcPr>
            <w:tcW w:w="2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180" w:type="dxa"/>
            <w:vAlign w:val="bottom"/>
          </w:tcPr>
          <w:p>
            <w:pPr>
              <w:spacing w:after="0"/>
              <w:rPr>
                <w:sz w:val="15"/>
                <w:szCs w:val="15"/>
                <w:color w:val="auto"/>
              </w:rPr>
            </w:pPr>
          </w:p>
        </w:tc>
        <w:tc>
          <w:tcPr>
            <w:tcW w:w="8400" w:type="dxa"/>
            <w:vAlign w:val="bottom"/>
          </w:tcPr>
          <w:p>
            <w:pPr>
              <w:spacing w:after="0" w:line="176" w:lineRule="exact"/>
              <w:rPr>
                <w:sz w:val="20"/>
                <w:szCs w:val="20"/>
                <w:color w:val="auto"/>
              </w:rPr>
            </w:pPr>
            <w:r>
              <w:rPr>
                <w:rFonts w:ascii="Arial" w:cs="Arial" w:eastAsia="Arial" w:hAnsi="Arial"/>
                <w:sz w:val="16"/>
                <w:szCs w:val="16"/>
                <w:color w:val="auto"/>
              </w:rPr>
              <w:t>Property, plant and equipment</w:t>
            </w:r>
          </w:p>
        </w:tc>
        <w:tc>
          <w:tcPr>
            <w:tcW w:w="200" w:type="dxa"/>
            <w:vAlign w:val="bottom"/>
          </w:tcPr>
          <w:p>
            <w:pPr>
              <w:spacing w:after="0"/>
              <w:rPr>
                <w:sz w:val="15"/>
                <w:szCs w:val="15"/>
                <w:color w:val="auto"/>
              </w:rPr>
            </w:pPr>
          </w:p>
        </w:tc>
        <w:tc>
          <w:tcPr>
            <w:tcW w:w="1200" w:type="dxa"/>
            <w:vAlign w:val="bottom"/>
          </w:tcPr>
          <w:p>
            <w:pPr>
              <w:jc w:val="right"/>
              <w:spacing w:after="0" w:line="176" w:lineRule="exact"/>
              <w:rPr>
                <w:sz w:val="20"/>
                <w:szCs w:val="20"/>
                <w:color w:val="auto"/>
              </w:rPr>
            </w:pPr>
            <w:r>
              <w:rPr>
                <w:rFonts w:ascii="Arial" w:cs="Arial" w:eastAsia="Arial" w:hAnsi="Arial"/>
                <w:sz w:val="16"/>
                <w:szCs w:val="16"/>
                <w:color w:val="auto"/>
              </w:rPr>
              <w:t>29,400</w:t>
            </w:r>
          </w:p>
        </w:tc>
        <w:tc>
          <w:tcPr>
            <w:tcW w:w="180" w:type="dxa"/>
            <w:vAlign w:val="bottom"/>
          </w:tcPr>
          <w:p>
            <w:pPr>
              <w:spacing w:after="0"/>
              <w:rPr>
                <w:sz w:val="15"/>
                <w:szCs w:val="15"/>
                <w:color w:val="auto"/>
              </w:rPr>
            </w:pPr>
          </w:p>
        </w:tc>
        <w:tc>
          <w:tcPr>
            <w:tcW w:w="1260" w:type="dxa"/>
            <w:vAlign w:val="bottom"/>
          </w:tcPr>
          <w:p>
            <w:pPr>
              <w:jc w:val="right"/>
              <w:spacing w:after="0" w:line="176" w:lineRule="exact"/>
              <w:rPr>
                <w:sz w:val="20"/>
                <w:szCs w:val="20"/>
                <w:color w:val="auto"/>
              </w:rPr>
            </w:pPr>
            <w:r>
              <w:rPr>
                <w:rFonts w:ascii="Arial" w:cs="Arial" w:eastAsia="Arial" w:hAnsi="Arial"/>
                <w:sz w:val="16"/>
                <w:szCs w:val="16"/>
                <w:color w:val="auto"/>
              </w:rPr>
              <w:t>27,087</w:t>
            </w:r>
          </w:p>
        </w:tc>
        <w:tc>
          <w:tcPr>
            <w:tcW w:w="0" w:type="dxa"/>
            <w:vAlign w:val="bottom"/>
          </w:tcPr>
          <w:p>
            <w:pPr>
              <w:spacing w:after="0"/>
              <w:rPr>
                <w:sz w:val="1"/>
                <w:szCs w:val="1"/>
                <w:color w:val="auto"/>
              </w:rPr>
            </w:pPr>
          </w:p>
        </w:tc>
      </w:tr>
      <w:tr>
        <w:trPr>
          <w:trHeight w:val="194"/>
        </w:trPr>
        <w:tc>
          <w:tcPr>
            <w:tcW w:w="180" w:type="dxa"/>
            <w:vAlign w:val="bottom"/>
          </w:tcPr>
          <w:p>
            <w:pPr>
              <w:spacing w:after="0"/>
              <w:rPr>
                <w:sz w:val="16"/>
                <w:szCs w:val="16"/>
                <w:color w:val="auto"/>
              </w:rPr>
            </w:pPr>
          </w:p>
        </w:tc>
        <w:tc>
          <w:tcPr>
            <w:tcW w:w="8400" w:type="dxa"/>
            <w:vAlign w:val="bottom"/>
          </w:tcPr>
          <w:p>
            <w:pPr>
              <w:spacing w:after="0"/>
              <w:rPr>
                <w:sz w:val="20"/>
                <w:szCs w:val="20"/>
                <w:color w:val="auto"/>
              </w:rPr>
            </w:pPr>
            <w:r>
              <w:rPr>
                <w:rFonts w:ascii="Arial" w:cs="Arial" w:eastAsia="Arial" w:hAnsi="Arial"/>
                <w:sz w:val="16"/>
                <w:szCs w:val="16"/>
                <w:color w:val="auto"/>
              </w:rPr>
              <w:t>Less accumulated depreciation and amortization</w:t>
            </w:r>
          </w:p>
        </w:tc>
        <w:tc>
          <w:tcPr>
            <w:tcW w:w="2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(7,244)</w:t>
            </w:r>
          </w:p>
        </w:tc>
        <w:tc>
          <w:tcPr>
            <w:tcW w:w="1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(7,211)</w:t>
            </w:r>
          </w:p>
        </w:tc>
        <w:tc>
          <w:tcPr>
            <w:tcW w:w="0" w:type="dxa"/>
            <w:vAlign w:val="bottom"/>
          </w:tcPr>
          <w:p>
            <w:pPr>
              <w:spacing w:after="0"/>
              <w:rPr>
                <w:sz w:val="1"/>
                <w:szCs w:val="1"/>
                <w:color w:val="auto"/>
              </w:rPr>
            </w:pPr>
          </w:p>
        </w:tc>
      </w:tr>
      <w:tr>
        <w:trPr>
          <w:trHeight w:val="164"/>
        </w:trPr>
        <w:tc>
          <w:tcPr>
            <w:tcW w:w="180" w:type="dxa"/>
            <w:vAlign w:val="bottom"/>
          </w:tcPr>
          <w:p>
            <w:pPr>
              <w:spacing w:after="0"/>
              <w:rPr>
                <w:sz w:val="14"/>
                <w:szCs w:val="14"/>
                <w:color w:val="auto"/>
              </w:rPr>
            </w:pPr>
          </w:p>
        </w:tc>
        <w:tc>
          <w:tcPr>
            <w:tcW w:w="8400" w:type="dxa"/>
            <w:vAlign w:val="bottom"/>
          </w:tcPr>
          <w:p>
            <w:pPr>
              <w:ind w:left="180"/>
              <w:spacing w:after="0" w:line="164" w:lineRule="exact"/>
              <w:rPr>
                <w:sz w:val="20"/>
                <w:szCs w:val="20"/>
                <w:color w:val="auto"/>
              </w:rPr>
            </w:pPr>
            <w:r>
              <w:rPr>
                <w:rFonts w:ascii="Arial" w:cs="Arial" w:eastAsia="Arial" w:hAnsi="Arial"/>
                <w:sz w:val="16"/>
                <w:szCs w:val="16"/>
                <w:color w:val="auto"/>
              </w:rPr>
              <w:t>Property, plant and equipment, net ($503 and $516 at June 30, 2011 and</w:t>
            </w:r>
          </w:p>
        </w:tc>
        <w:tc>
          <w:tcPr>
            <w:tcW w:w="200" w:type="dxa"/>
            <w:vAlign w:val="bottom"/>
          </w:tcPr>
          <w:p>
            <w:pPr>
              <w:spacing w:after="0"/>
              <w:rPr>
                <w:sz w:val="14"/>
                <w:szCs w:val="14"/>
                <w:color w:val="auto"/>
              </w:rPr>
            </w:pPr>
          </w:p>
        </w:tc>
        <w:tc>
          <w:tcPr>
            <w:tcW w:w="1200" w:type="dxa"/>
            <w:vAlign w:val="bottom"/>
            <w:vMerge w:val="restart"/>
          </w:tcPr>
          <w:p>
            <w:pPr>
              <w:jc w:val="right"/>
              <w:spacing w:after="0"/>
              <w:rPr>
                <w:sz w:val="20"/>
                <w:szCs w:val="20"/>
                <w:color w:val="auto"/>
              </w:rPr>
            </w:pPr>
            <w:r>
              <w:rPr>
                <w:rFonts w:ascii="Arial" w:cs="Arial" w:eastAsia="Arial" w:hAnsi="Arial"/>
                <w:sz w:val="16"/>
                <w:szCs w:val="16"/>
                <w:color w:val="auto"/>
              </w:rPr>
              <w:t>22,156</w:t>
            </w:r>
          </w:p>
        </w:tc>
        <w:tc>
          <w:tcPr>
            <w:tcW w:w="180" w:type="dxa"/>
            <w:vAlign w:val="bottom"/>
          </w:tcPr>
          <w:p>
            <w:pPr>
              <w:spacing w:after="0"/>
              <w:rPr>
                <w:sz w:val="14"/>
                <w:szCs w:val="14"/>
                <w:color w:val="auto"/>
              </w:rPr>
            </w:pPr>
          </w:p>
        </w:tc>
        <w:tc>
          <w:tcPr>
            <w:tcW w:w="1260" w:type="dxa"/>
            <w:vAlign w:val="bottom"/>
            <w:vMerge w:val="restart"/>
          </w:tcPr>
          <w:p>
            <w:pPr>
              <w:jc w:val="right"/>
              <w:spacing w:after="0"/>
              <w:rPr>
                <w:sz w:val="20"/>
                <w:szCs w:val="20"/>
                <w:color w:val="auto"/>
              </w:rPr>
            </w:pPr>
            <w:r>
              <w:rPr>
                <w:rFonts w:ascii="Arial" w:cs="Arial" w:eastAsia="Arial" w:hAnsi="Arial"/>
                <w:sz w:val="16"/>
                <w:szCs w:val="16"/>
                <w:color w:val="auto"/>
              </w:rPr>
              <w:t>19,876</w:t>
            </w:r>
          </w:p>
        </w:tc>
        <w:tc>
          <w:tcPr>
            <w:tcW w:w="0" w:type="dxa"/>
            <w:vAlign w:val="bottom"/>
          </w:tcPr>
          <w:p>
            <w:pPr>
              <w:spacing w:after="0"/>
              <w:rPr>
                <w:sz w:val="1"/>
                <w:szCs w:val="1"/>
                <w:color w:val="auto"/>
              </w:rPr>
            </w:pPr>
          </w:p>
        </w:tc>
      </w:tr>
      <w:tr>
        <w:trPr>
          <w:trHeight w:val="167"/>
        </w:trPr>
        <w:tc>
          <w:tcPr>
            <w:tcW w:w="180" w:type="dxa"/>
            <w:vAlign w:val="bottom"/>
          </w:tcPr>
          <w:p>
            <w:pPr>
              <w:spacing w:after="0"/>
              <w:rPr>
                <w:sz w:val="14"/>
                <w:szCs w:val="14"/>
                <w:color w:val="auto"/>
              </w:rPr>
            </w:pPr>
          </w:p>
        </w:tc>
        <w:tc>
          <w:tcPr>
            <w:tcW w:w="8400" w:type="dxa"/>
            <w:vAlign w:val="bottom"/>
          </w:tcPr>
          <w:p>
            <w:pPr>
              <w:ind w:left="360"/>
              <w:spacing w:after="0" w:line="160" w:lineRule="exact"/>
              <w:rPr>
                <w:sz w:val="20"/>
                <w:szCs w:val="20"/>
                <w:color w:val="auto"/>
              </w:rPr>
            </w:pPr>
            <w:r>
              <w:rPr>
                <w:rFonts w:ascii="Arial" w:cs="Arial" w:eastAsia="Arial" w:hAnsi="Arial"/>
                <w:sz w:val="16"/>
                <w:szCs w:val="16"/>
                <w:color w:val="auto"/>
              </w:rPr>
              <w:t>December 31, 2010, respectively, related to VIE)</w:t>
            </w:r>
          </w:p>
        </w:tc>
        <w:tc>
          <w:tcPr>
            <w:tcW w:w="20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vMerge w:val="continue"/>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8580" w:type="dxa"/>
            <w:vAlign w:val="bottom"/>
            <w:tcBorders>
              <w:bottom w:val="single" w:sz="8" w:color="auto"/>
            </w:tcBorders>
            <w:gridSpan w:val="2"/>
          </w:tcPr>
          <w:p>
            <w:pPr>
              <w:spacing w:after="0" w:line="176" w:lineRule="exact"/>
              <w:rPr>
                <w:sz w:val="20"/>
                <w:szCs w:val="20"/>
                <w:color w:val="auto"/>
              </w:rPr>
            </w:pPr>
            <w:r>
              <w:rPr>
                <w:rFonts w:ascii="Arial" w:cs="Arial" w:eastAsia="Arial" w:hAnsi="Arial"/>
                <w:sz w:val="16"/>
                <w:szCs w:val="16"/>
                <w:color w:val="auto"/>
              </w:rPr>
              <w:t>Total assets</w:t>
            </w:r>
          </w:p>
        </w:tc>
        <w:tc>
          <w:tcPr>
            <w:tcW w:w="200" w:type="dxa"/>
            <w:vAlign w:val="bottom"/>
            <w:tcBorders>
              <w:bottom w:val="single" w:sz="8" w:color="auto"/>
            </w:tcBorders>
          </w:tcPr>
          <w:p>
            <w:pPr>
              <w:jc w:val="right"/>
              <w:ind w:right="44"/>
              <w:spacing w:after="0"/>
              <w:rPr>
                <w:sz w:val="20"/>
                <w:szCs w:val="20"/>
                <w:color w:val="auto"/>
              </w:rPr>
            </w:pPr>
            <w:r>
              <w:rPr>
                <w:rFonts w:ascii="Arial" w:cs="Arial" w:eastAsia="Arial" w:hAnsi="Arial"/>
                <w:sz w:val="15"/>
                <w:szCs w:val="15"/>
                <w:color w:val="auto"/>
                <w:w w:val="71"/>
              </w:rPr>
              <w:t>$</w:t>
            </w:r>
          </w:p>
        </w:tc>
        <w:tc>
          <w:tcPr>
            <w:tcW w:w="120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6"/>
                <w:szCs w:val="16"/>
                <w:color w:val="auto"/>
              </w:rPr>
              <w:t>31,836</w:t>
            </w:r>
          </w:p>
        </w:tc>
        <w:tc>
          <w:tcPr>
            <w:tcW w:w="18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6"/>
                <w:szCs w:val="16"/>
                <w:color w:val="auto"/>
              </w:rPr>
              <w:t>30,283</w:t>
            </w:r>
          </w:p>
        </w:tc>
        <w:tc>
          <w:tcPr>
            <w:tcW w:w="0" w:type="dxa"/>
            <w:vAlign w:val="bottom"/>
          </w:tcPr>
          <w:p>
            <w:pPr>
              <w:spacing w:after="0"/>
              <w:rPr>
                <w:sz w:val="1"/>
                <w:szCs w:val="1"/>
                <w:color w:val="auto"/>
              </w:rPr>
            </w:pPr>
          </w:p>
        </w:tc>
      </w:tr>
      <w:tr>
        <w:trPr>
          <w:trHeight w:val="191"/>
        </w:trPr>
        <w:tc>
          <w:tcPr>
            <w:tcW w:w="180" w:type="dxa"/>
            <w:vAlign w:val="bottom"/>
          </w:tcPr>
          <w:p>
            <w:pPr>
              <w:spacing w:after="0"/>
              <w:rPr>
                <w:sz w:val="20"/>
                <w:szCs w:val="20"/>
                <w:color w:val="auto"/>
              </w:rPr>
            </w:pPr>
            <w:r>
              <w:rPr>
                <w:rFonts w:ascii="Arial" w:cs="Arial" w:eastAsia="Arial" w:hAnsi="Arial"/>
                <w:sz w:val="14"/>
                <w:szCs w:val="14"/>
                <w:i w:val="1"/>
                <w:iCs w:val="1"/>
                <w:color w:val="auto"/>
                <w:w w:val="93"/>
              </w:rPr>
              <w:t>(1)</w:t>
            </w:r>
          </w:p>
        </w:tc>
        <w:tc>
          <w:tcPr>
            <w:tcW w:w="8400" w:type="dxa"/>
            <w:vAlign w:val="bottom"/>
          </w:tcPr>
          <w:p>
            <w:pPr>
              <w:ind w:left="320"/>
              <w:spacing w:after="0"/>
              <w:rPr>
                <w:sz w:val="20"/>
                <w:szCs w:val="20"/>
                <w:color w:val="auto"/>
              </w:rPr>
            </w:pPr>
            <w:r>
              <w:rPr>
                <w:rFonts w:ascii="Arial" w:cs="Arial" w:eastAsia="Arial" w:hAnsi="Arial"/>
                <w:sz w:val="14"/>
                <w:szCs w:val="14"/>
                <w:i w:val="1"/>
                <w:iCs w:val="1"/>
                <w:color w:val="auto"/>
              </w:rPr>
              <w:t>Derived from audited financial statements.</w:t>
            </w:r>
          </w:p>
        </w:tc>
        <w:tc>
          <w:tcPr>
            <w:tcW w:w="2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8580" w:type="dxa"/>
            <w:vAlign w:val="bottom"/>
            <w:gridSpan w:val="2"/>
          </w:tcPr>
          <w:p>
            <w:pPr>
              <w:spacing w:after="0"/>
              <w:rPr>
                <w:sz w:val="20"/>
                <w:szCs w:val="20"/>
                <w:color w:val="auto"/>
              </w:rPr>
            </w:pPr>
            <w:r>
              <w:rPr>
                <w:rFonts w:ascii="Arial" w:cs="Arial" w:eastAsia="Arial" w:hAnsi="Arial"/>
                <w:sz w:val="14"/>
                <w:szCs w:val="14"/>
                <w:i w:val="1"/>
                <w:iCs w:val="1"/>
                <w:color w:val="auto"/>
              </w:rPr>
              <w:t>See Notes to Condensed Consolidated Financial Statements.</w:t>
            </w:r>
          </w:p>
        </w:tc>
        <w:tc>
          <w:tcPr>
            <w:tcW w:w="2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513" w:right="239" w:bottom="1440" w:gutter="0" w:footer="0" w:header="0"/>
        </w:sectPr>
      </w:pPr>
    </w:p>
    <w:bookmarkStart w:id="8" w:name="page9"/>
    <w:bookmarkEnd w:id="8"/>
    <w:p>
      <w:pPr>
        <w:spacing w:after="0"/>
        <w:rPr>
          <w:sz w:val="20"/>
          <w:szCs w:val="20"/>
          <w:color w:val="auto"/>
        </w:rPr>
      </w:pPr>
      <w:r>
        <w:rPr>
          <w:rFonts w:ascii="Arial" w:cs="Arial" w:eastAsia="Arial" w:hAnsi="Arial"/>
          <w:sz w:val="16"/>
          <w:szCs w:val="16"/>
          <w:b w:val="1"/>
          <w:bCs w:val="1"/>
          <w:color w:val="auto"/>
        </w:rPr>
        <w:t>SEMPRA ENERGY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-104775</wp:posOffset>
            </wp:positionV>
            <wp:extent cx="7246620" cy="3346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334645"/>
                    </a:xfrm>
                    <a:prstGeom prst="rect">
                      <a:avLst/>
                    </a:prstGeom>
                    <a:noFill/>
                  </pic:spPr>
                </pic:pic>
              </a:graphicData>
            </a:graphic>
          </wp:anchor>
        </w:drawing>
      </w:r>
    </w:p>
    <w:p>
      <w:pPr>
        <w:spacing w:after="0"/>
        <w:rPr>
          <w:sz w:val="20"/>
          <w:szCs w:val="20"/>
          <w:color w:val="auto"/>
        </w:rPr>
      </w:pPr>
      <w:r>
        <w:rPr>
          <w:rFonts w:ascii="Arial" w:cs="Arial" w:eastAsia="Arial" w:hAnsi="Arial"/>
          <w:sz w:val="16"/>
          <w:szCs w:val="16"/>
          <w:b w:val="1"/>
          <w:bCs w:val="1"/>
          <w:color w:val="auto"/>
        </w:rPr>
        <w:t>CONDENSED CONSOLIDATED BALANCE SHEETS</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8580" w:type="dxa"/>
            <w:vAlign w:val="bottom"/>
            <w:gridSpan w:val="2"/>
          </w:tcPr>
          <w:p>
            <w:pPr>
              <w:spacing w:after="0"/>
              <w:rPr>
                <w:sz w:val="20"/>
                <w:szCs w:val="20"/>
                <w:color w:val="auto"/>
              </w:rPr>
            </w:pPr>
            <w:r>
              <w:rPr>
                <w:rFonts w:ascii="Arial" w:cs="Arial" w:eastAsia="Arial" w:hAnsi="Arial"/>
                <w:sz w:val="14"/>
                <w:szCs w:val="14"/>
                <w:i w:val="1"/>
                <w:iCs w:val="1"/>
                <w:color w:val="auto"/>
              </w:rPr>
              <w:t>(Dollars in millions)</w:t>
            </w:r>
          </w:p>
        </w:tc>
        <w:tc>
          <w:tcPr>
            <w:tcW w:w="2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2"/>
        </w:trPr>
        <w:tc>
          <w:tcPr>
            <w:tcW w:w="180" w:type="dxa"/>
            <w:vAlign w:val="bottom"/>
          </w:tcPr>
          <w:p>
            <w:pPr>
              <w:spacing w:after="0"/>
              <w:rPr>
                <w:sz w:val="14"/>
                <w:szCs w:val="14"/>
                <w:color w:val="auto"/>
              </w:rPr>
            </w:pPr>
          </w:p>
        </w:tc>
        <w:tc>
          <w:tcPr>
            <w:tcW w:w="84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60" w:type="dxa"/>
            <w:vAlign w:val="bottom"/>
          </w:tcPr>
          <w:p>
            <w:pPr>
              <w:jc w:val="center"/>
              <w:ind w:right="340"/>
              <w:spacing w:after="0"/>
              <w:rPr>
                <w:sz w:val="20"/>
                <w:szCs w:val="20"/>
                <w:color w:val="auto"/>
              </w:rPr>
            </w:pPr>
            <w:r>
              <w:rPr>
                <w:rFonts w:ascii="Arial" w:cs="Arial" w:eastAsia="Arial" w:hAnsi="Arial"/>
                <w:sz w:val="14"/>
                <w:szCs w:val="14"/>
                <w:color w:val="auto"/>
              </w:rPr>
              <w:t>June 30,</w:t>
            </w:r>
          </w:p>
        </w:tc>
        <w:tc>
          <w:tcPr>
            <w:tcW w:w="1300" w:type="dxa"/>
            <w:vAlign w:val="bottom"/>
            <w:gridSpan w:val="2"/>
          </w:tcPr>
          <w:p>
            <w:pPr>
              <w:jc w:val="right"/>
              <w:ind w:right="179"/>
              <w:spacing w:after="0"/>
              <w:rPr>
                <w:sz w:val="20"/>
                <w:szCs w:val="20"/>
                <w:color w:val="auto"/>
              </w:rPr>
            </w:pPr>
            <w:r>
              <w:rPr>
                <w:rFonts w:ascii="Arial" w:cs="Arial" w:eastAsia="Arial" w:hAnsi="Arial"/>
                <w:sz w:val="14"/>
                <w:szCs w:val="14"/>
                <w:color w:val="auto"/>
              </w:rPr>
              <w:t>December 31,</w:t>
            </w:r>
          </w:p>
        </w:tc>
        <w:tc>
          <w:tcPr>
            <w:tcW w:w="0" w:type="dxa"/>
            <w:vAlign w:val="bottom"/>
          </w:tcPr>
          <w:p>
            <w:pPr>
              <w:spacing w:after="0"/>
              <w:rPr>
                <w:sz w:val="1"/>
                <w:szCs w:val="1"/>
                <w:color w:val="auto"/>
              </w:rPr>
            </w:pPr>
          </w:p>
        </w:tc>
      </w:tr>
      <w:tr>
        <w:trPr>
          <w:trHeight w:val="168"/>
        </w:trPr>
        <w:tc>
          <w:tcPr>
            <w:tcW w:w="180" w:type="dxa"/>
            <w:vAlign w:val="bottom"/>
            <w:tcBorders>
              <w:bottom w:val="single" w:sz="8" w:color="auto"/>
            </w:tcBorders>
          </w:tcPr>
          <w:p>
            <w:pPr>
              <w:spacing w:after="0"/>
              <w:rPr>
                <w:sz w:val="14"/>
                <w:szCs w:val="14"/>
                <w:color w:val="auto"/>
              </w:rPr>
            </w:pPr>
          </w:p>
        </w:tc>
        <w:tc>
          <w:tcPr>
            <w:tcW w:w="840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center"/>
              <w:ind w:right="380"/>
              <w:spacing w:after="0"/>
              <w:rPr>
                <w:sz w:val="20"/>
                <w:szCs w:val="20"/>
                <w:color w:val="auto"/>
              </w:rPr>
            </w:pPr>
            <w:r>
              <w:rPr>
                <w:rFonts w:ascii="Arial" w:cs="Arial" w:eastAsia="Arial" w:hAnsi="Arial"/>
                <w:sz w:val="14"/>
                <w:szCs w:val="14"/>
                <w:color w:val="auto"/>
              </w:rPr>
              <w:t>2011</w:t>
            </w:r>
          </w:p>
        </w:tc>
        <w:tc>
          <w:tcPr>
            <w:tcW w:w="3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379"/>
              <w:spacing w:after="0"/>
              <w:rPr>
                <w:sz w:val="20"/>
                <w:szCs w:val="20"/>
                <w:color w:val="auto"/>
              </w:rPr>
            </w:pPr>
            <w:r>
              <w:rPr>
                <w:rFonts w:ascii="Arial" w:cs="Arial" w:eastAsia="Arial" w:hAnsi="Arial"/>
                <w:sz w:val="14"/>
                <w:szCs w:val="14"/>
                <w:color w:val="auto"/>
              </w:rPr>
              <w:t>2010(1)</w:t>
            </w:r>
          </w:p>
        </w:tc>
        <w:tc>
          <w:tcPr>
            <w:tcW w:w="0" w:type="dxa"/>
            <w:vAlign w:val="bottom"/>
          </w:tcPr>
          <w:p>
            <w:pPr>
              <w:spacing w:after="0"/>
              <w:rPr>
                <w:sz w:val="1"/>
                <w:szCs w:val="1"/>
                <w:color w:val="auto"/>
              </w:rPr>
            </w:pPr>
          </w:p>
        </w:tc>
      </w:tr>
      <w:tr>
        <w:trPr>
          <w:trHeight w:val="191"/>
        </w:trPr>
        <w:tc>
          <w:tcPr>
            <w:tcW w:w="8580" w:type="dxa"/>
            <w:vAlign w:val="bottom"/>
            <w:gridSpan w:val="2"/>
            <w:vMerge w:val="restart"/>
          </w:tcPr>
          <w:p>
            <w:pPr>
              <w:spacing w:after="0"/>
              <w:rPr>
                <w:sz w:val="20"/>
                <w:szCs w:val="20"/>
                <w:color w:val="auto"/>
              </w:rPr>
            </w:pPr>
            <w:r>
              <w:rPr>
                <w:rFonts w:ascii="Arial" w:cs="Arial" w:eastAsia="Arial" w:hAnsi="Arial"/>
                <w:sz w:val="16"/>
                <w:szCs w:val="16"/>
                <w:color w:val="auto"/>
              </w:rPr>
              <w:t>LIABILITIES AND EQUITY</w:t>
            </w:r>
          </w:p>
        </w:tc>
        <w:tc>
          <w:tcPr>
            <w:tcW w:w="280" w:type="dxa"/>
            <w:vAlign w:val="bottom"/>
          </w:tcPr>
          <w:p>
            <w:pPr>
              <w:spacing w:after="0"/>
              <w:rPr>
                <w:sz w:val="16"/>
                <w:szCs w:val="16"/>
                <w:color w:val="auto"/>
              </w:rPr>
            </w:pPr>
          </w:p>
        </w:tc>
        <w:tc>
          <w:tcPr>
            <w:tcW w:w="1260" w:type="dxa"/>
            <w:vAlign w:val="bottom"/>
          </w:tcPr>
          <w:p>
            <w:pPr>
              <w:jc w:val="center"/>
              <w:ind w:right="340"/>
              <w:spacing w:after="0"/>
              <w:rPr>
                <w:sz w:val="20"/>
                <w:szCs w:val="20"/>
                <w:color w:val="auto"/>
              </w:rPr>
            </w:pPr>
            <w:r>
              <w:rPr>
                <w:rFonts w:ascii="Arial" w:cs="Arial" w:eastAsia="Arial" w:hAnsi="Arial"/>
                <w:sz w:val="14"/>
                <w:szCs w:val="14"/>
                <w:color w:val="auto"/>
              </w:rPr>
              <w:t>(unaudited)</w:t>
            </w:r>
          </w:p>
        </w:tc>
        <w:tc>
          <w:tcPr>
            <w:tcW w:w="3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8580" w:type="dxa"/>
            <w:vAlign w:val="bottom"/>
            <w:gridSpan w:val="2"/>
            <w:vMerge w:val="continue"/>
          </w:tcPr>
          <w:p>
            <w:pPr>
              <w:spacing w:after="0"/>
              <w:rPr>
                <w:sz w:val="12"/>
                <w:szCs w:val="12"/>
                <w:color w:val="auto"/>
              </w:rPr>
            </w:pPr>
          </w:p>
        </w:tc>
        <w:tc>
          <w:tcPr>
            <w:tcW w:w="28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8580" w:type="dxa"/>
            <w:vAlign w:val="bottom"/>
            <w:gridSpan w:val="2"/>
          </w:tcPr>
          <w:p>
            <w:pPr>
              <w:spacing w:after="0" w:line="176" w:lineRule="exact"/>
              <w:rPr>
                <w:sz w:val="20"/>
                <w:szCs w:val="20"/>
                <w:color w:val="auto"/>
              </w:rPr>
            </w:pPr>
            <w:r>
              <w:rPr>
                <w:rFonts w:ascii="Arial" w:cs="Arial" w:eastAsia="Arial" w:hAnsi="Arial"/>
                <w:sz w:val="16"/>
                <w:szCs w:val="16"/>
                <w:color w:val="auto"/>
              </w:rPr>
              <w:t>Current liabilities:</w:t>
            </w:r>
          </w:p>
        </w:tc>
        <w:tc>
          <w:tcPr>
            <w:tcW w:w="2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80" w:type="dxa"/>
            <w:vAlign w:val="bottom"/>
          </w:tcPr>
          <w:p>
            <w:pPr>
              <w:spacing w:after="0"/>
              <w:rPr>
                <w:sz w:val="15"/>
                <w:szCs w:val="15"/>
                <w:color w:val="auto"/>
              </w:rPr>
            </w:pPr>
          </w:p>
        </w:tc>
        <w:tc>
          <w:tcPr>
            <w:tcW w:w="8400" w:type="dxa"/>
            <w:vAlign w:val="bottom"/>
          </w:tcPr>
          <w:p>
            <w:pPr>
              <w:spacing w:after="0" w:line="176" w:lineRule="exact"/>
              <w:rPr>
                <w:sz w:val="20"/>
                <w:szCs w:val="20"/>
                <w:color w:val="auto"/>
              </w:rPr>
            </w:pPr>
            <w:r>
              <w:rPr>
                <w:rFonts w:ascii="Arial" w:cs="Arial" w:eastAsia="Arial" w:hAnsi="Arial"/>
                <w:sz w:val="16"/>
                <w:szCs w:val="16"/>
                <w:color w:val="auto"/>
              </w:rPr>
              <w:t>Short-term debt</w:t>
            </w:r>
          </w:p>
        </w:tc>
        <w:tc>
          <w:tcPr>
            <w:tcW w:w="280" w:type="dxa"/>
            <w:vAlign w:val="bottom"/>
          </w:tcPr>
          <w:p>
            <w:pPr>
              <w:jc w:val="right"/>
              <w:spacing w:after="0" w:line="176" w:lineRule="exact"/>
              <w:rPr>
                <w:sz w:val="20"/>
                <w:szCs w:val="20"/>
                <w:color w:val="auto"/>
              </w:rPr>
            </w:pPr>
            <w:r>
              <w:rPr>
                <w:rFonts w:ascii="Arial" w:cs="Arial" w:eastAsia="Arial" w:hAnsi="Arial"/>
                <w:sz w:val="16"/>
                <w:szCs w:val="16"/>
                <w:color w:val="auto"/>
              </w:rPr>
              <w:t>$</w:t>
            </w:r>
          </w:p>
        </w:tc>
        <w:tc>
          <w:tcPr>
            <w:tcW w:w="1260" w:type="dxa"/>
            <w:vAlign w:val="bottom"/>
          </w:tcPr>
          <w:p>
            <w:pPr>
              <w:jc w:val="right"/>
              <w:ind w:right="100"/>
              <w:spacing w:after="0" w:line="176" w:lineRule="exact"/>
              <w:rPr>
                <w:sz w:val="20"/>
                <w:szCs w:val="20"/>
                <w:color w:val="auto"/>
              </w:rPr>
            </w:pPr>
            <w:r>
              <w:rPr>
                <w:rFonts w:ascii="Arial" w:cs="Arial" w:eastAsia="Arial" w:hAnsi="Arial"/>
                <w:sz w:val="16"/>
                <w:szCs w:val="16"/>
                <w:color w:val="auto"/>
              </w:rPr>
              <w:t>453</w:t>
            </w:r>
          </w:p>
        </w:tc>
        <w:tc>
          <w:tcPr>
            <w:tcW w:w="300" w:type="dxa"/>
            <w:vAlign w:val="bottom"/>
          </w:tcPr>
          <w:p>
            <w:pPr>
              <w:jc w:val="right"/>
              <w:spacing w:after="0" w:line="176" w:lineRule="exact"/>
              <w:rPr>
                <w:sz w:val="20"/>
                <w:szCs w:val="20"/>
                <w:color w:val="auto"/>
              </w:rPr>
            </w:pPr>
            <w:r>
              <w:rPr>
                <w:rFonts w:ascii="Arial" w:cs="Arial" w:eastAsia="Arial" w:hAnsi="Arial"/>
                <w:sz w:val="16"/>
                <w:szCs w:val="16"/>
                <w:color w:val="auto"/>
              </w:rPr>
              <w:t>$</w:t>
            </w:r>
          </w:p>
        </w:tc>
        <w:tc>
          <w:tcPr>
            <w:tcW w:w="1000" w:type="dxa"/>
            <w:vAlign w:val="bottom"/>
          </w:tcPr>
          <w:p>
            <w:pPr>
              <w:jc w:val="right"/>
              <w:spacing w:after="0" w:line="176" w:lineRule="exact"/>
              <w:rPr>
                <w:sz w:val="20"/>
                <w:szCs w:val="20"/>
                <w:color w:val="auto"/>
              </w:rPr>
            </w:pPr>
            <w:r>
              <w:rPr>
                <w:rFonts w:ascii="Arial" w:cs="Arial" w:eastAsia="Arial" w:hAnsi="Arial"/>
                <w:sz w:val="16"/>
                <w:szCs w:val="16"/>
                <w:color w:val="auto"/>
              </w:rPr>
              <w:t>158</w:t>
            </w:r>
          </w:p>
        </w:tc>
        <w:tc>
          <w:tcPr>
            <w:tcW w:w="0" w:type="dxa"/>
            <w:vAlign w:val="bottom"/>
          </w:tcPr>
          <w:p>
            <w:pPr>
              <w:spacing w:after="0"/>
              <w:rPr>
                <w:sz w:val="1"/>
                <w:szCs w:val="1"/>
                <w:color w:val="auto"/>
              </w:rPr>
            </w:pPr>
          </w:p>
        </w:tc>
      </w:tr>
      <w:tr>
        <w:trPr>
          <w:trHeight w:val="176"/>
        </w:trPr>
        <w:tc>
          <w:tcPr>
            <w:tcW w:w="8580" w:type="dxa"/>
            <w:vAlign w:val="bottom"/>
            <w:gridSpan w:val="2"/>
          </w:tcPr>
          <w:p>
            <w:pPr>
              <w:ind w:left="180"/>
              <w:spacing w:after="0" w:line="176" w:lineRule="exact"/>
              <w:rPr>
                <w:sz w:val="20"/>
                <w:szCs w:val="20"/>
                <w:color w:val="auto"/>
              </w:rPr>
            </w:pPr>
            <w:r>
              <w:rPr>
                <w:rFonts w:ascii="Arial" w:cs="Arial" w:eastAsia="Arial" w:hAnsi="Arial"/>
                <w:sz w:val="16"/>
                <w:szCs w:val="16"/>
                <w:color w:val="auto"/>
              </w:rPr>
              <w:t>Accounts payable - trade</w:t>
            </w:r>
          </w:p>
        </w:tc>
        <w:tc>
          <w:tcPr>
            <w:tcW w:w="280" w:type="dxa"/>
            <w:vAlign w:val="bottom"/>
          </w:tcPr>
          <w:p>
            <w:pPr>
              <w:spacing w:after="0"/>
              <w:rPr>
                <w:sz w:val="15"/>
                <w:szCs w:val="15"/>
                <w:color w:val="auto"/>
              </w:rPr>
            </w:pPr>
          </w:p>
        </w:tc>
        <w:tc>
          <w:tcPr>
            <w:tcW w:w="1260" w:type="dxa"/>
            <w:vAlign w:val="bottom"/>
          </w:tcPr>
          <w:p>
            <w:pPr>
              <w:jc w:val="right"/>
              <w:ind w:right="100"/>
              <w:spacing w:after="0" w:line="176" w:lineRule="exact"/>
              <w:rPr>
                <w:sz w:val="20"/>
                <w:szCs w:val="20"/>
                <w:color w:val="auto"/>
              </w:rPr>
            </w:pPr>
            <w:r>
              <w:rPr>
                <w:rFonts w:ascii="Arial" w:cs="Arial" w:eastAsia="Arial" w:hAnsi="Arial"/>
                <w:sz w:val="16"/>
                <w:szCs w:val="16"/>
                <w:color w:val="auto"/>
              </w:rPr>
              <w:t>783</w:t>
            </w:r>
          </w:p>
        </w:tc>
        <w:tc>
          <w:tcPr>
            <w:tcW w:w="300" w:type="dxa"/>
            <w:vAlign w:val="bottom"/>
          </w:tcPr>
          <w:p>
            <w:pPr>
              <w:spacing w:after="0"/>
              <w:rPr>
                <w:sz w:val="15"/>
                <w:szCs w:val="15"/>
                <w:color w:val="auto"/>
              </w:rPr>
            </w:pPr>
          </w:p>
        </w:tc>
        <w:tc>
          <w:tcPr>
            <w:tcW w:w="1000" w:type="dxa"/>
            <w:vAlign w:val="bottom"/>
          </w:tcPr>
          <w:p>
            <w:pPr>
              <w:jc w:val="right"/>
              <w:spacing w:after="0" w:line="176" w:lineRule="exact"/>
              <w:rPr>
                <w:sz w:val="20"/>
                <w:szCs w:val="20"/>
                <w:color w:val="auto"/>
              </w:rPr>
            </w:pPr>
            <w:r>
              <w:rPr>
                <w:rFonts w:ascii="Arial" w:cs="Arial" w:eastAsia="Arial" w:hAnsi="Arial"/>
                <w:sz w:val="16"/>
                <w:szCs w:val="16"/>
                <w:color w:val="auto"/>
              </w:rPr>
              <w:t>755</w:t>
            </w:r>
          </w:p>
        </w:tc>
        <w:tc>
          <w:tcPr>
            <w:tcW w:w="0" w:type="dxa"/>
            <w:vAlign w:val="bottom"/>
          </w:tcPr>
          <w:p>
            <w:pPr>
              <w:spacing w:after="0"/>
              <w:rPr>
                <w:sz w:val="1"/>
                <w:szCs w:val="1"/>
                <w:color w:val="auto"/>
              </w:rPr>
            </w:pPr>
          </w:p>
        </w:tc>
      </w:tr>
      <w:tr>
        <w:trPr>
          <w:trHeight w:val="176"/>
        </w:trPr>
        <w:tc>
          <w:tcPr>
            <w:tcW w:w="8580" w:type="dxa"/>
            <w:vAlign w:val="bottom"/>
            <w:gridSpan w:val="2"/>
          </w:tcPr>
          <w:p>
            <w:pPr>
              <w:ind w:left="180"/>
              <w:spacing w:after="0" w:line="176" w:lineRule="exact"/>
              <w:rPr>
                <w:sz w:val="20"/>
                <w:szCs w:val="20"/>
                <w:color w:val="auto"/>
              </w:rPr>
            </w:pPr>
            <w:r>
              <w:rPr>
                <w:rFonts w:ascii="Arial" w:cs="Arial" w:eastAsia="Arial" w:hAnsi="Arial"/>
                <w:sz w:val="16"/>
                <w:szCs w:val="16"/>
                <w:color w:val="auto"/>
              </w:rPr>
              <w:t>Accounts payable - other</w:t>
            </w:r>
          </w:p>
        </w:tc>
        <w:tc>
          <w:tcPr>
            <w:tcW w:w="280" w:type="dxa"/>
            <w:vAlign w:val="bottom"/>
          </w:tcPr>
          <w:p>
            <w:pPr>
              <w:spacing w:after="0"/>
              <w:rPr>
                <w:sz w:val="15"/>
                <w:szCs w:val="15"/>
                <w:color w:val="auto"/>
              </w:rPr>
            </w:pPr>
          </w:p>
        </w:tc>
        <w:tc>
          <w:tcPr>
            <w:tcW w:w="1260" w:type="dxa"/>
            <w:vAlign w:val="bottom"/>
          </w:tcPr>
          <w:p>
            <w:pPr>
              <w:jc w:val="right"/>
              <w:ind w:right="100"/>
              <w:spacing w:after="0" w:line="176" w:lineRule="exact"/>
              <w:rPr>
                <w:sz w:val="20"/>
                <w:szCs w:val="20"/>
                <w:color w:val="auto"/>
              </w:rPr>
            </w:pPr>
            <w:r>
              <w:rPr>
                <w:rFonts w:ascii="Arial" w:cs="Arial" w:eastAsia="Arial" w:hAnsi="Arial"/>
                <w:sz w:val="16"/>
                <w:szCs w:val="16"/>
                <w:color w:val="auto"/>
              </w:rPr>
              <w:t>132</w:t>
            </w:r>
          </w:p>
        </w:tc>
        <w:tc>
          <w:tcPr>
            <w:tcW w:w="300" w:type="dxa"/>
            <w:vAlign w:val="bottom"/>
          </w:tcPr>
          <w:p>
            <w:pPr>
              <w:spacing w:after="0"/>
              <w:rPr>
                <w:sz w:val="15"/>
                <w:szCs w:val="15"/>
                <w:color w:val="auto"/>
              </w:rPr>
            </w:pPr>
          </w:p>
        </w:tc>
        <w:tc>
          <w:tcPr>
            <w:tcW w:w="1000" w:type="dxa"/>
            <w:vAlign w:val="bottom"/>
          </w:tcPr>
          <w:p>
            <w:pPr>
              <w:jc w:val="right"/>
              <w:spacing w:after="0" w:line="176" w:lineRule="exact"/>
              <w:rPr>
                <w:sz w:val="20"/>
                <w:szCs w:val="20"/>
                <w:color w:val="auto"/>
              </w:rPr>
            </w:pPr>
            <w:r>
              <w:rPr>
                <w:rFonts w:ascii="Arial" w:cs="Arial" w:eastAsia="Arial" w:hAnsi="Arial"/>
                <w:sz w:val="16"/>
                <w:szCs w:val="16"/>
                <w:color w:val="auto"/>
              </w:rPr>
              <w:t>109</w:t>
            </w:r>
          </w:p>
        </w:tc>
        <w:tc>
          <w:tcPr>
            <w:tcW w:w="0" w:type="dxa"/>
            <w:vAlign w:val="bottom"/>
          </w:tcPr>
          <w:p>
            <w:pPr>
              <w:spacing w:after="0"/>
              <w:rPr>
                <w:sz w:val="1"/>
                <w:szCs w:val="1"/>
                <w:color w:val="auto"/>
              </w:rPr>
            </w:pPr>
          </w:p>
        </w:tc>
      </w:tr>
      <w:tr>
        <w:trPr>
          <w:trHeight w:val="176"/>
        </w:trPr>
        <w:tc>
          <w:tcPr>
            <w:tcW w:w="180" w:type="dxa"/>
            <w:vAlign w:val="bottom"/>
          </w:tcPr>
          <w:p>
            <w:pPr>
              <w:spacing w:after="0"/>
              <w:rPr>
                <w:sz w:val="15"/>
                <w:szCs w:val="15"/>
                <w:color w:val="auto"/>
              </w:rPr>
            </w:pPr>
          </w:p>
        </w:tc>
        <w:tc>
          <w:tcPr>
            <w:tcW w:w="8400" w:type="dxa"/>
            <w:vAlign w:val="bottom"/>
          </w:tcPr>
          <w:p>
            <w:pPr>
              <w:spacing w:after="0" w:line="176" w:lineRule="exact"/>
              <w:rPr>
                <w:sz w:val="20"/>
                <w:szCs w:val="20"/>
                <w:color w:val="auto"/>
              </w:rPr>
            </w:pPr>
            <w:r>
              <w:rPr>
                <w:rFonts w:ascii="Arial" w:cs="Arial" w:eastAsia="Arial" w:hAnsi="Arial"/>
                <w:sz w:val="16"/>
                <w:szCs w:val="16"/>
                <w:color w:val="auto"/>
              </w:rPr>
              <w:t>Due to unconsolidated affiliates</w:t>
            </w:r>
          </w:p>
        </w:tc>
        <w:tc>
          <w:tcPr>
            <w:tcW w:w="280" w:type="dxa"/>
            <w:vAlign w:val="bottom"/>
          </w:tcPr>
          <w:p>
            <w:pPr>
              <w:spacing w:after="0"/>
              <w:rPr>
                <w:sz w:val="15"/>
                <w:szCs w:val="15"/>
                <w:color w:val="auto"/>
              </w:rPr>
            </w:pPr>
          </w:p>
        </w:tc>
        <w:tc>
          <w:tcPr>
            <w:tcW w:w="1260" w:type="dxa"/>
            <w:vAlign w:val="bottom"/>
          </w:tcPr>
          <w:p>
            <w:pPr>
              <w:jc w:val="right"/>
              <w:ind w:right="100"/>
              <w:spacing w:after="0" w:line="176" w:lineRule="exact"/>
              <w:rPr>
                <w:sz w:val="20"/>
                <w:szCs w:val="20"/>
                <w:color w:val="auto"/>
              </w:rPr>
            </w:pPr>
            <w:r>
              <w:rPr>
                <w:rFonts w:ascii="Arial" w:cs="Arial" w:eastAsia="Arial" w:hAnsi="Arial"/>
                <w:sz w:val="16"/>
                <w:szCs w:val="16"/>
                <w:color w:val="auto"/>
              </w:rPr>
              <w:t>―</w:t>
            </w:r>
          </w:p>
        </w:tc>
        <w:tc>
          <w:tcPr>
            <w:tcW w:w="300" w:type="dxa"/>
            <w:vAlign w:val="bottom"/>
          </w:tcPr>
          <w:p>
            <w:pPr>
              <w:spacing w:after="0"/>
              <w:rPr>
                <w:sz w:val="15"/>
                <w:szCs w:val="15"/>
                <w:color w:val="auto"/>
              </w:rPr>
            </w:pPr>
          </w:p>
        </w:tc>
        <w:tc>
          <w:tcPr>
            <w:tcW w:w="1000" w:type="dxa"/>
            <w:vAlign w:val="bottom"/>
          </w:tcPr>
          <w:p>
            <w:pPr>
              <w:jc w:val="right"/>
              <w:spacing w:after="0" w:line="176" w:lineRule="exact"/>
              <w:rPr>
                <w:sz w:val="20"/>
                <w:szCs w:val="20"/>
                <w:color w:val="auto"/>
              </w:rPr>
            </w:pPr>
            <w:r>
              <w:rPr>
                <w:rFonts w:ascii="Arial" w:cs="Arial" w:eastAsia="Arial" w:hAnsi="Arial"/>
                <w:sz w:val="16"/>
                <w:szCs w:val="16"/>
                <w:color w:val="auto"/>
              </w:rPr>
              <w:t>36</w:t>
            </w:r>
          </w:p>
        </w:tc>
        <w:tc>
          <w:tcPr>
            <w:tcW w:w="0" w:type="dxa"/>
            <w:vAlign w:val="bottom"/>
          </w:tcPr>
          <w:p>
            <w:pPr>
              <w:spacing w:after="0"/>
              <w:rPr>
                <w:sz w:val="1"/>
                <w:szCs w:val="1"/>
                <w:color w:val="auto"/>
              </w:rPr>
            </w:pPr>
          </w:p>
        </w:tc>
      </w:tr>
      <w:tr>
        <w:trPr>
          <w:trHeight w:val="176"/>
        </w:trPr>
        <w:tc>
          <w:tcPr>
            <w:tcW w:w="180" w:type="dxa"/>
            <w:vAlign w:val="bottom"/>
          </w:tcPr>
          <w:p>
            <w:pPr>
              <w:spacing w:after="0"/>
              <w:rPr>
                <w:sz w:val="15"/>
                <w:szCs w:val="15"/>
                <w:color w:val="auto"/>
              </w:rPr>
            </w:pPr>
          </w:p>
        </w:tc>
        <w:tc>
          <w:tcPr>
            <w:tcW w:w="8400" w:type="dxa"/>
            <w:vAlign w:val="bottom"/>
          </w:tcPr>
          <w:p>
            <w:pPr>
              <w:spacing w:after="0" w:line="176" w:lineRule="exact"/>
              <w:rPr>
                <w:sz w:val="20"/>
                <w:szCs w:val="20"/>
                <w:color w:val="auto"/>
              </w:rPr>
            </w:pPr>
            <w:r>
              <w:rPr>
                <w:rFonts w:ascii="Arial" w:cs="Arial" w:eastAsia="Arial" w:hAnsi="Arial"/>
                <w:sz w:val="16"/>
                <w:szCs w:val="16"/>
                <w:color w:val="auto"/>
              </w:rPr>
              <w:t>Deferred income taxes</w:t>
            </w:r>
          </w:p>
        </w:tc>
        <w:tc>
          <w:tcPr>
            <w:tcW w:w="280" w:type="dxa"/>
            <w:vAlign w:val="bottom"/>
          </w:tcPr>
          <w:p>
            <w:pPr>
              <w:spacing w:after="0"/>
              <w:rPr>
                <w:sz w:val="15"/>
                <w:szCs w:val="15"/>
                <w:color w:val="auto"/>
              </w:rPr>
            </w:pPr>
          </w:p>
        </w:tc>
        <w:tc>
          <w:tcPr>
            <w:tcW w:w="1260" w:type="dxa"/>
            <w:vAlign w:val="bottom"/>
          </w:tcPr>
          <w:p>
            <w:pPr>
              <w:jc w:val="right"/>
              <w:ind w:right="100"/>
              <w:spacing w:after="0" w:line="176" w:lineRule="exact"/>
              <w:rPr>
                <w:sz w:val="20"/>
                <w:szCs w:val="20"/>
                <w:color w:val="auto"/>
              </w:rPr>
            </w:pPr>
            <w:r>
              <w:rPr>
                <w:rFonts w:ascii="Arial" w:cs="Arial" w:eastAsia="Arial" w:hAnsi="Arial"/>
                <w:sz w:val="16"/>
                <w:szCs w:val="16"/>
                <w:color w:val="auto"/>
              </w:rPr>
              <w:t>31</w:t>
            </w:r>
          </w:p>
        </w:tc>
        <w:tc>
          <w:tcPr>
            <w:tcW w:w="300" w:type="dxa"/>
            <w:vAlign w:val="bottom"/>
          </w:tcPr>
          <w:p>
            <w:pPr>
              <w:spacing w:after="0"/>
              <w:rPr>
                <w:sz w:val="15"/>
                <w:szCs w:val="15"/>
                <w:color w:val="auto"/>
              </w:rPr>
            </w:pPr>
          </w:p>
        </w:tc>
        <w:tc>
          <w:tcPr>
            <w:tcW w:w="1000" w:type="dxa"/>
            <w:vAlign w:val="bottom"/>
          </w:tcPr>
          <w:p>
            <w:pPr>
              <w:jc w:val="right"/>
              <w:spacing w:after="0" w:line="176" w:lineRule="exact"/>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76"/>
        </w:trPr>
        <w:tc>
          <w:tcPr>
            <w:tcW w:w="180" w:type="dxa"/>
            <w:vAlign w:val="bottom"/>
          </w:tcPr>
          <w:p>
            <w:pPr>
              <w:spacing w:after="0"/>
              <w:rPr>
                <w:sz w:val="15"/>
                <w:szCs w:val="15"/>
                <w:color w:val="auto"/>
              </w:rPr>
            </w:pPr>
          </w:p>
        </w:tc>
        <w:tc>
          <w:tcPr>
            <w:tcW w:w="8400" w:type="dxa"/>
            <w:vAlign w:val="bottom"/>
          </w:tcPr>
          <w:p>
            <w:pPr>
              <w:spacing w:after="0" w:line="176" w:lineRule="exact"/>
              <w:rPr>
                <w:sz w:val="20"/>
                <w:szCs w:val="20"/>
                <w:color w:val="auto"/>
              </w:rPr>
            </w:pPr>
            <w:r>
              <w:rPr>
                <w:rFonts w:ascii="Arial" w:cs="Arial" w:eastAsia="Arial" w:hAnsi="Arial"/>
                <w:sz w:val="16"/>
                <w:szCs w:val="16"/>
                <w:color w:val="auto"/>
              </w:rPr>
              <w:t>Dividends and interest payable</w:t>
            </w:r>
          </w:p>
        </w:tc>
        <w:tc>
          <w:tcPr>
            <w:tcW w:w="280" w:type="dxa"/>
            <w:vAlign w:val="bottom"/>
          </w:tcPr>
          <w:p>
            <w:pPr>
              <w:spacing w:after="0"/>
              <w:rPr>
                <w:sz w:val="15"/>
                <w:szCs w:val="15"/>
                <w:color w:val="auto"/>
              </w:rPr>
            </w:pPr>
          </w:p>
        </w:tc>
        <w:tc>
          <w:tcPr>
            <w:tcW w:w="1260" w:type="dxa"/>
            <w:vAlign w:val="bottom"/>
          </w:tcPr>
          <w:p>
            <w:pPr>
              <w:jc w:val="right"/>
              <w:ind w:right="100"/>
              <w:spacing w:after="0" w:line="176" w:lineRule="exact"/>
              <w:rPr>
                <w:sz w:val="20"/>
                <w:szCs w:val="20"/>
                <w:color w:val="auto"/>
              </w:rPr>
            </w:pPr>
            <w:r>
              <w:rPr>
                <w:rFonts w:ascii="Arial" w:cs="Arial" w:eastAsia="Arial" w:hAnsi="Arial"/>
                <w:sz w:val="16"/>
                <w:szCs w:val="16"/>
                <w:color w:val="auto"/>
              </w:rPr>
              <w:t>217</w:t>
            </w:r>
          </w:p>
        </w:tc>
        <w:tc>
          <w:tcPr>
            <w:tcW w:w="300" w:type="dxa"/>
            <w:vAlign w:val="bottom"/>
          </w:tcPr>
          <w:p>
            <w:pPr>
              <w:spacing w:after="0"/>
              <w:rPr>
                <w:sz w:val="15"/>
                <w:szCs w:val="15"/>
                <w:color w:val="auto"/>
              </w:rPr>
            </w:pPr>
          </w:p>
        </w:tc>
        <w:tc>
          <w:tcPr>
            <w:tcW w:w="1000" w:type="dxa"/>
            <w:vAlign w:val="bottom"/>
          </w:tcPr>
          <w:p>
            <w:pPr>
              <w:jc w:val="right"/>
              <w:spacing w:after="0" w:line="176" w:lineRule="exact"/>
              <w:rPr>
                <w:sz w:val="20"/>
                <w:szCs w:val="20"/>
                <w:color w:val="auto"/>
              </w:rPr>
            </w:pPr>
            <w:r>
              <w:rPr>
                <w:rFonts w:ascii="Arial" w:cs="Arial" w:eastAsia="Arial" w:hAnsi="Arial"/>
                <w:sz w:val="16"/>
                <w:szCs w:val="16"/>
                <w:color w:val="auto"/>
              </w:rPr>
              <w:t>188</w:t>
            </w:r>
          </w:p>
        </w:tc>
        <w:tc>
          <w:tcPr>
            <w:tcW w:w="0" w:type="dxa"/>
            <w:vAlign w:val="bottom"/>
          </w:tcPr>
          <w:p>
            <w:pPr>
              <w:spacing w:after="0"/>
              <w:rPr>
                <w:sz w:val="1"/>
                <w:szCs w:val="1"/>
                <w:color w:val="auto"/>
              </w:rPr>
            </w:pPr>
          </w:p>
        </w:tc>
      </w:tr>
      <w:tr>
        <w:trPr>
          <w:trHeight w:val="176"/>
        </w:trPr>
        <w:tc>
          <w:tcPr>
            <w:tcW w:w="8580" w:type="dxa"/>
            <w:vAlign w:val="bottom"/>
            <w:gridSpan w:val="2"/>
          </w:tcPr>
          <w:p>
            <w:pPr>
              <w:ind w:left="180"/>
              <w:spacing w:after="0" w:line="176" w:lineRule="exact"/>
              <w:rPr>
                <w:sz w:val="20"/>
                <w:szCs w:val="20"/>
                <w:color w:val="auto"/>
              </w:rPr>
            </w:pPr>
            <w:r>
              <w:rPr>
                <w:rFonts w:ascii="Arial" w:cs="Arial" w:eastAsia="Arial" w:hAnsi="Arial"/>
                <w:sz w:val="16"/>
                <w:szCs w:val="16"/>
                <w:color w:val="auto"/>
              </w:rPr>
              <w:t>Accrued compensation and benefits</w:t>
            </w:r>
          </w:p>
        </w:tc>
        <w:tc>
          <w:tcPr>
            <w:tcW w:w="280" w:type="dxa"/>
            <w:vAlign w:val="bottom"/>
          </w:tcPr>
          <w:p>
            <w:pPr>
              <w:spacing w:after="0"/>
              <w:rPr>
                <w:sz w:val="15"/>
                <w:szCs w:val="15"/>
                <w:color w:val="auto"/>
              </w:rPr>
            </w:pPr>
          </w:p>
        </w:tc>
        <w:tc>
          <w:tcPr>
            <w:tcW w:w="1260" w:type="dxa"/>
            <w:vAlign w:val="bottom"/>
          </w:tcPr>
          <w:p>
            <w:pPr>
              <w:jc w:val="right"/>
              <w:ind w:right="100"/>
              <w:spacing w:after="0" w:line="176" w:lineRule="exact"/>
              <w:rPr>
                <w:sz w:val="20"/>
                <w:szCs w:val="20"/>
                <w:color w:val="auto"/>
              </w:rPr>
            </w:pPr>
            <w:r>
              <w:rPr>
                <w:rFonts w:ascii="Arial" w:cs="Arial" w:eastAsia="Arial" w:hAnsi="Arial"/>
                <w:sz w:val="16"/>
                <w:szCs w:val="16"/>
                <w:color w:val="auto"/>
              </w:rPr>
              <w:t>269</w:t>
            </w:r>
          </w:p>
        </w:tc>
        <w:tc>
          <w:tcPr>
            <w:tcW w:w="300" w:type="dxa"/>
            <w:vAlign w:val="bottom"/>
          </w:tcPr>
          <w:p>
            <w:pPr>
              <w:spacing w:after="0"/>
              <w:rPr>
                <w:sz w:val="15"/>
                <w:szCs w:val="15"/>
                <w:color w:val="auto"/>
              </w:rPr>
            </w:pPr>
          </w:p>
        </w:tc>
        <w:tc>
          <w:tcPr>
            <w:tcW w:w="1000" w:type="dxa"/>
            <w:vAlign w:val="bottom"/>
          </w:tcPr>
          <w:p>
            <w:pPr>
              <w:jc w:val="right"/>
              <w:spacing w:after="0" w:line="176" w:lineRule="exact"/>
              <w:rPr>
                <w:sz w:val="20"/>
                <w:szCs w:val="20"/>
                <w:color w:val="auto"/>
              </w:rPr>
            </w:pPr>
            <w:r>
              <w:rPr>
                <w:rFonts w:ascii="Arial" w:cs="Arial" w:eastAsia="Arial" w:hAnsi="Arial"/>
                <w:sz w:val="16"/>
                <w:szCs w:val="16"/>
                <w:color w:val="auto"/>
              </w:rPr>
              <w:t>311</w:t>
            </w:r>
          </w:p>
        </w:tc>
        <w:tc>
          <w:tcPr>
            <w:tcW w:w="0" w:type="dxa"/>
            <w:vAlign w:val="bottom"/>
          </w:tcPr>
          <w:p>
            <w:pPr>
              <w:spacing w:after="0"/>
              <w:rPr>
                <w:sz w:val="1"/>
                <w:szCs w:val="1"/>
                <w:color w:val="auto"/>
              </w:rPr>
            </w:pPr>
          </w:p>
        </w:tc>
      </w:tr>
      <w:tr>
        <w:trPr>
          <w:trHeight w:val="176"/>
        </w:trPr>
        <w:tc>
          <w:tcPr>
            <w:tcW w:w="180" w:type="dxa"/>
            <w:vAlign w:val="bottom"/>
          </w:tcPr>
          <w:p>
            <w:pPr>
              <w:spacing w:after="0"/>
              <w:rPr>
                <w:sz w:val="15"/>
                <w:szCs w:val="15"/>
                <w:color w:val="auto"/>
              </w:rPr>
            </w:pPr>
          </w:p>
        </w:tc>
        <w:tc>
          <w:tcPr>
            <w:tcW w:w="8400" w:type="dxa"/>
            <w:vAlign w:val="bottom"/>
          </w:tcPr>
          <w:p>
            <w:pPr>
              <w:spacing w:after="0" w:line="176" w:lineRule="exact"/>
              <w:rPr>
                <w:sz w:val="20"/>
                <w:szCs w:val="20"/>
                <w:color w:val="auto"/>
              </w:rPr>
            </w:pPr>
            <w:r>
              <w:rPr>
                <w:rFonts w:ascii="Arial" w:cs="Arial" w:eastAsia="Arial" w:hAnsi="Arial"/>
                <w:sz w:val="16"/>
                <w:szCs w:val="16"/>
                <w:color w:val="auto"/>
              </w:rPr>
              <w:t>Regulatory balancing accounts, net</w:t>
            </w:r>
          </w:p>
        </w:tc>
        <w:tc>
          <w:tcPr>
            <w:tcW w:w="280" w:type="dxa"/>
            <w:vAlign w:val="bottom"/>
          </w:tcPr>
          <w:p>
            <w:pPr>
              <w:spacing w:after="0"/>
              <w:rPr>
                <w:sz w:val="15"/>
                <w:szCs w:val="15"/>
                <w:color w:val="auto"/>
              </w:rPr>
            </w:pPr>
          </w:p>
        </w:tc>
        <w:tc>
          <w:tcPr>
            <w:tcW w:w="1260" w:type="dxa"/>
            <w:vAlign w:val="bottom"/>
          </w:tcPr>
          <w:p>
            <w:pPr>
              <w:jc w:val="right"/>
              <w:ind w:right="100"/>
              <w:spacing w:after="0" w:line="176" w:lineRule="exact"/>
              <w:rPr>
                <w:sz w:val="20"/>
                <w:szCs w:val="20"/>
                <w:color w:val="auto"/>
              </w:rPr>
            </w:pPr>
            <w:r>
              <w:rPr>
                <w:rFonts w:ascii="Arial" w:cs="Arial" w:eastAsia="Arial" w:hAnsi="Arial"/>
                <w:sz w:val="16"/>
                <w:szCs w:val="16"/>
                <w:color w:val="auto"/>
              </w:rPr>
              <w:t>277</w:t>
            </w:r>
          </w:p>
        </w:tc>
        <w:tc>
          <w:tcPr>
            <w:tcW w:w="300" w:type="dxa"/>
            <w:vAlign w:val="bottom"/>
          </w:tcPr>
          <w:p>
            <w:pPr>
              <w:spacing w:after="0"/>
              <w:rPr>
                <w:sz w:val="15"/>
                <w:szCs w:val="15"/>
                <w:color w:val="auto"/>
              </w:rPr>
            </w:pPr>
          </w:p>
        </w:tc>
        <w:tc>
          <w:tcPr>
            <w:tcW w:w="1000" w:type="dxa"/>
            <w:vAlign w:val="bottom"/>
          </w:tcPr>
          <w:p>
            <w:pPr>
              <w:jc w:val="right"/>
              <w:spacing w:after="0" w:line="176" w:lineRule="exact"/>
              <w:rPr>
                <w:sz w:val="20"/>
                <w:szCs w:val="20"/>
                <w:color w:val="auto"/>
              </w:rPr>
            </w:pPr>
            <w:r>
              <w:rPr>
                <w:rFonts w:ascii="Arial" w:cs="Arial" w:eastAsia="Arial" w:hAnsi="Arial"/>
                <w:sz w:val="16"/>
                <w:szCs w:val="16"/>
                <w:color w:val="auto"/>
              </w:rPr>
              <w:t>241</w:t>
            </w:r>
          </w:p>
        </w:tc>
        <w:tc>
          <w:tcPr>
            <w:tcW w:w="0" w:type="dxa"/>
            <w:vAlign w:val="bottom"/>
          </w:tcPr>
          <w:p>
            <w:pPr>
              <w:spacing w:after="0"/>
              <w:rPr>
                <w:sz w:val="1"/>
                <w:szCs w:val="1"/>
                <w:color w:val="auto"/>
              </w:rPr>
            </w:pPr>
          </w:p>
        </w:tc>
      </w:tr>
      <w:tr>
        <w:trPr>
          <w:trHeight w:val="176"/>
        </w:trPr>
        <w:tc>
          <w:tcPr>
            <w:tcW w:w="180" w:type="dxa"/>
            <w:vAlign w:val="bottom"/>
          </w:tcPr>
          <w:p>
            <w:pPr>
              <w:spacing w:after="0"/>
              <w:rPr>
                <w:sz w:val="15"/>
                <w:szCs w:val="15"/>
                <w:color w:val="auto"/>
              </w:rPr>
            </w:pPr>
          </w:p>
        </w:tc>
        <w:tc>
          <w:tcPr>
            <w:tcW w:w="8400" w:type="dxa"/>
            <w:vAlign w:val="bottom"/>
          </w:tcPr>
          <w:p>
            <w:pPr>
              <w:spacing w:after="0" w:line="176" w:lineRule="exact"/>
              <w:rPr>
                <w:sz w:val="20"/>
                <w:szCs w:val="20"/>
                <w:color w:val="auto"/>
              </w:rPr>
            </w:pPr>
            <w:r>
              <w:rPr>
                <w:rFonts w:ascii="Arial" w:cs="Arial" w:eastAsia="Arial" w:hAnsi="Arial"/>
                <w:sz w:val="16"/>
                <w:szCs w:val="16"/>
                <w:color w:val="auto"/>
              </w:rPr>
              <w:t>Current portion of long-term debt</w:t>
            </w:r>
          </w:p>
        </w:tc>
        <w:tc>
          <w:tcPr>
            <w:tcW w:w="280" w:type="dxa"/>
            <w:vAlign w:val="bottom"/>
          </w:tcPr>
          <w:p>
            <w:pPr>
              <w:spacing w:after="0"/>
              <w:rPr>
                <w:sz w:val="15"/>
                <w:szCs w:val="15"/>
                <w:color w:val="auto"/>
              </w:rPr>
            </w:pPr>
          </w:p>
        </w:tc>
        <w:tc>
          <w:tcPr>
            <w:tcW w:w="1260" w:type="dxa"/>
            <w:vAlign w:val="bottom"/>
          </w:tcPr>
          <w:p>
            <w:pPr>
              <w:jc w:val="right"/>
              <w:ind w:right="100"/>
              <w:spacing w:after="0" w:line="176" w:lineRule="exact"/>
              <w:rPr>
                <w:sz w:val="20"/>
                <w:szCs w:val="20"/>
                <w:color w:val="auto"/>
              </w:rPr>
            </w:pPr>
            <w:r>
              <w:rPr>
                <w:rFonts w:ascii="Arial" w:cs="Arial" w:eastAsia="Arial" w:hAnsi="Arial"/>
                <w:sz w:val="16"/>
                <w:szCs w:val="16"/>
                <w:color w:val="auto"/>
              </w:rPr>
              <w:t>144</w:t>
            </w:r>
          </w:p>
        </w:tc>
        <w:tc>
          <w:tcPr>
            <w:tcW w:w="300" w:type="dxa"/>
            <w:vAlign w:val="bottom"/>
          </w:tcPr>
          <w:p>
            <w:pPr>
              <w:spacing w:after="0"/>
              <w:rPr>
                <w:sz w:val="15"/>
                <w:szCs w:val="15"/>
                <w:color w:val="auto"/>
              </w:rPr>
            </w:pPr>
          </w:p>
        </w:tc>
        <w:tc>
          <w:tcPr>
            <w:tcW w:w="1000" w:type="dxa"/>
            <w:vAlign w:val="bottom"/>
          </w:tcPr>
          <w:p>
            <w:pPr>
              <w:jc w:val="right"/>
              <w:spacing w:after="0" w:line="176" w:lineRule="exact"/>
              <w:rPr>
                <w:sz w:val="20"/>
                <w:szCs w:val="20"/>
                <w:color w:val="auto"/>
              </w:rPr>
            </w:pPr>
            <w:r>
              <w:rPr>
                <w:rFonts w:ascii="Arial" w:cs="Arial" w:eastAsia="Arial" w:hAnsi="Arial"/>
                <w:sz w:val="16"/>
                <w:szCs w:val="16"/>
                <w:color w:val="auto"/>
              </w:rPr>
              <w:t>349</w:t>
            </w:r>
          </w:p>
        </w:tc>
        <w:tc>
          <w:tcPr>
            <w:tcW w:w="0" w:type="dxa"/>
            <w:vAlign w:val="bottom"/>
          </w:tcPr>
          <w:p>
            <w:pPr>
              <w:spacing w:after="0"/>
              <w:rPr>
                <w:sz w:val="1"/>
                <w:szCs w:val="1"/>
                <w:color w:val="auto"/>
              </w:rPr>
            </w:pPr>
          </w:p>
        </w:tc>
      </w:tr>
      <w:tr>
        <w:trPr>
          <w:trHeight w:val="176"/>
        </w:trPr>
        <w:tc>
          <w:tcPr>
            <w:tcW w:w="180" w:type="dxa"/>
            <w:vAlign w:val="bottom"/>
          </w:tcPr>
          <w:p>
            <w:pPr>
              <w:spacing w:after="0"/>
              <w:rPr>
                <w:sz w:val="15"/>
                <w:szCs w:val="15"/>
                <w:color w:val="auto"/>
              </w:rPr>
            </w:pPr>
          </w:p>
        </w:tc>
        <w:tc>
          <w:tcPr>
            <w:tcW w:w="8400" w:type="dxa"/>
            <w:vAlign w:val="bottom"/>
          </w:tcPr>
          <w:p>
            <w:pPr>
              <w:spacing w:after="0" w:line="176" w:lineRule="exact"/>
              <w:rPr>
                <w:sz w:val="20"/>
                <w:szCs w:val="20"/>
                <w:color w:val="auto"/>
              </w:rPr>
            </w:pPr>
            <w:r>
              <w:rPr>
                <w:rFonts w:ascii="Arial" w:cs="Arial" w:eastAsia="Arial" w:hAnsi="Arial"/>
                <w:sz w:val="16"/>
                <w:szCs w:val="16"/>
                <w:color w:val="auto"/>
              </w:rPr>
              <w:t>Fixed-price contracts and other derivatives</w:t>
            </w:r>
          </w:p>
        </w:tc>
        <w:tc>
          <w:tcPr>
            <w:tcW w:w="280" w:type="dxa"/>
            <w:vAlign w:val="bottom"/>
          </w:tcPr>
          <w:p>
            <w:pPr>
              <w:spacing w:after="0"/>
              <w:rPr>
                <w:sz w:val="15"/>
                <w:szCs w:val="15"/>
                <w:color w:val="auto"/>
              </w:rPr>
            </w:pPr>
          </w:p>
        </w:tc>
        <w:tc>
          <w:tcPr>
            <w:tcW w:w="1260" w:type="dxa"/>
            <w:vAlign w:val="bottom"/>
          </w:tcPr>
          <w:p>
            <w:pPr>
              <w:jc w:val="right"/>
              <w:ind w:right="100"/>
              <w:spacing w:after="0" w:line="176" w:lineRule="exact"/>
              <w:rPr>
                <w:sz w:val="20"/>
                <w:szCs w:val="20"/>
                <w:color w:val="auto"/>
              </w:rPr>
            </w:pPr>
            <w:r>
              <w:rPr>
                <w:rFonts w:ascii="Arial" w:cs="Arial" w:eastAsia="Arial" w:hAnsi="Arial"/>
                <w:sz w:val="16"/>
                <w:szCs w:val="16"/>
                <w:color w:val="auto"/>
              </w:rPr>
              <w:t>85</w:t>
            </w:r>
          </w:p>
        </w:tc>
        <w:tc>
          <w:tcPr>
            <w:tcW w:w="300" w:type="dxa"/>
            <w:vAlign w:val="bottom"/>
          </w:tcPr>
          <w:p>
            <w:pPr>
              <w:spacing w:after="0"/>
              <w:rPr>
                <w:sz w:val="15"/>
                <w:szCs w:val="15"/>
                <w:color w:val="auto"/>
              </w:rPr>
            </w:pPr>
          </w:p>
        </w:tc>
        <w:tc>
          <w:tcPr>
            <w:tcW w:w="1000" w:type="dxa"/>
            <w:vAlign w:val="bottom"/>
          </w:tcPr>
          <w:p>
            <w:pPr>
              <w:jc w:val="right"/>
              <w:spacing w:after="0" w:line="176" w:lineRule="exact"/>
              <w:rPr>
                <w:sz w:val="20"/>
                <w:szCs w:val="20"/>
                <w:color w:val="auto"/>
              </w:rPr>
            </w:pPr>
            <w:r>
              <w:rPr>
                <w:rFonts w:ascii="Arial" w:cs="Arial" w:eastAsia="Arial" w:hAnsi="Arial"/>
                <w:sz w:val="16"/>
                <w:szCs w:val="16"/>
                <w:color w:val="auto"/>
              </w:rPr>
              <w:t>106</w:t>
            </w:r>
          </w:p>
        </w:tc>
        <w:tc>
          <w:tcPr>
            <w:tcW w:w="0" w:type="dxa"/>
            <w:vAlign w:val="bottom"/>
          </w:tcPr>
          <w:p>
            <w:pPr>
              <w:spacing w:after="0"/>
              <w:rPr>
                <w:sz w:val="1"/>
                <w:szCs w:val="1"/>
                <w:color w:val="auto"/>
              </w:rPr>
            </w:pPr>
          </w:p>
        </w:tc>
      </w:tr>
      <w:tr>
        <w:trPr>
          <w:trHeight w:val="176"/>
        </w:trPr>
        <w:tc>
          <w:tcPr>
            <w:tcW w:w="180" w:type="dxa"/>
            <w:vAlign w:val="bottom"/>
          </w:tcPr>
          <w:p>
            <w:pPr>
              <w:spacing w:after="0"/>
              <w:rPr>
                <w:sz w:val="15"/>
                <w:szCs w:val="15"/>
                <w:color w:val="auto"/>
              </w:rPr>
            </w:pPr>
          </w:p>
        </w:tc>
        <w:tc>
          <w:tcPr>
            <w:tcW w:w="8400" w:type="dxa"/>
            <w:vAlign w:val="bottom"/>
          </w:tcPr>
          <w:p>
            <w:pPr>
              <w:spacing w:after="0" w:line="176" w:lineRule="exact"/>
              <w:rPr>
                <w:sz w:val="20"/>
                <w:szCs w:val="20"/>
                <w:color w:val="auto"/>
              </w:rPr>
            </w:pPr>
            <w:r>
              <w:rPr>
                <w:rFonts w:ascii="Arial" w:cs="Arial" w:eastAsia="Arial" w:hAnsi="Arial"/>
                <w:sz w:val="16"/>
                <w:szCs w:val="16"/>
                <w:color w:val="auto"/>
              </w:rPr>
              <w:t>Customer deposits</w:t>
            </w:r>
          </w:p>
        </w:tc>
        <w:tc>
          <w:tcPr>
            <w:tcW w:w="280" w:type="dxa"/>
            <w:vAlign w:val="bottom"/>
          </w:tcPr>
          <w:p>
            <w:pPr>
              <w:spacing w:after="0"/>
              <w:rPr>
                <w:sz w:val="15"/>
                <w:szCs w:val="15"/>
                <w:color w:val="auto"/>
              </w:rPr>
            </w:pPr>
          </w:p>
        </w:tc>
        <w:tc>
          <w:tcPr>
            <w:tcW w:w="1260" w:type="dxa"/>
            <w:vAlign w:val="bottom"/>
          </w:tcPr>
          <w:p>
            <w:pPr>
              <w:jc w:val="right"/>
              <w:ind w:right="100"/>
              <w:spacing w:after="0" w:line="176" w:lineRule="exact"/>
              <w:rPr>
                <w:sz w:val="20"/>
                <w:szCs w:val="20"/>
                <w:color w:val="auto"/>
              </w:rPr>
            </w:pPr>
            <w:r>
              <w:rPr>
                <w:rFonts w:ascii="Arial" w:cs="Arial" w:eastAsia="Arial" w:hAnsi="Arial"/>
                <w:sz w:val="16"/>
                <w:szCs w:val="16"/>
                <w:color w:val="auto"/>
              </w:rPr>
              <w:t>135</w:t>
            </w:r>
          </w:p>
        </w:tc>
        <w:tc>
          <w:tcPr>
            <w:tcW w:w="300" w:type="dxa"/>
            <w:vAlign w:val="bottom"/>
          </w:tcPr>
          <w:p>
            <w:pPr>
              <w:spacing w:after="0"/>
              <w:rPr>
                <w:sz w:val="15"/>
                <w:szCs w:val="15"/>
                <w:color w:val="auto"/>
              </w:rPr>
            </w:pPr>
          </w:p>
        </w:tc>
        <w:tc>
          <w:tcPr>
            <w:tcW w:w="1000" w:type="dxa"/>
            <w:vAlign w:val="bottom"/>
          </w:tcPr>
          <w:p>
            <w:pPr>
              <w:jc w:val="right"/>
              <w:spacing w:after="0" w:line="176" w:lineRule="exact"/>
              <w:rPr>
                <w:sz w:val="20"/>
                <w:szCs w:val="20"/>
                <w:color w:val="auto"/>
              </w:rPr>
            </w:pPr>
            <w:r>
              <w:rPr>
                <w:rFonts w:ascii="Arial" w:cs="Arial" w:eastAsia="Arial" w:hAnsi="Arial"/>
                <w:sz w:val="16"/>
                <w:szCs w:val="16"/>
                <w:color w:val="auto"/>
              </w:rPr>
              <w:t>129</w:t>
            </w:r>
          </w:p>
        </w:tc>
        <w:tc>
          <w:tcPr>
            <w:tcW w:w="0" w:type="dxa"/>
            <w:vAlign w:val="bottom"/>
          </w:tcPr>
          <w:p>
            <w:pPr>
              <w:spacing w:after="0"/>
              <w:rPr>
                <w:sz w:val="1"/>
                <w:szCs w:val="1"/>
                <w:color w:val="auto"/>
              </w:rPr>
            </w:pPr>
          </w:p>
        </w:tc>
      </w:tr>
      <w:tr>
        <w:trPr>
          <w:trHeight w:val="176"/>
        </w:trPr>
        <w:tc>
          <w:tcPr>
            <w:tcW w:w="180" w:type="dxa"/>
            <w:vAlign w:val="bottom"/>
          </w:tcPr>
          <w:p>
            <w:pPr>
              <w:spacing w:after="0"/>
              <w:rPr>
                <w:sz w:val="15"/>
                <w:szCs w:val="15"/>
                <w:color w:val="auto"/>
              </w:rPr>
            </w:pPr>
          </w:p>
        </w:tc>
        <w:tc>
          <w:tcPr>
            <w:tcW w:w="8400" w:type="dxa"/>
            <w:vAlign w:val="bottom"/>
          </w:tcPr>
          <w:p>
            <w:pPr>
              <w:spacing w:after="0" w:line="176" w:lineRule="exact"/>
              <w:rPr>
                <w:sz w:val="20"/>
                <w:szCs w:val="20"/>
                <w:color w:val="auto"/>
              </w:rPr>
            </w:pPr>
            <w:r>
              <w:rPr>
                <w:rFonts w:ascii="Arial" w:cs="Arial" w:eastAsia="Arial" w:hAnsi="Arial"/>
                <w:sz w:val="16"/>
                <w:szCs w:val="16"/>
                <w:color w:val="auto"/>
              </w:rPr>
              <w:t>Reserve for wildfire litigation</w:t>
            </w:r>
          </w:p>
        </w:tc>
        <w:tc>
          <w:tcPr>
            <w:tcW w:w="280" w:type="dxa"/>
            <w:vAlign w:val="bottom"/>
          </w:tcPr>
          <w:p>
            <w:pPr>
              <w:spacing w:after="0"/>
              <w:rPr>
                <w:sz w:val="15"/>
                <w:szCs w:val="15"/>
                <w:color w:val="auto"/>
              </w:rPr>
            </w:pPr>
          </w:p>
        </w:tc>
        <w:tc>
          <w:tcPr>
            <w:tcW w:w="1260" w:type="dxa"/>
            <w:vAlign w:val="bottom"/>
          </w:tcPr>
          <w:p>
            <w:pPr>
              <w:jc w:val="right"/>
              <w:ind w:right="100"/>
              <w:spacing w:after="0" w:line="176" w:lineRule="exact"/>
              <w:rPr>
                <w:sz w:val="20"/>
                <w:szCs w:val="20"/>
                <w:color w:val="auto"/>
              </w:rPr>
            </w:pPr>
            <w:r>
              <w:rPr>
                <w:rFonts w:ascii="Arial" w:cs="Arial" w:eastAsia="Arial" w:hAnsi="Arial"/>
                <w:sz w:val="16"/>
                <w:szCs w:val="16"/>
                <w:color w:val="auto"/>
              </w:rPr>
              <w:t>422</w:t>
            </w:r>
          </w:p>
        </w:tc>
        <w:tc>
          <w:tcPr>
            <w:tcW w:w="300" w:type="dxa"/>
            <w:vAlign w:val="bottom"/>
          </w:tcPr>
          <w:p>
            <w:pPr>
              <w:spacing w:after="0"/>
              <w:rPr>
                <w:sz w:val="15"/>
                <w:szCs w:val="15"/>
                <w:color w:val="auto"/>
              </w:rPr>
            </w:pPr>
          </w:p>
        </w:tc>
        <w:tc>
          <w:tcPr>
            <w:tcW w:w="1000" w:type="dxa"/>
            <w:vAlign w:val="bottom"/>
          </w:tcPr>
          <w:p>
            <w:pPr>
              <w:jc w:val="right"/>
              <w:spacing w:after="0" w:line="176" w:lineRule="exact"/>
              <w:rPr>
                <w:sz w:val="20"/>
                <w:szCs w:val="20"/>
                <w:color w:val="auto"/>
              </w:rPr>
            </w:pPr>
            <w:r>
              <w:rPr>
                <w:rFonts w:ascii="Arial" w:cs="Arial" w:eastAsia="Arial" w:hAnsi="Arial"/>
                <w:sz w:val="16"/>
                <w:szCs w:val="16"/>
                <w:color w:val="auto"/>
              </w:rPr>
              <w:t>639</w:t>
            </w:r>
          </w:p>
        </w:tc>
        <w:tc>
          <w:tcPr>
            <w:tcW w:w="0" w:type="dxa"/>
            <w:vAlign w:val="bottom"/>
          </w:tcPr>
          <w:p>
            <w:pPr>
              <w:spacing w:after="0"/>
              <w:rPr>
                <w:sz w:val="1"/>
                <w:szCs w:val="1"/>
                <w:color w:val="auto"/>
              </w:rPr>
            </w:pPr>
          </w:p>
        </w:tc>
      </w:tr>
      <w:tr>
        <w:trPr>
          <w:trHeight w:val="194"/>
        </w:trPr>
        <w:tc>
          <w:tcPr>
            <w:tcW w:w="180" w:type="dxa"/>
            <w:vAlign w:val="bottom"/>
          </w:tcPr>
          <w:p>
            <w:pPr>
              <w:spacing w:after="0"/>
              <w:rPr>
                <w:sz w:val="16"/>
                <w:szCs w:val="16"/>
                <w:color w:val="auto"/>
              </w:rPr>
            </w:pPr>
          </w:p>
        </w:tc>
        <w:tc>
          <w:tcPr>
            <w:tcW w:w="8400" w:type="dxa"/>
            <w:vAlign w:val="bottom"/>
          </w:tcPr>
          <w:p>
            <w:pPr>
              <w:spacing w:after="0"/>
              <w:rPr>
                <w:sz w:val="20"/>
                <w:szCs w:val="20"/>
                <w:color w:val="auto"/>
              </w:rPr>
            </w:pPr>
            <w:r>
              <w:rPr>
                <w:rFonts w:ascii="Arial" w:cs="Arial" w:eastAsia="Arial" w:hAnsi="Arial"/>
                <w:sz w:val="16"/>
                <w:szCs w:val="16"/>
                <w:color w:val="auto"/>
              </w:rPr>
              <w:t>Other</w:t>
            </w:r>
          </w:p>
        </w:tc>
        <w:tc>
          <w:tcPr>
            <w:tcW w:w="2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100"/>
              <w:spacing w:after="0"/>
              <w:rPr>
                <w:sz w:val="20"/>
                <w:szCs w:val="20"/>
                <w:color w:val="auto"/>
              </w:rPr>
            </w:pPr>
            <w:r>
              <w:rPr>
                <w:rFonts w:ascii="Arial" w:cs="Arial" w:eastAsia="Arial" w:hAnsi="Arial"/>
                <w:sz w:val="16"/>
                <w:szCs w:val="16"/>
                <w:color w:val="auto"/>
              </w:rPr>
              <w:t>627</w:t>
            </w:r>
          </w:p>
        </w:tc>
        <w:tc>
          <w:tcPr>
            <w:tcW w:w="3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765</w:t>
            </w:r>
          </w:p>
        </w:tc>
        <w:tc>
          <w:tcPr>
            <w:tcW w:w="0" w:type="dxa"/>
            <w:vAlign w:val="bottom"/>
          </w:tcPr>
          <w:p>
            <w:pPr>
              <w:spacing w:after="0"/>
              <w:rPr>
                <w:sz w:val="1"/>
                <w:szCs w:val="1"/>
                <w:color w:val="auto"/>
              </w:rPr>
            </w:pPr>
          </w:p>
        </w:tc>
      </w:tr>
      <w:tr>
        <w:trPr>
          <w:trHeight w:val="183"/>
        </w:trPr>
        <w:tc>
          <w:tcPr>
            <w:tcW w:w="180" w:type="dxa"/>
            <w:vAlign w:val="bottom"/>
          </w:tcPr>
          <w:p>
            <w:pPr>
              <w:spacing w:after="0"/>
              <w:rPr>
                <w:sz w:val="15"/>
                <w:szCs w:val="15"/>
                <w:color w:val="auto"/>
              </w:rPr>
            </w:pPr>
          </w:p>
        </w:tc>
        <w:tc>
          <w:tcPr>
            <w:tcW w:w="8400" w:type="dxa"/>
            <w:vAlign w:val="bottom"/>
          </w:tcPr>
          <w:p>
            <w:pPr>
              <w:ind w:left="180"/>
              <w:spacing w:after="0" w:line="176" w:lineRule="exact"/>
              <w:rPr>
                <w:sz w:val="20"/>
                <w:szCs w:val="20"/>
                <w:color w:val="auto"/>
              </w:rPr>
            </w:pPr>
            <w:r>
              <w:rPr>
                <w:rFonts w:ascii="Arial" w:cs="Arial" w:eastAsia="Arial" w:hAnsi="Arial"/>
                <w:sz w:val="16"/>
                <w:szCs w:val="16"/>
                <w:color w:val="auto"/>
              </w:rPr>
              <w:t>Total current liabilities</w:t>
            </w:r>
          </w:p>
        </w:tc>
        <w:tc>
          <w:tcPr>
            <w:tcW w:w="28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ind w:right="100"/>
              <w:spacing w:after="0" w:line="176" w:lineRule="exact"/>
              <w:rPr>
                <w:sz w:val="20"/>
                <w:szCs w:val="20"/>
                <w:color w:val="auto"/>
              </w:rPr>
            </w:pPr>
            <w:r>
              <w:rPr>
                <w:rFonts w:ascii="Arial" w:cs="Arial" w:eastAsia="Arial" w:hAnsi="Arial"/>
                <w:sz w:val="16"/>
                <w:szCs w:val="16"/>
                <w:color w:val="auto"/>
              </w:rPr>
              <w:t>3,575</w:t>
            </w:r>
          </w:p>
        </w:tc>
        <w:tc>
          <w:tcPr>
            <w:tcW w:w="3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6"/>
                <w:szCs w:val="16"/>
                <w:color w:val="auto"/>
              </w:rPr>
              <w:t>3,786</w:t>
            </w:r>
          </w:p>
        </w:tc>
        <w:tc>
          <w:tcPr>
            <w:tcW w:w="0" w:type="dxa"/>
            <w:vAlign w:val="bottom"/>
          </w:tcPr>
          <w:p>
            <w:pPr>
              <w:spacing w:after="0"/>
              <w:rPr>
                <w:sz w:val="1"/>
                <w:szCs w:val="1"/>
                <w:color w:val="auto"/>
              </w:rPr>
            </w:pPr>
          </w:p>
        </w:tc>
      </w:tr>
      <w:tr>
        <w:trPr>
          <w:trHeight w:val="164"/>
        </w:trPr>
        <w:tc>
          <w:tcPr>
            <w:tcW w:w="8580" w:type="dxa"/>
            <w:vAlign w:val="bottom"/>
            <w:gridSpan w:val="2"/>
          </w:tcPr>
          <w:p>
            <w:pPr>
              <w:spacing w:after="0" w:line="164" w:lineRule="exact"/>
              <w:rPr>
                <w:sz w:val="20"/>
                <w:szCs w:val="20"/>
                <w:color w:val="auto"/>
              </w:rPr>
            </w:pPr>
            <w:r>
              <w:rPr>
                <w:rFonts w:ascii="Arial" w:cs="Arial" w:eastAsia="Arial" w:hAnsi="Arial"/>
                <w:sz w:val="16"/>
                <w:szCs w:val="16"/>
                <w:color w:val="auto"/>
              </w:rPr>
              <w:t>Long-term debt ($350 and $355 at June 30, 2011 and December 31, 2010, respectively,</w:t>
            </w:r>
          </w:p>
        </w:tc>
        <w:tc>
          <w:tcPr>
            <w:tcW w:w="280" w:type="dxa"/>
            <w:vAlign w:val="bottom"/>
          </w:tcPr>
          <w:p>
            <w:pPr>
              <w:spacing w:after="0"/>
              <w:rPr>
                <w:sz w:val="14"/>
                <w:szCs w:val="14"/>
                <w:color w:val="auto"/>
              </w:rPr>
            </w:pPr>
          </w:p>
        </w:tc>
        <w:tc>
          <w:tcPr>
            <w:tcW w:w="1260" w:type="dxa"/>
            <w:vAlign w:val="bottom"/>
            <w:vMerge w:val="restart"/>
          </w:tcPr>
          <w:p>
            <w:pPr>
              <w:jc w:val="right"/>
              <w:ind w:right="100"/>
              <w:spacing w:after="0"/>
              <w:rPr>
                <w:sz w:val="20"/>
                <w:szCs w:val="20"/>
                <w:color w:val="auto"/>
              </w:rPr>
            </w:pPr>
            <w:r>
              <w:rPr>
                <w:rFonts w:ascii="Arial" w:cs="Arial" w:eastAsia="Arial" w:hAnsi="Arial"/>
                <w:sz w:val="16"/>
                <w:szCs w:val="16"/>
                <w:color w:val="auto"/>
              </w:rPr>
              <w:t>9,648</w:t>
            </w:r>
          </w:p>
        </w:tc>
        <w:tc>
          <w:tcPr>
            <w:tcW w:w="300" w:type="dxa"/>
            <w:vAlign w:val="bottom"/>
          </w:tcPr>
          <w:p>
            <w:pPr>
              <w:spacing w:after="0"/>
              <w:rPr>
                <w:sz w:val="14"/>
                <w:szCs w:val="14"/>
                <w:color w:val="auto"/>
              </w:rPr>
            </w:pPr>
          </w:p>
        </w:tc>
        <w:tc>
          <w:tcPr>
            <w:tcW w:w="1000" w:type="dxa"/>
            <w:vAlign w:val="bottom"/>
            <w:vMerge w:val="restart"/>
          </w:tcPr>
          <w:p>
            <w:pPr>
              <w:jc w:val="right"/>
              <w:spacing w:after="0"/>
              <w:rPr>
                <w:sz w:val="20"/>
                <w:szCs w:val="20"/>
                <w:color w:val="auto"/>
              </w:rPr>
            </w:pPr>
            <w:r>
              <w:rPr>
                <w:rFonts w:ascii="Arial" w:cs="Arial" w:eastAsia="Arial" w:hAnsi="Arial"/>
                <w:sz w:val="16"/>
                <w:szCs w:val="16"/>
                <w:color w:val="auto"/>
              </w:rPr>
              <w:t>8,980</w:t>
            </w:r>
          </w:p>
        </w:tc>
        <w:tc>
          <w:tcPr>
            <w:tcW w:w="0" w:type="dxa"/>
            <w:vAlign w:val="bottom"/>
          </w:tcPr>
          <w:p>
            <w:pPr>
              <w:spacing w:after="0"/>
              <w:rPr>
                <w:sz w:val="1"/>
                <w:szCs w:val="1"/>
                <w:color w:val="auto"/>
              </w:rPr>
            </w:pPr>
          </w:p>
        </w:tc>
      </w:tr>
      <w:tr>
        <w:trPr>
          <w:trHeight w:val="167"/>
        </w:trPr>
        <w:tc>
          <w:tcPr>
            <w:tcW w:w="180" w:type="dxa"/>
            <w:vAlign w:val="bottom"/>
          </w:tcPr>
          <w:p>
            <w:pPr>
              <w:spacing w:after="0"/>
              <w:rPr>
                <w:sz w:val="14"/>
                <w:szCs w:val="14"/>
                <w:color w:val="auto"/>
              </w:rPr>
            </w:pPr>
          </w:p>
        </w:tc>
        <w:tc>
          <w:tcPr>
            <w:tcW w:w="8400" w:type="dxa"/>
            <w:vAlign w:val="bottom"/>
          </w:tcPr>
          <w:p>
            <w:pPr>
              <w:ind w:left="180"/>
              <w:spacing w:after="0" w:line="160" w:lineRule="exact"/>
              <w:rPr>
                <w:sz w:val="20"/>
                <w:szCs w:val="20"/>
                <w:color w:val="auto"/>
              </w:rPr>
            </w:pPr>
            <w:r>
              <w:rPr>
                <w:rFonts w:ascii="Arial" w:cs="Arial" w:eastAsia="Arial" w:hAnsi="Arial"/>
                <w:sz w:val="16"/>
                <w:szCs w:val="16"/>
                <w:color w:val="auto"/>
              </w:rPr>
              <w:t>related to VIE)</w:t>
            </w:r>
          </w:p>
        </w:tc>
        <w:tc>
          <w:tcPr>
            <w:tcW w:w="28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vMerge w:val="continue"/>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367"/>
        </w:trPr>
        <w:tc>
          <w:tcPr>
            <w:tcW w:w="8580" w:type="dxa"/>
            <w:vAlign w:val="bottom"/>
            <w:gridSpan w:val="2"/>
          </w:tcPr>
          <w:p>
            <w:pPr>
              <w:spacing w:after="0"/>
              <w:rPr>
                <w:sz w:val="20"/>
                <w:szCs w:val="20"/>
                <w:color w:val="auto"/>
              </w:rPr>
            </w:pPr>
            <w:r>
              <w:rPr>
                <w:rFonts w:ascii="Arial" w:cs="Arial" w:eastAsia="Arial" w:hAnsi="Arial"/>
                <w:sz w:val="16"/>
                <w:szCs w:val="16"/>
                <w:color w:val="auto"/>
              </w:rPr>
              <w:t>Deferred credits and other liabilities:</w:t>
            </w:r>
          </w:p>
        </w:tc>
        <w:tc>
          <w:tcPr>
            <w:tcW w:w="2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180" w:type="dxa"/>
            <w:vAlign w:val="bottom"/>
          </w:tcPr>
          <w:p>
            <w:pPr>
              <w:spacing w:after="0"/>
              <w:rPr>
                <w:sz w:val="15"/>
                <w:szCs w:val="15"/>
                <w:color w:val="auto"/>
              </w:rPr>
            </w:pPr>
          </w:p>
        </w:tc>
        <w:tc>
          <w:tcPr>
            <w:tcW w:w="8400" w:type="dxa"/>
            <w:vAlign w:val="bottom"/>
          </w:tcPr>
          <w:p>
            <w:pPr>
              <w:spacing w:after="0" w:line="176" w:lineRule="exact"/>
              <w:rPr>
                <w:sz w:val="20"/>
                <w:szCs w:val="20"/>
                <w:color w:val="auto"/>
              </w:rPr>
            </w:pPr>
            <w:r>
              <w:rPr>
                <w:rFonts w:ascii="Arial" w:cs="Arial" w:eastAsia="Arial" w:hAnsi="Arial"/>
                <w:sz w:val="16"/>
                <w:szCs w:val="16"/>
                <w:color w:val="auto"/>
              </w:rPr>
              <w:t>Customer advances for construction</w:t>
            </w:r>
          </w:p>
        </w:tc>
        <w:tc>
          <w:tcPr>
            <w:tcW w:w="280" w:type="dxa"/>
            <w:vAlign w:val="bottom"/>
          </w:tcPr>
          <w:p>
            <w:pPr>
              <w:spacing w:after="0"/>
              <w:rPr>
                <w:sz w:val="15"/>
                <w:szCs w:val="15"/>
                <w:color w:val="auto"/>
              </w:rPr>
            </w:pPr>
          </w:p>
        </w:tc>
        <w:tc>
          <w:tcPr>
            <w:tcW w:w="1260" w:type="dxa"/>
            <w:vAlign w:val="bottom"/>
          </w:tcPr>
          <w:p>
            <w:pPr>
              <w:jc w:val="right"/>
              <w:ind w:right="100"/>
              <w:spacing w:after="0" w:line="176" w:lineRule="exact"/>
              <w:rPr>
                <w:sz w:val="20"/>
                <w:szCs w:val="20"/>
                <w:color w:val="auto"/>
              </w:rPr>
            </w:pPr>
            <w:r>
              <w:rPr>
                <w:rFonts w:ascii="Arial" w:cs="Arial" w:eastAsia="Arial" w:hAnsi="Arial"/>
                <w:sz w:val="16"/>
                <w:szCs w:val="16"/>
                <w:color w:val="auto"/>
              </w:rPr>
              <w:t>139</w:t>
            </w:r>
          </w:p>
        </w:tc>
        <w:tc>
          <w:tcPr>
            <w:tcW w:w="300" w:type="dxa"/>
            <w:vAlign w:val="bottom"/>
          </w:tcPr>
          <w:p>
            <w:pPr>
              <w:spacing w:after="0"/>
              <w:rPr>
                <w:sz w:val="15"/>
                <w:szCs w:val="15"/>
                <w:color w:val="auto"/>
              </w:rPr>
            </w:pPr>
          </w:p>
        </w:tc>
        <w:tc>
          <w:tcPr>
            <w:tcW w:w="1000" w:type="dxa"/>
            <w:vAlign w:val="bottom"/>
          </w:tcPr>
          <w:p>
            <w:pPr>
              <w:jc w:val="right"/>
              <w:spacing w:after="0" w:line="176" w:lineRule="exact"/>
              <w:rPr>
                <w:sz w:val="20"/>
                <w:szCs w:val="20"/>
                <w:color w:val="auto"/>
              </w:rPr>
            </w:pPr>
            <w:r>
              <w:rPr>
                <w:rFonts w:ascii="Arial" w:cs="Arial" w:eastAsia="Arial" w:hAnsi="Arial"/>
                <w:sz w:val="16"/>
                <w:szCs w:val="16"/>
                <w:color w:val="auto"/>
              </w:rPr>
              <w:t>154</w:t>
            </w:r>
          </w:p>
        </w:tc>
        <w:tc>
          <w:tcPr>
            <w:tcW w:w="0" w:type="dxa"/>
            <w:vAlign w:val="bottom"/>
          </w:tcPr>
          <w:p>
            <w:pPr>
              <w:spacing w:after="0"/>
              <w:rPr>
                <w:sz w:val="1"/>
                <w:szCs w:val="1"/>
                <w:color w:val="auto"/>
              </w:rPr>
            </w:pPr>
          </w:p>
        </w:tc>
      </w:tr>
      <w:tr>
        <w:trPr>
          <w:trHeight w:val="176"/>
        </w:trPr>
        <w:tc>
          <w:tcPr>
            <w:tcW w:w="180" w:type="dxa"/>
            <w:vAlign w:val="bottom"/>
          </w:tcPr>
          <w:p>
            <w:pPr>
              <w:spacing w:after="0"/>
              <w:rPr>
                <w:sz w:val="15"/>
                <w:szCs w:val="15"/>
                <w:color w:val="auto"/>
              </w:rPr>
            </w:pPr>
          </w:p>
        </w:tc>
        <w:tc>
          <w:tcPr>
            <w:tcW w:w="8400" w:type="dxa"/>
            <w:vAlign w:val="bottom"/>
          </w:tcPr>
          <w:p>
            <w:pPr>
              <w:spacing w:after="0" w:line="176" w:lineRule="exact"/>
              <w:rPr>
                <w:sz w:val="20"/>
                <w:szCs w:val="20"/>
                <w:color w:val="auto"/>
              </w:rPr>
            </w:pPr>
            <w:r>
              <w:rPr>
                <w:rFonts w:ascii="Arial" w:cs="Arial" w:eastAsia="Arial" w:hAnsi="Arial"/>
                <w:sz w:val="16"/>
                <w:szCs w:val="16"/>
                <w:color w:val="auto"/>
              </w:rPr>
              <w:t>Pension and other postretirement benefit obligations, net of plan assets</w:t>
            </w:r>
          </w:p>
        </w:tc>
        <w:tc>
          <w:tcPr>
            <w:tcW w:w="280" w:type="dxa"/>
            <w:vAlign w:val="bottom"/>
          </w:tcPr>
          <w:p>
            <w:pPr>
              <w:spacing w:after="0"/>
              <w:rPr>
                <w:sz w:val="15"/>
                <w:szCs w:val="15"/>
                <w:color w:val="auto"/>
              </w:rPr>
            </w:pPr>
          </w:p>
        </w:tc>
        <w:tc>
          <w:tcPr>
            <w:tcW w:w="1260" w:type="dxa"/>
            <w:vAlign w:val="bottom"/>
          </w:tcPr>
          <w:p>
            <w:pPr>
              <w:jc w:val="right"/>
              <w:ind w:right="100"/>
              <w:spacing w:after="0" w:line="176" w:lineRule="exact"/>
              <w:rPr>
                <w:sz w:val="20"/>
                <w:szCs w:val="20"/>
                <w:color w:val="auto"/>
              </w:rPr>
            </w:pPr>
            <w:r>
              <w:rPr>
                <w:rFonts w:ascii="Arial" w:cs="Arial" w:eastAsia="Arial" w:hAnsi="Arial"/>
                <w:sz w:val="16"/>
                <w:szCs w:val="16"/>
                <w:color w:val="auto"/>
              </w:rPr>
              <w:t>1,106</w:t>
            </w:r>
          </w:p>
        </w:tc>
        <w:tc>
          <w:tcPr>
            <w:tcW w:w="300" w:type="dxa"/>
            <w:vAlign w:val="bottom"/>
          </w:tcPr>
          <w:p>
            <w:pPr>
              <w:spacing w:after="0"/>
              <w:rPr>
                <w:sz w:val="15"/>
                <w:szCs w:val="15"/>
                <w:color w:val="auto"/>
              </w:rPr>
            </w:pPr>
          </w:p>
        </w:tc>
        <w:tc>
          <w:tcPr>
            <w:tcW w:w="1000" w:type="dxa"/>
            <w:vAlign w:val="bottom"/>
          </w:tcPr>
          <w:p>
            <w:pPr>
              <w:jc w:val="right"/>
              <w:spacing w:after="0" w:line="176" w:lineRule="exact"/>
              <w:rPr>
                <w:sz w:val="20"/>
                <w:szCs w:val="20"/>
                <w:color w:val="auto"/>
              </w:rPr>
            </w:pPr>
            <w:r>
              <w:rPr>
                <w:rFonts w:ascii="Arial" w:cs="Arial" w:eastAsia="Arial" w:hAnsi="Arial"/>
                <w:sz w:val="16"/>
                <w:szCs w:val="16"/>
                <w:color w:val="auto"/>
              </w:rPr>
              <w:t>1,105</w:t>
            </w:r>
          </w:p>
        </w:tc>
        <w:tc>
          <w:tcPr>
            <w:tcW w:w="0" w:type="dxa"/>
            <w:vAlign w:val="bottom"/>
          </w:tcPr>
          <w:p>
            <w:pPr>
              <w:spacing w:after="0"/>
              <w:rPr>
                <w:sz w:val="1"/>
                <w:szCs w:val="1"/>
                <w:color w:val="auto"/>
              </w:rPr>
            </w:pPr>
          </w:p>
        </w:tc>
      </w:tr>
      <w:tr>
        <w:trPr>
          <w:trHeight w:val="176"/>
        </w:trPr>
        <w:tc>
          <w:tcPr>
            <w:tcW w:w="180" w:type="dxa"/>
            <w:vAlign w:val="bottom"/>
          </w:tcPr>
          <w:p>
            <w:pPr>
              <w:spacing w:after="0"/>
              <w:rPr>
                <w:sz w:val="15"/>
                <w:szCs w:val="15"/>
                <w:color w:val="auto"/>
              </w:rPr>
            </w:pPr>
          </w:p>
        </w:tc>
        <w:tc>
          <w:tcPr>
            <w:tcW w:w="8400" w:type="dxa"/>
            <w:vAlign w:val="bottom"/>
          </w:tcPr>
          <w:p>
            <w:pPr>
              <w:spacing w:after="0" w:line="176" w:lineRule="exact"/>
              <w:rPr>
                <w:sz w:val="20"/>
                <w:szCs w:val="20"/>
                <w:color w:val="auto"/>
              </w:rPr>
            </w:pPr>
            <w:r>
              <w:rPr>
                <w:rFonts w:ascii="Arial" w:cs="Arial" w:eastAsia="Arial" w:hAnsi="Arial"/>
                <w:sz w:val="16"/>
                <w:szCs w:val="16"/>
                <w:color w:val="auto"/>
              </w:rPr>
              <w:t>Deferred income taxes</w:t>
            </w:r>
          </w:p>
        </w:tc>
        <w:tc>
          <w:tcPr>
            <w:tcW w:w="280" w:type="dxa"/>
            <w:vAlign w:val="bottom"/>
          </w:tcPr>
          <w:p>
            <w:pPr>
              <w:spacing w:after="0"/>
              <w:rPr>
                <w:sz w:val="15"/>
                <w:szCs w:val="15"/>
                <w:color w:val="auto"/>
              </w:rPr>
            </w:pPr>
          </w:p>
        </w:tc>
        <w:tc>
          <w:tcPr>
            <w:tcW w:w="1260" w:type="dxa"/>
            <w:vAlign w:val="bottom"/>
          </w:tcPr>
          <w:p>
            <w:pPr>
              <w:jc w:val="right"/>
              <w:ind w:right="100"/>
              <w:spacing w:after="0" w:line="176" w:lineRule="exact"/>
              <w:rPr>
                <w:sz w:val="20"/>
                <w:szCs w:val="20"/>
                <w:color w:val="auto"/>
              </w:rPr>
            </w:pPr>
            <w:r>
              <w:rPr>
                <w:rFonts w:ascii="Arial" w:cs="Arial" w:eastAsia="Arial" w:hAnsi="Arial"/>
                <w:sz w:val="16"/>
                <w:szCs w:val="16"/>
                <w:color w:val="auto"/>
              </w:rPr>
              <w:t>1,826</w:t>
            </w:r>
          </w:p>
        </w:tc>
        <w:tc>
          <w:tcPr>
            <w:tcW w:w="300" w:type="dxa"/>
            <w:vAlign w:val="bottom"/>
          </w:tcPr>
          <w:p>
            <w:pPr>
              <w:spacing w:after="0"/>
              <w:rPr>
                <w:sz w:val="15"/>
                <w:szCs w:val="15"/>
                <w:color w:val="auto"/>
              </w:rPr>
            </w:pPr>
          </w:p>
        </w:tc>
        <w:tc>
          <w:tcPr>
            <w:tcW w:w="1000" w:type="dxa"/>
            <w:vAlign w:val="bottom"/>
          </w:tcPr>
          <w:p>
            <w:pPr>
              <w:jc w:val="right"/>
              <w:spacing w:after="0" w:line="176" w:lineRule="exact"/>
              <w:rPr>
                <w:sz w:val="20"/>
                <w:szCs w:val="20"/>
                <w:color w:val="auto"/>
              </w:rPr>
            </w:pPr>
            <w:r>
              <w:rPr>
                <w:rFonts w:ascii="Arial" w:cs="Arial" w:eastAsia="Arial" w:hAnsi="Arial"/>
                <w:sz w:val="16"/>
                <w:szCs w:val="16"/>
                <w:color w:val="auto"/>
              </w:rPr>
              <w:t>1,561</w:t>
            </w:r>
          </w:p>
        </w:tc>
        <w:tc>
          <w:tcPr>
            <w:tcW w:w="0" w:type="dxa"/>
            <w:vAlign w:val="bottom"/>
          </w:tcPr>
          <w:p>
            <w:pPr>
              <w:spacing w:after="0"/>
              <w:rPr>
                <w:sz w:val="1"/>
                <w:szCs w:val="1"/>
                <w:color w:val="auto"/>
              </w:rPr>
            </w:pPr>
          </w:p>
        </w:tc>
      </w:tr>
      <w:tr>
        <w:trPr>
          <w:trHeight w:val="176"/>
        </w:trPr>
        <w:tc>
          <w:tcPr>
            <w:tcW w:w="180" w:type="dxa"/>
            <w:vAlign w:val="bottom"/>
          </w:tcPr>
          <w:p>
            <w:pPr>
              <w:spacing w:after="0"/>
              <w:rPr>
                <w:sz w:val="15"/>
                <w:szCs w:val="15"/>
                <w:color w:val="auto"/>
              </w:rPr>
            </w:pPr>
          </w:p>
        </w:tc>
        <w:tc>
          <w:tcPr>
            <w:tcW w:w="8400" w:type="dxa"/>
            <w:vAlign w:val="bottom"/>
          </w:tcPr>
          <w:p>
            <w:pPr>
              <w:spacing w:after="0" w:line="176" w:lineRule="exact"/>
              <w:rPr>
                <w:sz w:val="20"/>
                <w:szCs w:val="20"/>
                <w:color w:val="auto"/>
              </w:rPr>
            </w:pPr>
            <w:r>
              <w:rPr>
                <w:rFonts w:ascii="Arial" w:cs="Arial" w:eastAsia="Arial" w:hAnsi="Arial"/>
                <w:sz w:val="16"/>
                <w:szCs w:val="16"/>
                <w:color w:val="auto"/>
              </w:rPr>
              <w:t>Deferred investment tax credits</w:t>
            </w:r>
          </w:p>
        </w:tc>
        <w:tc>
          <w:tcPr>
            <w:tcW w:w="280" w:type="dxa"/>
            <w:vAlign w:val="bottom"/>
          </w:tcPr>
          <w:p>
            <w:pPr>
              <w:spacing w:after="0"/>
              <w:rPr>
                <w:sz w:val="15"/>
                <w:szCs w:val="15"/>
                <w:color w:val="auto"/>
              </w:rPr>
            </w:pPr>
          </w:p>
        </w:tc>
        <w:tc>
          <w:tcPr>
            <w:tcW w:w="1260" w:type="dxa"/>
            <w:vAlign w:val="bottom"/>
          </w:tcPr>
          <w:p>
            <w:pPr>
              <w:jc w:val="right"/>
              <w:ind w:right="100"/>
              <w:spacing w:after="0" w:line="176" w:lineRule="exact"/>
              <w:rPr>
                <w:sz w:val="20"/>
                <w:szCs w:val="20"/>
                <w:color w:val="auto"/>
              </w:rPr>
            </w:pPr>
            <w:r>
              <w:rPr>
                <w:rFonts w:ascii="Arial" w:cs="Arial" w:eastAsia="Arial" w:hAnsi="Arial"/>
                <w:sz w:val="16"/>
                <w:szCs w:val="16"/>
                <w:color w:val="auto"/>
              </w:rPr>
              <w:t>48</w:t>
            </w:r>
          </w:p>
        </w:tc>
        <w:tc>
          <w:tcPr>
            <w:tcW w:w="300" w:type="dxa"/>
            <w:vAlign w:val="bottom"/>
          </w:tcPr>
          <w:p>
            <w:pPr>
              <w:spacing w:after="0"/>
              <w:rPr>
                <w:sz w:val="15"/>
                <w:szCs w:val="15"/>
                <w:color w:val="auto"/>
              </w:rPr>
            </w:pPr>
          </w:p>
        </w:tc>
        <w:tc>
          <w:tcPr>
            <w:tcW w:w="1000" w:type="dxa"/>
            <w:vAlign w:val="bottom"/>
          </w:tcPr>
          <w:p>
            <w:pPr>
              <w:jc w:val="right"/>
              <w:spacing w:after="0" w:line="176" w:lineRule="exact"/>
              <w:rPr>
                <w:sz w:val="20"/>
                <w:szCs w:val="20"/>
                <w:color w:val="auto"/>
              </w:rPr>
            </w:pPr>
            <w:r>
              <w:rPr>
                <w:rFonts w:ascii="Arial" w:cs="Arial" w:eastAsia="Arial" w:hAnsi="Arial"/>
                <w:sz w:val="16"/>
                <w:szCs w:val="16"/>
                <w:color w:val="auto"/>
              </w:rPr>
              <w:t>50</w:t>
            </w:r>
          </w:p>
        </w:tc>
        <w:tc>
          <w:tcPr>
            <w:tcW w:w="0" w:type="dxa"/>
            <w:vAlign w:val="bottom"/>
          </w:tcPr>
          <w:p>
            <w:pPr>
              <w:spacing w:after="0"/>
              <w:rPr>
                <w:sz w:val="1"/>
                <w:szCs w:val="1"/>
                <w:color w:val="auto"/>
              </w:rPr>
            </w:pPr>
          </w:p>
        </w:tc>
      </w:tr>
      <w:tr>
        <w:trPr>
          <w:trHeight w:val="176"/>
        </w:trPr>
        <w:tc>
          <w:tcPr>
            <w:tcW w:w="180" w:type="dxa"/>
            <w:vAlign w:val="bottom"/>
          </w:tcPr>
          <w:p>
            <w:pPr>
              <w:spacing w:after="0"/>
              <w:rPr>
                <w:sz w:val="15"/>
                <w:szCs w:val="15"/>
                <w:color w:val="auto"/>
              </w:rPr>
            </w:pPr>
          </w:p>
        </w:tc>
        <w:tc>
          <w:tcPr>
            <w:tcW w:w="8400" w:type="dxa"/>
            <w:vAlign w:val="bottom"/>
          </w:tcPr>
          <w:p>
            <w:pPr>
              <w:spacing w:after="0" w:line="176" w:lineRule="exact"/>
              <w:rPr>
                <w:sz w:val="20"/>
                <w:szCs w:val="20"/>
                <w:color w:val="auto"/>
              </w:rPr>
            </w:pPr>
            <w:r>
              <w:rPr>
                <w:rFonts w:ascii="Arial" w:cs="Arial" w:eastAsia="Arial" w:hAnsi="Arial"/>
                <w:sz w:val="16"/>
                <w:szCs w:val="16"/>
                <w:color w:val="auto"/>
              </w:rPr>
              <w:t>Regulatory liabilities arising from removal obligations</w:t>
            </w:r>
          </w:p>
        </w:tc>
        <w:tc>
          <w:tcPr>
            <w:tcW w:w="280" w:type="dxa"/>
            <w:vAlign w:val="bottom"/>
          </w:tcPr>
          <w:p>
            <w:pPr>
              <w:spacing w:after="0"/>
              <w:rPr>
                <w:sz w:val="15"/>
                <w:szCs w:val="15"/>
                <w:color w:val="auto"/>
              </w:rPr>
            </w:pPr>
          </w:p>
        </w:tc>
        <w:tc>
          <w:tcPr>
            <w:tcW w:w="1260" w:type="dxa"/>
            <w:vAlign w:val="bottom"/>
          </w:tcPr>
          <w:p>
            <w:pPr>
              <w:jc w:val="right"/>
              <w:ind w:right="100"/>
              <w:spacing w:after="0" w:line="176" w:lineRule="exact"/>
              <w:rPr>
                <w:sz w:val="20"/>
                <w:szCs w:val="20"/>
                <w:color w:val="auto"/>
              </w:rPr>
            </w:pPr>
            <w:r>
              <w:rPr>
                <w:rFonts w:ascii="Arial" w:cs="Arial" w:eastAsia="Arial" w:hAnsi="Arial"/>
                <w:sz w:val="16"/>
                <w:szCs w:val="16"/>
                <w:color w:val="auto"/>
              </w:rPr>
              <w:t>2,692</w:t>
            </w:r>
          </w:p>
        </w:tc>
        <w:tc>
          <w:tcPr>
            <w:tcW w:w="300" w:type="dxa"/>
            <w:vAlign w:val="bottom"/>
          </w:tcPr>
          <w:p>
            <w:pPr>
              <w:spacing w:after="0"/>
              <w:rPr>
                <w:sz w:val="15"/>
                <w:szCs w:val="15"/>
                <w:color w:val="auto"/>
              </w:rPr>
            </w:pPr>
          </w:p>
        </w:tc>
        <w:tc>
          <w:tcPr>
            <w:tcW w:w="1000" w:type="dxa"/>
            <w:vAlign w:val="bottom"/>
          </w:tcPr>
          <w:p>
            <w:pPr>
              <w:jc w:val="right"/>
              <w:spacing w:after="0" w:line="176" w:lineRule="exact"/>
              <w:rPr>
                <w:sz w:val="20"/>
                <w:szCs w:val="20"/>
                <w:color w:val="auto"/>
              </w:rPr>
            </w:pPr>
            <w:r>
              <w:rPr>
                <w:rFonts w:ascii="Arial" w:cs="Arial" w:eastAsia="Arial" w:hAnsi="Arial"/>
                <w:sz w:val="16"/>
                <w:szCs w:val="16"/>
                <w:color w:val="auto"/>
              </w:rPr>
              <w:t>2,630</w:t>
            </w:r>
          </w:p>
        </w:tc>
        <w:tc>
          <w:tcPr>
            <w:tcW w:w="0" w:type="dxa"/>
            <w:vAlign w:val="bottom"/>
          </w:tcPr>
          <w:p>
            <w:pPr>
              <w:spacing w:after="0"/>
              <w:rPr>
                <w:sz w:val="1"/>
                <w:szCs w:val="1"/>
                <w:color w:val="auto"/>
              </w:rPr>
            </w:pPr>
          </w:p>
        </w:tc>
      </w:tr>
      <w:tr>
        <w:trPr>
          <w:trHeight w:val="176"/>
        </w:trPr>
        <w:tc>
          <w:tcPr>
            <w:tcW w:w="8580" w:type="dxa"/>
            <w:vAlign w:val="bottom"/>
            <w:gridSpan w:val="2"/>
          </w:tcPr>
          <w:p>
            <w:pPr>
              <w:ind w:left="180"/>
              <w:spacing w:after="0" w:line="176" w:lineRule="exact"/>
              <w:rPr>
                <w:sz w:val="20"/>
                <w:szCs w:val="20"/>
                <w:color w:val="auto"/>
              </w:rPr>
            </w:pPr>
            <w:r>
              <w:rPr>
                <w:rFonts w:ascii="Arial" w:cs="Arial" w:eastAsia="Arial" w:hAnsi="Arial"/>
                <w:sz w:val="16"/>
                <w:szCs w:val="16"/>
                <w:color w:val="auto"/>
              </w:rPr>
              <w:t>Asset retirement obligations</w:t>
            </w:r>
          </w:p>
        </w:tc>
        <w:tc>
          <w:tcPr>
            <w:tcW w:w="280" w:type="dxa"/>
            <w:vAlign w:val="bottom"/>
          </w:tcPr>
          <w:p>
            <w:pPr>
              <w:spacing w:after="0"/>
              <w:rPr>
                <w:sz w:val="15"/>
                <w:szCs w:val="15"/>
                <w:color w:val="auto"/>
              </w:rPr>
            </w:pPr>
          </w:p>
        </w:tc>
        <w:tc>
          <w:tcPr>
            <w:tcW w:w="1260" w:type="dxa"/>
            <w:vAlign w:val="bottom"/>
          </w:tcPr>
          <w:p>
            <w:pPr>
              <w:jc w:val="right"/>
              <w:ind w:right="100"/>
              <w:spacing w:after="0" w:line="176" w:lineRule="exact"/>
              <w:rPr>
                <w:sz w:val="20"/>
                <w:szCs w:val="20"/>
                <w:color w:val="auto"/>
              </w:rPr>
            </w:pPr>
            <w:r>
              <w:rPr>
                <w:rFonts w:ascii="Arial" w:cs="Arial" w:eastAsia="Arial" w:hAnsi="Arial"/>
                <w:sz w:val="16"/>
                <w:szCs w:val="16"/>
                <w:color w:val="auto"/>
              </w:rPr>
              <w:t>1,490</w:t>
            </w:r>
          </w:p>
        </w:tc>
        <w:tc>
          <w:tcPr>
            <w:tcW w:w="300" w:type="dxa"/>
            <w:vAlign w:val="bottom"/>
          </w:tcPr>
          <w:p>
            <w:pPr>
              <w:spacing w:after="0"/>
              <w:rPr>
                <w:sz w:val="15"/>
                <w:szCs w:val="15"/>
                <w:color w:val="auto"/>
              </w:rPr>
            </w:pPr>
          </w:p>
        </w:tc>
        <w:tc>
          <w:tcPr>
            <w:tcW w:w="1000" w:type="dxa"/>
            <w:vAlign w:val="bottom"/>
          </w:tcPr>
          <w:p>
            <w:pPr>
              <w:jc w:val="right"/>
              <w:spacing w:after="0" w:line="176" w:lineRule="exact"/>
              <w:rPr>
                <w:sz w:val="20"/>
                <w:szCs w:val="20"/>
                <w:color w:val="auto"/>
              </w:rPr>
            </w:pPr>
            <w:r>
              <w:rPr>
                <w:rFonts w:ascii="Arial" w:cs="Arial" w:eastAsia="Arial" w:hAnsi="Arial"/>
                <w:sz w:val="16"/>
                <w:szCs w:val="16"/>
                <w:color w:val="auto"/>
              </w:rPr>
              <w:t>1,449</w:t>
            </w:r>
          </w:p>
        </w:tc>
        <w:tc>
          <w:tcPr>
            <w:tcW w:w="0" w:type="dxa"/>
            <w:vAlign w:val="bottom"/>
          </w:tcPr>
          <w:p>
            <w:pPr>
              <w:spacing w:after="0"/>
              <w:rPr>
                <w:sz w:val="1"/>
                <w:szCs w:val="1"/>
                <w:color w:val="auto"/>
              </w:rPr>
            </w:pPr>
          </w:p>
        </w:tc>
      </w:tr>
      <w:tr>
        <w:trPr>
          <w:trHeight w:val="176"/>
        </w:trPr>
        <w:tc>
          <w:tcPr>
            <w:tcW w:w="180" w:type="dxa"/>
            <w:vAlign w:val="bottom"/>
          </w:tcPr>
          <w:p>
            <w:pPr>
              <w:spacing w:after="0"/>
              <w:rPr>
                <w:sz w:val="15"/>
                <w:szCs w:val="15"/>
                <w:color w:val="auto"/>
              </w:rPr>
            </w:pPr>
          </w:p>
        </w:tc>
        <w:tc>
          <w:tcPr>
            <w:tcW w:w="8400" w:type="dxa"/>
            <w:vAlign w:val="bottom"/>
          </w:tcPr>
          <w:p>
            <w:pPr>
              <w:spacing w:after="0" w:line="176" w:lineRule="exact"/>
              <w:rPr>
                <w:sz w:val="20"/>
                <w:szCs w:val="20"/>
                <w:color w:val="auto"/>
              </w:rPr>
            </w:pPr>
            <w:r>
              <w:rPr>
                <w:rFonts w:ascii="Arial" w:cs="Arial" w:eastAsia="Arial" w:hAnsi="Arial"/>
                <w:sz w:val="16"/>
                <w:szCs w:val="16"/>
                <w:color w:val="auto"/>
              </w:rPr>
              <w:t>Other regulatory liabilities</w:t>
            </w:r>
          </w:p>
        </w:tc>
        <w:tc>
          <w:tcPr>
            <w:tcW w:w="280" w:type="dxa"/>
            <w:vAlign w:val="bottom"/>
          </w:tcPr>
          <w:p>
            <w:pPr>
              <w:spacing w:after="0"/>
              <w:rPr>
                <w:sz w:val="15"/>
                <w:szCs w:val="15"/>
                <w:color w:val="auto"/>
              </w:rPr>
            </w:pPr>
          </w:p>
        </w:tc>
        <w:tc>
          <w:tcPr>
            <w:tcW w:w="1260" w:type="dxa"/>
            <w:vAlign w:val="bottom"/>
          </w:tcPr>
          <w:p>
            <w:pPr>
              <w:jc w:val="right"/>
              <w:ind w:right="100"/>
              <w:spacing w:after="0" w:line="176" w:lineRule="exact"/>
              <w:rPr>
                <w:sz w:val="20"/>
                <w:szCs w:val="20"/>
                <w:color w:val="auto"/>
              </w:rPr>
            </w:pPr>
            <w:r>
              <w:rPr>
                <w:rFonts w:ascii="Arial" w:cs="Arial" w:eastAsia="Arial" w:hAnsi="Arial"/>
                <w:sz w:val="16"/>
                <w:szCs w:val="16"/>
                <w:color w:val="auto"/>
              </w:rPr>
              <w:t>115</w:t>
            </w:r>
          </w:p>
        </w:tc>
        <w:tc>
          <w:tcPr>
            <w:tcW w:w="300" w:type="dxa"/>
            <w:vAlign w:val="bottom"/>
          </w:tcPr>
          <w:p>
            <w:pPr>
              <w:spacing w:after="0"/>
              <w:rPr>
                <w:sz w:val="15"/>
                <w:szCs w:val="15"/>
                <w:color w:val="auto"/>
              </w:rPr>
            </w:pPr>
          </w:p>
        </w:tc>
        <w:tc>
          <w:tcPr>
            <w:tcW w:w="1000" w:type="dxa"/>
            <w:vAlign w:val="bottom"/>
          </w:tcPr>
          <w:p>
            <w:pPr>
              <w:jc w:val="right"/>
              <w:spacing w:after="0" w:line="176" w:lineRule="exact"/>
              <w:rPr>
                <w:sz w:val="20"/>
                <w:szCs w:val="20"/>
                <w:color w:val="auto"/>
              </w:rPr>
            </w:pPr>
            <w:r>
              <w:rPr>
                <w:rFonts w:ascii="Arial" w:cs="Arial" w:eastAsia="Arial" w:hAnsi="Arial"/>
                <w:sz w:val="16"/>
                <w:szCs w:val="16"/>
                <w:color w:val="auto"/>
              </w:rPr>
              <w:t>138</w:t>
            </w:r>
          </w:p>
        </w:tc>
        <w:tc>
          <w:tcPr>
            <w:tcW w:w="0" w:type="dxa"/>
            <w:vAlign w:val="bottom"/>
          </w:tcPr>
          <w:p>
            <w:pPr>
              <w:spacing w:after="0"/>
              <w:rPr>
                <w:sz w:val="1"/>
                <w:szCs w:val="1"/>
                <w:color w:val="auto"/>
              </w:rPr>
            </w:pPr>
          </w:p>
        </w:tc>
      </w:tr>
      <w:tr>
        <w:trPr>
          <w:trHeight w:val="176"/>
        </w:trPr>
        <w:tc>
          <w:tcPr>
            <w:tcW w:w="180" w:type="dxa"/>
            <w:vAlign w:val="bottom"/>
          </w:tcPr>
          <w:p>
            <w:pPr>
              <w:spacing w:after="0"/>
              <w:rPr>
                <w:sz w:val="15"/>
                <w:szCs w:val="15"/>
                <w:color w:val="auto"/>
              </w:rPr>
            </w:pPr>
          </w:p>
        </w:tc>
        <w:tc>
          <w:tcPr>
            <w:tcW w:w="8400" w:type="dxa"/>
            <w:vAlign w:val="bottom"/>
          </w:tcPr>
          <w:p>
            <w:pPr>
              <w:spacing w:after="0" w:line="176" w:lineRule="exact"/>
              <w:rPr>
                <w:sz w:val="20"/>
                <w:szCs w:val="20"/>
                <w:color w:val="auto"/>
              </w:rPr>
            </w:pPr>
            <w:r>
              <w:rPr>
                <w:rFonts w:ascii="Arial" w:cs="Arial" w:eastAsia="Arial" w:hAnsi="Arial"/>
                <w:sz w:val="16"/>
                <w:szCs w:val="16"/>
                <w:color w:val="auto"/>
              </w:rPr>
              <w:t>Fixed-price contracts and other derivatives</w:t>
            </w:r>
          </w:p>
        </w:tc>
        <w:tc>
          <w:tcPr>
            <w:tcW w:w="280" w:type="dxa"/>
            <w:vAlign w:val="bottom"/>
          </w:tcPr>
          <w:p>
            <w:pPr>
              <w:spacing w:after="0"/>
              <w:rPr>
                <w:sz w:val="15"/>
                <w:szCs w:val="15"/>
                <w:color w:val="auto"/>
              </w:rPr>
            </w:pPr>
          </w:p>
        </w:tc>
        <w:tc>
          <w:tcPr>
            <w:tcW w:w="1260" w:type="dxa"/>
            <w:vAlign w:val="bottom"/>
          </w:tcPr>
          <w:p>
            <w:pPr>
              <w:jc w:val="right"/>
              <w:ind w:right="100"/>
              <w:spacing w:after="0" w:line="176" w:lineRule="exact"/>
              <w:rPr>
                <w:sz w:val="20"/>
                <w:szCs w:val="20"/>
                <w:color w:val="auto"/>
              </w:rPr>
            </w:pPr>
            <w:r>
              <w:rPr>
                <w:rFonts w:ascii="Arial" w:cs="Arial" w:eastAsia="Arial" w:hAnsi="Arial"/>
                <w:sz w:val="16"/>
                <w:szCs w:val="16"/>
                <w:color w:val="auto"/>
              </w:rPr>
              <w:t>279</w:t>
            </w:r>
          </w:p>
        </w:tc>
        <w:tc>
          <w:tcPr>
            <w:tcW w:w="300" w:type="dxa"/>
            <w:vAlign w:val="bottom"/>
          </w:tcPr>
          <w:p>
            <w:pPr>
              <w:spacing w:after="0"/>
              <w:rPr>
                <w:sz w:val="15"/>
                <w:szCs w:val="15"/>
                <w:color w:val="auto"/>
              </w:rPr>
            </w:pPr>
          </w:p>
        </w:tc>
        <w:tc>
          <w:tcPr>
            <w:tcW w:w="1000" w:type="dxa"/>
            <w:vAlign w:val="bottom"/>
          </w:tcPr>
          <w:p>
            <w:pPr>
              <w:jc w:val="right"/>
              <w:spacing w:after="0" w:line="176" w:lineRule="exact"/>
              <w:rPr>
                <w:sz w:val="20"/>
                <w:szCs w:val="20"/>
                <w:color w:val="auto"/>
              </w:rPr>
            </w:pPr>
            <w:r>
              <w:rPr>
                <w:rFonts w:ascii="Arial" w:cs="Arial" w:eastAsia="Arial" w:hAnsi="Arial"/>
                <w:sz w:val="16"/>
                <w:szCs w:val="16"/>
                <w:color w:val="auto"/>
              </w:rPr>
              <w:t>290</w:t>
            </w:r>
          </w:p>
        </w:tc>
        <w:tc>
          <w:tcPr>
            <w:tcW w:w="0" w:type="dxa"/>
            <w:vAlign w:val="bottom"/>
          </w:tcPr>
          <w:p>
            <w:pPr>
              <w:spacing w:after="0"/>
              <w:rPr>
                <w:sz w:val="1"/>
                <w:szCs w:val="1"/>
                <w:color w:val="auto"/>
              </w:rPr>
            </w:pPr>
          </w:p>
        </w:tc>
      </w:tr>
      <w:tr>
        <w:trPr>
          <w:trHeight w:val="194"/>
        </w:trPr>
        <w:tc>
          <w:tcPr>
            <w:tcW w:w="180" w:type="dxa"/>
            <w:vAlign w:val="bottom"/>
          </w:tcPr>
          <w:p>
            <w:pPr>
              <w:spacing w:after="0"/>
              <w:rPr>
                <w:sz w:val="16"/>
                <w:szCs w:val="16"/>
                <w:color w:val="auto"/>
              </w:rPr>
            </w:pPr>
          </w:p>
        </w:tc>
        <w:tc>
          <w:tcPr>
            <w:tcW w:w="8400" w:type="dxa"/>
            <w:vAlign w:val="bottom"/>
          </w:tcPr>
          <w:p>
            <w:pPr>
              <w:spacing w:after="0"/>
              <w:rPr>
                <w:sz w:val="20"/>
                <w:szCs w:val="20"/>
                <w:color w:val="auto"/>
              </w:rPr>
            </w:pPr>
            <w:r>
              <w:rPr>
                <w:rFonts w:ascii="Arial" w:cs="Arial" w:eastAsia="Arial" w:hAnsi="Arial"/>
                <w:sz w:val="16"/>
                <w:szCs w:val="16"/>
                <w:color w:val="auto"/>
              </w:rPr>
              <w:t>Deferred credits and other</w:t>
            </w:r>
          </w:p>
        </w:tc>
        <w:tc>
          <w:tcPr>
            <w:tcW w:w="2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100"/>
              <w:spacing w:after="0"/>
              <w:rPr>
                <w:sz w:val="20"/>
                <w:szCs w:val="20"/>
                <w:color w:val="auto"/>
              </w:rPr>
            </w:pPr>
            <w:r>
              <w:rPr>
                <w:rFonts w:ascii="Arial" w:cs="Arial" w:eastAsia="Arial" w:hAnsi="Arial"/>
                <w:sz w:val="16"/>
                <w:szCs w:val="16"/>
                <w:color w:val="auto"/>
              </w:rPr>
              <w:t>867</w:t>
            </w:r>
          </w:p>
        </w:tc>
        <w:tc>
          <w:tcPr>
            <w:tcW w:w="3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823</w:t>
            </w:r>
          </w:p>
        </w:tc>
        <w:tc>
          <w:tcPr>
            <w:tcW w:w="0" w:type="dxa"/>
            <w:vAlign w:val="bottom"/>
          </w:tcPr>
          <w:p>
            <w:pPr>
              <w:spacing w:after="0"/>
              <w:rPr>
                <w:sz w:val="1"/>
                <w:szCs w:val="1"/>
                <w:color w:val="auto"/>
              </w:rPr>
            </w:pPr>
          </w:p>
        </w:tc>
      </w:tr>
      <w:tr>
        <w:trPr>
          <w:trHeight w:val="183"/>
        </w:trPr>
        <w:tc>
          <w:tcPr>
            <w:tcW w:w="180" w:type="dxa"/>
            <w:vAlign w:val="bottom"/>
          </w:tcPr>
          <w:p>
            <w:pPr>
              <w:spacing w:after="0"/>
              <w:rPr>
                <w:sz w:val="15"/>
                <w:szCs w:val="15"/>
                <w:color w:val="auto"/>
              </w:rPr>
            </w:pPr>
          </w:p>
        </w:tc>
        <w:tc>
          <w:tcPr>
            <w:tcW w:w="8400" w:type="dxa"/>
            <w:vAlign w:val="bottom"/>
          </w:tcPr>
          <w:p>
            <w:pPr>
              <w:ind w:left="180"/>
              <w:spacing w:after="0" w:line="176" w:lineRule="exact"/>
              <w:rPr>
                <w:sz w:val="20"/>
                <w:szCs w:val="20"/>
                <w:color w:val="auto"/>
              </w:rPr>
            </w:pPr>
            <w:r>
              <w:rPr>
                <w:rFonts w:ascii="Arial" w:cs="Arial" w:eastAsia="Arial" w:hAnsi="Arial"/>
                <w:sz w:val="16"/>
                <w:szCs w:val="16"/>
                <w:color w:val="auto"/>
              </w:rPr>
              <w:t>Total deferred credits and other liabilities</w:t>
            </w:r>
          </w:p>
        </w:tc>
        <w:tc>
          <w:tcPr>
            <w:tcW w:w="28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ind w:right="100"/>
              <w:spacing w:after="0" w:line="176" w:lineRule="exact"/>
              <w:rPr>
                <w:sz w:val="20"/>
                <w:szCs w:val="20"/>
                <w:color w:val="auto"/>
              </w:rPr>
            </w:pPr>
            <w:r>
              <w:rPr>
                <w:rFonts w:ascii="Arial" w:cs="Arial" w:eastAsia="Arial" w:hAnsi="Arial"/>
                <w:sz w:val="16"/>
                <w:szCs w:val="16"/>
                <w:color w:val="auto"/>
              </w:rPr>
              <w:t>8,562</w:t>
            </w:r>
          </w:p>
        </w:tc>
        <w:tc>
          <w:tcPr>
            <w:tcW w:w="3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6"/>
                <w:szCs w:val="16"/>
                <w:color w:val="auto"/>
              </w:rPr>
              <w:t>8,200</w:t>
            </w:r>
          </w:p>
        </w:tc>
        <w:tc>
          <w:tcPr>
            <w:tcW w:w="0" w:type="dxa"/>
            <w:vAlign w:val="bottom"/>
          </w:tcPr>
          <w:p>
            <w:pPr>
              <w:spacing w:after="0"/>
              <w:rPr>
                <w:sz w:val="1"/>
                <w:szCs w:val="1"/>
                <w:color w:val="auto"/>
              </w:rPr>
            </w:pPr>
          </w:p>
        </w:tc>
      </w:tr>
      <w:tr>
        <w:trPr>
          <w:trHeight w:val="183"/>
        </w:trPr>
        <w:tc>
          <w:tcPr>
            <w:tcW w:w="8580" w:type="dxa"/>
            <w:vAlign w:val="bottom"/>
            <w:gridSpan w:val="2"/>
          </w:tcPr>
          <w:p>
            <w:pPr>
              <w:spacing w:after="0" w:line="176" w:lineRule="exact"/>
              <w:rPr>
                <w:sz w:val="20"/>
                <w:szCs w:val="20"/>
                <w:color w:val="auto"/>
              </w:rPr>
            </w:pPr>
            <w:r>
              <w:rPr>
                <w:rFonts w:ascii="Arial" w:cs="Arial" w:eastAsia="Arial" w:hAnsi="Arial"/>
                <w:sz w:val="16"/>
                <w:szCs w:val="16"/>
                <w:color w:val="auto"/>
              </w:rPr>
              <w:t>Contingently redeemable preferred stock of subsidiary</w:t>
            </w:r>
          </w:p>
        </w:tc>
        <w:tc>
          <w:tcPr>
            <w:tcW w:w="28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ind w:right="100"/>
              <w:spacing w:after="0" w:line="176" w:lineRule="exact"/>
              <w:rPr>
                <w:sz w:val="20"/>
                <w:szCs w:val="20"/>
                <w:color w:val="auto"/>
              </w:rPr>
            </w:pPr>
            <w:r>
              <w:rPr>
                <w:rFonts w:ascii="Arial" w:cs="Arial" w:eastAsia="Arial" w:hAnsi="Arial"/>
                <w:sz w:val="16"/>
                <w:szCs w:val="16"/>
                <w:color w:val="auto"/>
              </w:rPr>
              <w:t>79</w:t>
            </w:r>
          </w:p>
        </w:tc>
        <w:tc>
          <w:tcPr>
            <w:tcW w:w="3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6"/>
                <w:szCs w:val="16"/>
                <w:color w:val="auto"/>
              </w:rPr>
              <w:t>79</w:t>
            </w:r>
          </w:p>
        </w:tc>
        <w:tc>
          <w:tcPr>
            <w:tcW w:w="0" w:type="dxa"/>
            <w:vAlign w:val="bottom"/>
          </w:tcPr>
          <w:p>
            <w:pPr>
              <w:spacing w:after="0"/>
              <w:rPr>
                <w:sz w:val="1"/>
                <w:szCs w:val="1"/>
                <w:color w:val="auto"/>
              </w:rPr>
            </w:pPr>
          </w:p>
        </w:tc>
      </w:tr>
      <w:tr>
        <w:trPr>
          <w:trHeight w:val="291"/>
        </w:trPr>
        <w:tc>
          <w:tcPr>
            <w:tcW w:w="8580" w:type="dxa"/>
            <w:vAlign w:val="bottom"/>
            <w:gridSpan w:val="2"/>
          </w:tcPr>
          <w:p>
            <w:pPr>
              <w:spacing w:after="0"/>
              <w:rPr>
                <w:sz w:val="20"/>
                <w:szCs w:val="20"/>
                <w:color w:val="auto"/>
              </w:rPr>
            </w:pPr>
            <w:r>
              <w:rPr>
                <w:rFonts w:ascii="Arial" w:cs="Arial" w:eastAsia="Arial" w:hAnsi="Arial"/>
                <w:sz w:val="16"/>
                <w:szCs w:val="16"/>
                <w:color w:val="auto"/>
              </w:rPr>
              <w:t>Commitments and contingencies (Note 10)</w:t>
            </w:r>
          </w:p>
        </w:tc>
        <w:tc>
          <w:tcPr>
            <w:tcW w:w="2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5"/>
        </w:trPr>
        <w:tc>
          <w:tcPr>
            <w:tcW w:w="8580" w:type="dxa"/>
            <w:vAlign w:val="bottom"/>
            <w:gridSpan w:val="2"/>
          </w:tcPr>
          <w:p>
            <w:pPr>
              <w:spacing w:after="0"/>
              <w:rPr>
                <w:sz w:val="20"/>
                <w:szCs w:val="20"/>
                <w:color w:val="auto"/>
              </w:rPr>
            </w:pPr>
            <w:r>
              <w:rPr>
                <w:rFonts w:ascii="Arial" w:cs="Arial" w:eastAsia="Arial" w:hAnsi="Arial"/>
                <w:sz w:val="16"/>
                <w:szCs w:val="16"/>
                <w:color w:val="auto"/>
              </w:rPr>
              <w:t>Equity:</w:t>
            </w:r>
          </w:p>
        </w:tc>
        <w:tc>
          <w:tcPr>
            <w:tcW w:w="28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76"/>
        </w:trPr>
        <w:tc>
          <w:tcPr>
            <w:tcW w:w="180" w:type="dxa"/>
            <w:vAlign w:val="bottom"/>
          </w:tcPr>
          <w:p>
            <w:pPr>
              <w:spacing w:after="0"/>
              <w:rPr>
                <w:sz w:val="15"/>
                <w:szCs w:val="15"/>
                <w:color w:val="auto"/>
              </w:rPr>
            </w:pPr>
          </w:p>
        </w:tc>
        <w:tc>
          <w:tcPr>
            <w:tcW w:w="8400" w:type="dxa"/>
            <w:vAlign w:val="bottom"/>
          </w:tcPr>
          <w:p>
            <w:pPr>
              <w:spacing w:after="0" w:line="176" w:lineRule="exact"/>
              <w:rPr>
                <w:sz w:val="20"/>
                <w:szCs w:val="20"/>
                <w:color w:val="auto"/>
              </w:rPr>
            </w:pPr>
            <w:r>
              <w:rPr>
                <w:rFonts w:ascii="Arial" w:cs="Arial" w:eastAsia="Arial" w:hAnsi="Arial"/>
                <w:sz w:val="16"/>
                <w:szCs w:val="16"/>
                <w:color w:val="auto"/>
              </w:rPr>
              <w:t>Preferred stock (50 million shares authorized; none issued)</w:t>
            </w:r>
          </w:p>
        </w:tc>
        <w:tc>
          <w:tcPr>
            <w:tcW w:w="280" w:type="dxa"/>
            <w:vAlign w:val="bottom"/>
          </w:tcPr>
          <w:p>
            <w:pPr>
              <w:spacing w:after="0"/>
              <w:rPr>
                <w:sz w:val="15"/>
                <w:szCs w:val="15"/>
                <w:color w:val="auto"/>
              </w:rPr>
            </w:pPr>
          </w:p>
        </w:tc>
        <w:tc>
          <w:tcPr>
            <w:tcW w:w="1260" w:type="dxa"/>
            <w:vAlign w:val="bottom"/>
          </w:tcPr>
          <w:p>
            <w:pPr>
              <w:jc w:val="right"/>
              <w:ind w:right="100"/>
              <w:spacing w:after="0" w:line="176" w:lineRule="exact"/>
              <w:rPr>
                <w:sz w:val="20"/>
                <w:szCs w:val="20"/>
                <w:color w:val="auto"/>
              </w:rPr>
            </w:pPr>
            <w:r>
              <w:rPr>
                <w:rFonts w:ascii="Arial" w:cs="Arial" w:eastAsia="Arial" w:hAnsi="Arial"/>
                <w:sz w:val="16"/>
                <w:szCs w:val="16"/>
                <w:color w:val="auto"/>
              </w:rPr>
              <w:t>―</w:t>
            </w:r>
          </w:p>
        </w:tc>
        <w:tc>
          <w:tcPr>
            <w:tcW w:w="300" w:type="dxa"/>
            <w:vAlign w:val="bottom"/>
          </w:tcPr>
          <w:p>
            <w:pPr>
              <w:spacing w:after="0"/>
              <w:rPr>
                <w:sz w:val="15"/>
                <w:szCs w:val="15"/>
                <w:color w:val="auto"/>
              </w:rPr>
            </w:pPr>
          </w:p>
        </w:tc>
        <w:tc>
          <w:tcPr>
            <w:tcW w:w="1000" w:type="dxa"/>
            <w:vAlign w:val="bottom"/>
          </w:tcPr>
          <w:p>
            <w:pPr>
              <w:jc w:val="right"/>
              <w:spacing w:after="0" w:line="176" w:lineRule="exact"/>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76"/>
        </w:trPr>
        <w:tc>
          <w:tcPr>
            <w:tcW w:w="180" w:type="dxa"/>
            <w:vAlign w:val="bottom"/>
          </w:tcPr>
          <w:p>
            <w:pPr>
              <w:spacing w:after="0"/>
              <w:rPr>
                <w:sz w:val="15"/>
                <w:szCs w:val="15"/>
                <w:color w:val="auto"/>
              </w:rPr>
            </w:pPr>
          </w:p>
        </w:tc>
        <w:tc>
          <w:tcPr>
            <w:tcW w:w="8400" w:type="dxa"/>
            <w:vAlign w:val="bottom"/>
          </w:tcPr>
          <w:p>
            <w:pPr>
              <w:spacing w:after="0" w:line="176" w:lineRule="exact"/>
              <w:rPr>
                <w:sz w:val="20"/>
                <w:szCs w:val="20"/>
                <w:color w:val="auto"/>
              </w:rPr>
            </w:pPr>
            <w:r>
              <w:rPr>
                <w:rFonts w:ascii="Arial" w:cs="Arial" w:eastAsia="Arial" w:hAnsi="Arial"/>
                <w:sz w:val="16"/>
                <w:szCs w:val="16"/>
                <w:color w:val="auto"/>
              </w:rPr>
              <w:t>Common stock (750 million shares authorized; 240 million shares</w:t>
            </w:r>
          </w:p>
        </w:tc>
        <w:tc>
          <w:tcPr>
            <w:tcW w:w="2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80" w:type="dxa"/>
            <w:vAlign w:val="bottom"/>
          </w:tcPr>
          <w:p>
            <w:pPr>
              <w:spacing w:after="0"/>
              <w:rPr>
                <w:sz w:val="15"/>
                <w:szCs w:val="15"/>
                <w:color w:val="auto"/>
              </w:rPr>
            </w:pPr>
          </w:p>
        </w:tc>
        <w:tc>
          <w:tcPr>
            <w:tcW w:w="8400" w:type="dxa"/>
            <w:vAlign w:val="bottom"/>
          </w:tcPr>
          <w:p>
            <w:pPr>
              <w:ind w:left="180"/>
              <w:spacing w:after="0" w:line="176" w:lineRule="exact"/>
              <w:rPr>
                <w:sz w:val="20"/>
                <w:szCs w:val="20"/>
                <w:color w:val="auto"/>
              </w:rPr>
            </w:pPr>
            <w:r>
              <w:rPr>
                <w:rFonts w:ascii="Arial" w:cs="Arial" w:eastAsia="Arial" w:hAnsi="Arial"/>
                <w:sz w:val="16"/>
                <w:szCs w:val="16"/>
                <w:color w:val="auto"/>
              </w:rPr>
              <w:t>outstanding at June 30, 2011 and December 31, 2010, no par value)</w:t>
            </w:r>
          </w:p>
        </w:tc>
        <w:tc>
          <w:tcPr>
            <w:tcW w:w="280" w:type="dxa"/>
            <w:vAlign w:val="bottom"/>
          </w:tcPr>
          <w:p>
            <w:pPr>
              <w:spacing w:after="0"/>
              <w:rPr>
                <w:sz w:val="15"/>
                <w:szCs w:val="15"/>
                <w:color w:val="auto"/>
              </w:rPr>
            </w:pPr>
          </w:p>
        </w:tc>
        <w:tc>
          <w:tcPr>
            <w:tcW w:w="1260" w:type="dxa"/>
            <w:vAlign w:val="bottom"/>
          </w:tcPr>
          <w:p>
            <w:pPr>
              <w:jc w:val="right"/>
              <w:ind w:right="100"/>
              <w:spacing w:after="0" w:line="176" w:lineRule="exact"/>
              <w:rPr>
                <w:sz w:val="20"/>
                <w:szCs w:val="20"/>
                <w:color w:val="auto"/>
              </w:rPr>
            </w:pPr>
            <w:r>
              <w:rPr>
                <w:rFonts w:ascii="Arial" w:cs="Arial" w:eastAsia="Arial" w:hAnsi="Arial"/>
                <w:sz w:val="16"/>
                <w:szCs w:val="16"/>
                <w:color w:val="auto"/>
              </w:rPr>
              <w:t>2,074</w:t>
            </w:r>
          </w:p>
        </w:tc>
        <w:tc>
          <w:tcPr>
            <w:tcW w:w="300" w:type="dxa"/>
            <w:vAlign w:val="bottom"/>
          </w:tcPr>
          <w:p>
            <w:pPr>
              <w:spacing w:after="0"/>
              <w:rPr>
                <w:sz w:val="15"/>
                <w:szCs w:val="15"/>
                <w:color w:val="auto"/>
              </w:rPr>
            </w:pPr>
          </w:p>
        </w:tc>
        <w:tc>
          <w:tcPr>
            <w:tcW w:w="1000" w:type="dxa"/>
            <w:vAlign w:val="bottom"/>
          </w:tcPr>
          <w:p>
            <w:pPr>
              <w:jc w:val="right"/>
              <w:spacing w:after="0" w:line="176" w:lineRule="exact"/>
              <w:rPr>
                <w:sz w:val="20"/>
                <w:szCs w:val="20"/>
                <w:color w:val="auto"/>
              </w:rPr>
            </w:pPr>
            <w:r>
              <w:rPr>
                <w:rFonts w:ascii="Arial" w:cs="Arial" w:eastAsia="Arial" w:hAnsi="Arial"/>
                <w:sz w:val="16"/>
                <w:szCs w:val="16"/>
                <w:color w:val="auto"/>
              </w:rPr>
              <w:t>2,036</w:t>
            </w:r>
          </w:p>
        </w:tc>
        <w:tc>
          <w:tcPr>
            <w:tcW w:w="0" w:type="dxa"/>
            <w:vAlign w:val="bottom"/>
          </w:tcPr>
          <w:p>
            <w:pPr>
              <w:spacing w:after="0"/>
              <w:rPr>
                <w:sz w:val="1"/>
                <w:szCs w:val="1"/>
                <w:color w:val="auto"/>
              </w:rPr>
            </w:pPr>
          </w:p>
        </w:tc>
      </w:tr>
      <w:tr>
        <w:trPr>
          <w:trHeight w:val="176"/>
        </w:trPr>
        <w:tc>
          <w:tcPr>
            <w:tcW w:w="180" w:type="dxa"/>
            <w:vAlign w:val="bottom"/>
          </w:tcPr>
          <w:p>
            <w:pPr>
              <w:spacing w:after="0"/>
              <w:rPr>
                <w:sz w:val="15"/>
                <w:szCs w:val="15"/>
                <w:color w:val="auto"/>
              </w:rPr>
            </w:pPr>
          </w:p>
        </w:tc>
        <w:tc>
          <w:tcPr>
            <w:tcW w:w="8400" w:type="dxa"/>
            <w:vAlign w:val="bottom"/>
          </w:tcPr>
          <w:p>
            <w:pPr>
              <w:spacing w:after="0" w:line="176" w:lineRule="exact"/>
              <w:rPr>
                <w:sz w:val="20"/>
                <w:szCs w:val="20"/>
                <w:color w:val="auto"/>
              </w:rPr>
            </w:pPr>
            <w:r>
              <w:rPr>
                <w:rFonts w:ascii="Arial" w:cs="Arial" w:eastAsia="Arial" w:hAnsi="Arial"/>
                <w:sz w:val="16"/>
                <w:szCs w:val="16"/>
                <w:color w:val="auto"/>
              </w:rPr>
              <w:t>Retained earnings</w:t>
            </w:r>
          </w:p>
        </w:tc>
        <w:tc>
          <w:tcPr>
            <w:tcW w:w="280" w:type="dxa"/>
            <w:vAlign w:val="bottom"/>
          </w:tcPr>
          <w:p>
            <w:pPr>
              <w:spacing w:after="0"/>
              <w:rPr>
                <w:sz w:val="15"/>
                <w:szCs w:val="15"/>
                <w:color w:val="auto"/>
              </w:rPr>
            </w:pPr>
          </w:p>
        </w:tc>
        <w:tc>
          <w:tcPr>
            <w:tcW w:w="1260" w:type="dxa"/>
            <w:vAlign w:val="bottom"/>
          </w:tcPr>
          <w:p>
            <w:pPr>
              <w:jc w:val="right"/>
              <w:ind w:right="100"/>
              <w:spacing w:after="0" w:line="176" w:lineRule="exact"/>
              <w:rPr>
                <w:sz w:val="20"/>
                <w:szCs w:val="20"/>
                <w:color w:val="auto"/>
              </w:rPr>
            </w:pPr>
            <w:r>
              <w:rPr>
                <w:rFonts w:ascii="Arial" w:cs="Arial" w:eastAsia="Arial" w:hAnsi="Arial"/>
                <w:sz w:val="16"/>
                <w:szCs w:val="16"/>
                <w:color w:val="auto"/>
              </w:rPr>
              <w:t>7,868</w:t>
            </w:r>
          </w:p>
        </w:tc>
        <w:tc>
          <w:tcPr>
            <w:tcW w:w="300" w:type="dxa"/>
            <w:vAlign w:val="bottom"/>
          </w:tcPr>
          <w:p>
            <w:pPr>
              <w:spacing w:after="0"/>
              <w:rPr>
                <w:sz w:val="15"/>
                <w:szCs w:val="15"/>
                <w:color w:val="auto"/>
              </w:rPr>
            </w:pPr>
          </w:p>
        </w:tc>
        <w:tc>
          <w:tcPr>
            <w:tcW w:w="1000" w:type="dxa"/>
            <w:vAlign w:val="bottom"/>
          </w:tcPr>
          <w:p>
            <w:pPr>
              <w:jc w:val="right"/>
              <w:spacing w:after="0" w:line="176" w:lineRule="exact"/>
              <w:rPr>
                <w:sz w:val="20"/>
                <w:szCs w:val="20"/>
                <w:color w:val="auto"/>
              </w:rPr>
            </w:pPr>
            <w:r>
              <w:rPr>
                <w:rFonts w:ascii="Arial" w:cs="Arial" w:eastAsia="Arial" w:hAnsi="Arial"/>
                <w:sz w:val="16"/>
                <w:szCs w:val="16"/>
                <w:color w:val="auto"/>
              </w:rPr>
              <w:t>7,329</w:t>
            </w:r>
          </w:p>
        </w:tc>
        <w:tc>
          <w:tcPr>
            <w:tcW w:w="0" w:type="dxa"/>
            <w:vAlign w:val="bottom"/>
          </w:tcPr>
          <w:p>
            <w:pPr>
              <w:spacing w:after="0"/>
              <w:rPr>
                <w:sz w:val="1"/>
                <w:szCs w:val="1"/>
                <w:color w:val="auto"/>
              </w:rPr>
            </w:pPr>
          </w:p>
        </w:tc>
      </w:tr>
      <w:tr>
        <w:trPr>
          <w:trHeight w:val="176"/>
        </w:trPr>
        <w:tc>
          <w:tcPr>
            <w:tcW w:w="180" w:type="dxa"/>
            <w:vAlign w:val="bottom"/>
          </w:tcPr>
          <w:p>
            <w:pPr>
              <w:spacing w:after="0"/>
              <w:rPr>
                <w:sz w:val="15"/>
                <w:szCs w:val="15"/>
                <w:color w:val="auto"/>
              </w:rPr>
            </w:pPr>
          </w:p>
        </w:tc>
        <w:tc>
          <w:tcPr>
            <w:tcW w:w="8400" w:type="dxa"/>
            <w:vAlign w:val="bottom"/>
          </w:tcPr>
          <w:p>
            <w:pPr>
              <w:spacing w:after="0" w:line="176" w:lineRule="exact"/>
              <w:rPr>
                <w:sz w:val="20"/>
                <w:szCs w:val="20"/>
                <w:color w:val="auto"/>
              </w:rPr>
            </w:pPr>
            <w:r>
              <w:rPr>
                <w:rFonts w:ascii="Arial" w:cs="Arial" w:eastAsia="Arial" w:hAnsi="Arial"/>
                <w:sz w:val="16"/>
                <w:szCs w:val="16"/>
                <w:color w:val="auto"/>
              </w:rPr>
              <w:t>Deferred compensation</w:t>
            </w:r>
          </w:p>
        </w:tc>
        <w:tc>
          <w:tcPr>
            <w:tcW w:w="280" w:type="dxa"/>
            <w:vAlign w:val="bottom"/>
          </w:tcPr>
          <w:p>
            <w:pPr>
              <w:spacing w:after="0"/>
              <w:rPr>
                <w:sz w:val="15"/>
                <w:szCs w:val="15"/>
                <w:color w:val="auto"/>
              </w:rPr>
            </w:pPr>
          </w:p>
        </w:tc>
        <w:tc>
          <w:tcPr>
            <w:tcW w:w="1260" w:type="dxa"/>
            <w:vAlign w:val="bottom"/>
          </w:tcPr>
          <w:p>
            <w:pPr>
              <w:jc w:val="right"/>
              <w:ind w:right="60"/>
              <w:spacing w:after="0" w:line="176" w:lineRule="exact"/>
              <w:rPr>
                <w:sz w:val="20"/>
                <w:szCs w:val="20"/>
                <w:color w:val="auto"/>
              </w:rPr>
            </w:pPr>
            <w:r>
              <w:rPr>
                <w:rFonts w:ascii="Arial" w:cs="Arial" w:eastAsia="Arial" w:hAnsi="Arial"/>
                <w:sz w:val="16"/>
                <w:szCs w:val="16"/>
                <w:color w:val="auto"/>
              </w:rPr>
              <w:t>(5)</w:t>
            </w:r>
          </w:p>
        </w:tc>
        <w:tc>
          <w:tcPr>
            <w:tcW w:w="300" w:type="dxa"/>
            <w:vAlign w:val="bottom"/>
          </w:tcPr>
          <w:p>
            <w:pPr>
              <w:spacing w:after="0"/>
              <w:rPr>
                <w:sz w:val="15"/>
                <w:szCs w:val="15"/>
                <w:color w:val="auto"/>
              </w:rPr>
            </w:pPr>
          </w:p>
        </w:tc>
        <w:tc>
          <w:tcPr>
            <w:tcW w:w="1000" w:type="dxa"/>
            <w:vAlign w:val="bottom"/>
          </w:tcPr>
          <w:p>
            <w:pPr>
              <w:jc w:val="right"/>
              <w:spacing w:after="0" w:line="176" w:lineRule="exact"/>
              <w:rPr>
                <w:sz w:val="20"/>
                <w:szCs w:val="20"/>
                <w:color w:val="auto"/>
              </w:rPr>
            </w:pPr>
            <w:r>
              <w:rPr>
                <w:rFonts w:ascii="Arial" w:cs="Arial" w:eastAsia="Arial" w:hAnsi="Arial"/>
                <w:sz w:val="16"/>
                <w:szCs w:val="16"/>
                <w:color w:val="auto"/>
              </w:rPr>
              <w:t>(8)</w:t>
            </w:r>
          </w:p>
        </w:tc>
        <w:tc>
          <w:tcPr>
            <w:tcW w:w="0" w:type="dxa"/>
            <w:vAlign w:val="bottom"/>
          </w:tcPr>
          <w:p>
            <w:pPr>
              <w:spacing w:after="0"/>
              <w:rPr>
                <w:sz w:val="1"/>
                <w:szCs w:val="1"/>
                <w:color w:val="auto"/>
              </w:rPr>
            </w:pPr>
          </w:p>
        </w:tc>
      </w:tr>
      <w:tr>
        <w:trPr>
          <w:trHeight w:val="194"/>
        </w:trPr>
        <w:tc>
          <w:tcPr>
            <w:tcW w:w="8580" w:type="dxa"/>
            <w:vAlign w:val="bottom"/>
            <w:gridSpan w:val="2"/>
          </w:tcPr>
          <w:p>
            <w:pPr>
              <w:ind w:left="180"/>
              <w:spacing w:after="0"/>
              <w:rPr>
                <w:sz w:val="20"/>
                <w:szCs w:val="20"/>
                <w:color w:val="auto"/>
              </w:rPr>
            </w:pPr>
            <w:r>
              <w:rPr>
                <w:rFonts w:ascii="Arial" w:cs="Arial" w:eastAsia="Arial" w:hAnsi="Arial"/>
                <w:sz w:val="16"/>
                <w:szCs w:val="16"/>
                <w:color w:val="auto"/>
              </w:rPr>
              <w:t>Accumulated other comprehensive income (loss)</w:t>
            </w:r>
          </w:p>
        </w:tc>
        <w:tc>
          <w:tcPr>
            <w:tcW w:w="2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(358)</w:t>
            </w:r>
          </w:p>
        </w:tc>
        <w:tc>
          <w:tcPr>
            <w:tcW w:w="3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(330)</w:t>
            </w:r>
          </w:p>
        </w:tc>
        <w:tc>
          <w:tcPr>
            <w:tcW w:w="0" w:type="dxa"/>
            <w:vAlign w:val="bottom"/>
          </w:tcPr>
          <w:p>
            <w:pPr>
              <w:spacing w:after="0"/>
              <w:rPr>
                <w:sz w:val="1"/>
                <w:szCs w:val="1"/>
                <w:color w:val="auto"/>
              </w:rPr>
            </w:pPr>
          </w:p>
        </w:tc>
      </w:tr>
      <w:tr>
        <w:trPr>
          <w:trHeight w:val="164"/>
        </w:trPr>
        <w:tc>
          <w:tcPr>
            <w:tcW w:w="180" w:type="dxa"/>
            <w:vAlign w:val="bottom"/>
          </w:tcPr>
          <w:p>
            <w:pPr>
              <w:spacing w:after="0"/>
              <w:rPr>
                <w:sz w:val="14"/>
                <w:szCs w:val="14"/>
                <w:color w:val="auto"/>
              </w:rPr>
            </w:pPr>
          </w:p>
        </w:tc>
        <w:tc>
          <w:tcPr>
            <w:tcW w:w="8400" w:type="dxa"/>
            <w:vAlign w:val="bottom"/>
          </w:tcPr>
          <w:p>
            <w:pPr>
              <w:ind w:left="180"/>
              <w:spacing w:after="0" w:line="164" w:lineRule="exact"/>
              <w:rPr>
                <w:sz w:val="20"/>
                <w:szCs w:val="20"/>
                <w:color w:val="auto"/>
              </w:rPr>
            </w:pPr>
            <w:r>
              <w:rPr>
                <w:rFonts w:ascii="Arial" w:cs="Arial" w:eastAsia="Arial" w:hAnsi="Arial"/>
                <w:sz w:val="16"/>
                <w:szCs w:val="16"/>
                <w:color w:val="auto"/>
              </w:rPr>
              <w:t>Total Sempra Energy shareholders' equity</w:t>
            </w:r>
          </w:p>
        </w:tc>
        <w:tc>
          <w:tcPr>
            <w:tcW w:w="280" w:type="dxa"/>
            <w:vAlign w:val="bottom"/>
          </w:tcPr>
          <w:p>
            <w:pPr>
              <w:spacing w:after="0"/>
              <w:rPr>
                <w:sz w:val="14"/>
                <w:szCs w:val="14"/>
                <w:color w:val="auto"/>
              </w:rPr>
            </w:pPr>
          </w:p>
        </w:tc>
        <w:tc>
          <w:tcPr>
            <w:tcW w:w="1260" w:type="dxa"/>
            <w:vAlign w:val="bottom"/>
          </w:tcPr>
          <w:p>
            <w:pPr>
              <w:jc w:val="right"/>
              <w:ind w:right="100"/>
              <w:spacing w:after="0" w:line="164" w:lineRule="exact"/>
              <w:rPr>
                <w:sz w:val="20"/>
                <w:szCs w:val="20"/>
                <w:color w:val="auto"/>
              </w:rPr>
            </w:pPr>
            <w:r>
              <w:rPr>
                <w:rFonts w:ascii="Arial" w:cs="Arial" w:eastAsia="Arial" w:hAnsi="Arial"/>
                <w:sz w:val="16"/>
                <w:szCs w:val="16"/>
                <w:color w:val="auto"/>
              </w:rPr>
              <w:t>9,579</w:t>
            </w:r>
          </w:p>
        </w:tc>
        <w:tc>
          <w:tcPr>
            <w:tcW w:w="300" w:type="dxa"/>
            <w:vAlign w:val="bottom"/>
          </w:tcPr>
          <w:p>
            <w:pPr>
              <w:spacing w:after="0"/>
              <w:rPr>
                <w:sz w:val="14"/>
                <w:szCs w:val="14"/>
                <w:color w:val="auto"/>
              </w:rPr>
            </w:pPr>
          </w:p>
        </w:tc>
        <w:tc>
          <w:tcPr>
            <w:tcW w:w="1000" w:type="dxa"/>
            <w:vAlign w:val="bottom"/>
          </w:tcPr>
          <w:p>
            <w:pPr>
              <w:jc w:val="right"/>
              <w:spacing w:after="0" w:line="164" w:lineRule="exact"/>
              <w:rPr>
                <w:sz w:val="20"/>
                <w:szCs w:val="20"/>
                <w:color w:val="auto"/>
              </w:rPr>
            </w:pPr>
            <w:r>
              <w:rPr>
                <w:rFonts w:ascii="Arial" w:cs="Arial" w:eastAsia="Arial" w:hAnsi="Arial"/>
                <w:sz w:val="16"/>
                <w:szCs w:val="16"/>
                <w:color w:val="auto"/>
              </w:rPr>
              <w:t>9,027</w:t>
            </w:r>
          </w:p>
        </w:tc>
        <w:tc>
          <w:tcPr>
            <w:tcW w:w="0" w:type="dxa"/>
            <w:vAlign w:val="bottom"/>
          </w:tcPr>
          <w:p>
            <w:pPr>
              <w:spacing w:after="0"/>
              <w:rPr>
                <w:sz w:val="1"/>
                <w:szCs w:val="1"/>
                <w:color w:val="auto"/>
              </w:rPr>
            </w:pPr>
          </w:p>
        </w:tc>
      </w:tr>
      <w:tr>
        <w:trPr>
          <w:trHeight w:val="176"/>
        </w:trPr>
        <w:tc>
          <w:tcPr>
            <w:tcW w:w="180" w:type="dxa"/>
            <w:vAlign w:val="bottom"/>
          </w:tcPr>
          <w:p>
            <w:pPr>
              <w:spacing w:after="0"/>
              <w:rPr>
                <w:sz w:val="15"/>
                <w:szCs w:val="15"/>
                <w:color w:val="auto"/>
              </w:rPr>
            </w:pPr>
          </w:p>
        </w:tc>
        <w:tc>
          <w:tcPr>
            <w:tcW w:w="8400" w:type="dxa"/>
            <w:vAlign w:val="bottom"/>
          </w:tcPr>
          <w:p>
            <w:pPr>
              <w:spacing w:after="0" w:line="176" w:lineRule="exact"/>
              <w:rPr>
                <w:sz w:val="20"/>
                <w:szCs w:val="20"/>
                <w:color w:val="auto"/>
              </w:rPr>
            </w:pPr>
            <w:r>
              <w:rPr>
                <w:rFonts w:ascii="Arial" w:cs="Arial" w:eastAsia="Arial" w:hAnsi="Arial"/>
                <w:sz w:val="16"/>
                <w:szCs w:val="16"/>
                <w:color w:val="auto"/>
              </w:rPr>
              <w:t>Preferred stock of subsidiaries</w:t>
            </w:r>
          </w:p>
        </w:tc>
        <w:tc>
          <w:tcPr>
            <w:tcW w:w="280" w:type="dxa"/>
            <w:vAlign w:val="bottom"/>
          </w:tcPr>
          <w:p>
            <w:pPr>
              <w:spacing w:after="0"/>
              <w:rPr>
                <w:sz w:val="15"/>
                <w:szCs w:val="15"/>
                <w:color w:val="auto"/>
              </w:rPr>
            </w:pPr>
          </w:p>
        </w:tc>
        <w:tc>
          <w:tcPr>
            <w:tcW w:w="1260" w:type="dxa"/>
            <w:vAlign w:val="bottom"/>
          </w:tcPr>
          <w:p>
            <w:pPr>
              <w:jc w:val="right"/>
              <w:ind w:right="100"/>
              <w:spacing w:after="0" w:line="176" w:lineRule="exact"/>
              <w:rPr>
                <w:sz w:val="20"/>
                <w:szCs w:val="20"/>
                <w:color w:val="auto"/>
              </w:rPr>
            </w:pPr>
            <w:r>
              <w:rPr>
                <w:rFonts w:ascii="Arial" w:cs="Arial" w:eastAsia="Arial" w:hAnsi="Arial"/>
                <w:sz w:val="16"/>
                <w:szCs w:val="16"/>
                <w:color w:val="auto"/>
              </w:rPr>
              <w:t>20</w:t>
            </w:r>
          </w:p>
        </w:tc>
        <w:tc>
          <w:tcPr>
            <w:tcW w:w="300" w:type="dxa"/>
            <w:vAlign w:val="bottom"/>
          </w:tcPr>
          <w:p>
            <w:pPr>
              <w:spacing w:after="0"/>
              <w:rPr>
                <w:sz w:val="15"/>
                <w:szCs w:val="15"/>
                <w:color w:val="auto"/>
              </w:rPr>
            </w:pPr>
          </w:p>
        </w:tc>
        <w:tc>
          <w:tcPr>
            <w:tcW w:w="1000" w:type="dxa"/>
            <w:vAlign w:val="bottom"/>
          </w:tcPr>
          <w:p>
            <w:pPr>
              <w:jc w:val="right"/>
              <w:spacing w:after="0" w:line="176" w:lineRule="exact"/>
              <w:rPr>
                <w:sz w:val="20"/>
                <w:szCs w:val="20"/>
                <w:color w:val="auto"/>
              </w:rPr>
            </w:pPr>
            <w:r>
              <w:rPr>
                <w:rFonts w:ascii="Arial" w:cs="Arial" w:eastAsia="Arial" w:hAnsi="Arial"/>
                <w:sz w:val="16"/>
                <w:szCs w:val="16"/>
                <w:color w:val="auto"/>
              </w:rPr>
              <w:t>100</w:t>
            </w:r>
          </w:p>
        </w:tc>
        <w:tc>
          <w:tcPr>
            <w:tcW w:w="0" w:type="dxa"/>
            <w:vAlign w:val="bottom"/>
          </w:tcPr>
          <w:p>
            <w:pPr>
              <w:spacing w:after="0"/>
              <w:rPr>
                <w:sz w:val="1"/>
                <w:szCs w:val="1"/>
                <w:color w:val="auto"/>
              </w:rPr>
            </w:pPr>
          </w:p>
        </w:tc>
      </w:tr>
      <w:tr>
        <w:trPr>
          <w:trHeight w:val="194"/>
        </w:trPr>
        <w:tc>
          <w:tcPr>
            <w:tcW w:w="180" w:type="dxa"/>
            <w:vAlign w:val="bottom"/>
          </w:tcPr>
          <w:p>
            <w:pPr>
              <w:spacing w:after="0"/>
              <w:rPr>
                <w:sz w:val="16"/>
                <w:szCs w:val="16"/>
                <w:color w:val="auto"/>
              </w:rPr>
            </w:pPr>
          </w:p>
        </w:tc>
        <w:tc>
          <w:tcPr>
            <w:tcW w:w="8400" w:type="dxa"/>
            <w:vAlign w:val="bottom"/>
          </w:tcPr>
          <w:p>
            <w:pPr>
              <w:spacing w:after="0"/>
              <w:rPr>
                <w:sz w:val="20"/>
                <w:szCs w:val="20"/>
                <w:color w:val="auto"/>
              </w:rPr>
            </w:pPr>
            <w:r>
              <w:rPr>
                <w:rFonts w:ascii="Arial" w:cs="Arial" w:eastAsia="Arial" w:hAnsi="Arial"/>
                <w:sz w:val="16"/>
                <w:szCs w:val="16"/>
                <w:color w:val="auto"/>
              </w:rPr>
              <w:t>Other noncontrolling interests</w:t>
            </w:r>
          </w:p>
        </w:tc>
        <w:tc>
          <w:tcPr>
            <w:tcW w:w="2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100"/>
              <w:spacing w:after="0"/>
              <w:rPr>
                <w:sz w:val="20"/>
                <w:szCs w:val="20"/>
                <w:color w:val="auto"/>
              </w:rPr>
            </w:pPr>
            <w:r>
              <w:rPr>
                <w:rFonts w:ascii="Arial" w:cs="Arial" w:eastAsia="Arial" w:hAnsi="Arial"/>
                <w:sz w:val="16"/>
                <w:szCs w:val="16"/>
                <w:color w:val="auto"/>
              </w:rPr>
              <w:t>373</w:t>
            </w:r>
          </w:p>
        </w:tc>
        <w:tc>
          <w:tcPr>
            <w:tcW w:w="3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111</w:t>
            </w:r>
          </w:p>
        </w:tc>
        <w:tc>
          <w:tcPr>
            <w:tcW w:w="0" w:type="dxa"/>
            <w:vAlign w:val="bottom"/>
          </w:tcPr>
          <w:p>
            <w:pPr>
              <w:spacing w:after="0"/>
              <w:rPr>
                <w:sz w:val="1"/>
                <w:szCs w:val="1"/>
                <w:color w:val="auto"/>
              </w:rPr>
            </w:pPr>
          </w:p>
        </w:tc>
      </w:tr>
      <w:tr>
        <w:trPr>
          <w:trHeight w:val="183"/>
        </w:trPr>
        <w:tc>
          <w:tcPr>
            <w:tcW w:w="180" w:type="dxa"/>
            <w:vAlign w:val="bottom"/>
          </w:tcPr>
          <w:p>
            <w:pPr>
              <w:spacing w:after="0"/>
              <w:rPr>
                <w:sz w:val="15"/>
                <w:szCs w:val="15"/>
                <w:color w:val="auto"/>
              </w:rPr>
            </w:pPr>
          </w:p>
        </w:tc>
        <w:tc>
          <w:tcPr>
            <w:tcW w:w="8400" w:type="dxa"/>
            <w:vAlign w:val="bottom"/>
          </w:tcPr>
          <w:p>
            <w:pPr>
              <w:ind w:left="180"/>
              <w:spacing w:after="0" w:line="176" w:lineRule="exact"/>
              <w:rPr>
                <w:sz w:val="20"/>
                <w:szCs w:val="20"/>
                <w:color w:val="auto"/>
              </w:rPr>
            </w:pPr>
            <w:r>
              <w:rPr>
                <w:rFonts w:ascii="Arial" w:cs="Arial" w:eastAsia="Arial" w:hAnsi="Arial"/>
                <w:sz w:val="16"/>
                <w:szCs w:val="16"/>
                <w:color w:val="auto"/>
              </w:rPr>
              <w:t>Total equity</w:t>
            </w:r>
          </w:p>
        </w:tc>
        <w:tc>
          <w:tcPr>
            <w:tcW w:w="28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ind w:right="100"/>
              <w:spacing w:after="0" w:line="176" w:lineRule="exact"/>
              <w:rPr>
                <w:sz w:val="20"/>
                <w:szCs w:val="20"/>
                <w:color w:val="auto"/>
              </w:rPr>
            </w:pPr>
            <w:r>
              <w:rPr>
                <w:rFonts w:ascii="Arial" w:cs="Arial" w:eastAsia="Arial" w:hAnsi="Arial"/>
                <w:sz w:val="16"/>
                <w:szCs w:val="16"/>
                <w:color w:val="auto"/>
              </w:rPr>
              <w:t>9,972</w:t>
            </w:r>
          </w:p>
        </w:tc>
        <w:tc>
          <w:tcPr>
            <w:tcW w:w="3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6"/>
                <w:szCs w:val="16"/>
                <w:color w:val="auto"/>
              </w:rPr>
              <w:t>9,238</w:t>
            </w:r>
          </w:p>
        </w:tc>
        <w:tc>
          <w:tcPr>
            <w:tcW w:w="0" w:type="dxa"/>
            <w:vAlign w:val="bottom"/>
          </w:tcPr>
          <w:p>
            <w:pPr>
              <w:spacing w:after="0"/>
              <w:rPr>
                <w:sz w:val="1"/>
                <w:szCs w:val="1"/>
                <w:color w:val="auto"/>
              </w:rPr>
            </w:pPr>
          </w:p>
        </w:tc>
      </w:tr>
      <w:tr>
        <w:trPr>
          <w:trHeight w:val="183"/>
        </w:trPr>
        <w:tc>
          <w:tcPr>
            <w:tcW w:w="8580" w:type="dxa"/>
            <w:vAlign w:val="bottom"/>
            <w:tcBorders>
              <w:bottom w:val="single" w:sz="8" w:color="auto"/>
            </w:tcBorders>
            <w:gridSpan w:val="2"/>
          </w:tcPr>
          <w:p>
            <w:pPr>
              <w:spacing w:after="0" w:line="176" w:lineRule="exact"/>
              <w:rPr>
                <w:sz w:val="20"/>
                <w:szCs w:val="20"/>
                <w:color w:val="auto"/>
              </w:rPr>
            </w:pPr>
            <w:r>
              <w:rPr>
                <w:rFonts w:ascii="Arial" w:cs="Arial" w:eastAsia="Arial" w:hAnsi="Arial"/>
                <w:sz w:val="16"/>
                <w:szCs w:val="16"/>
                <w:color w:val="auto"/>
              </w:rPr>
              <w:t>Total liabilities and equity</w:t>
            </w:r>
          </w:p>
        </w:tc>
        <w:tc>
          <w:tcPr>
            <w:tcW w:w="28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6"/>
                <w:szCs w:val="16"/>
                <w:color w:val="auto"/>
              </w:rPr>
              <w:t>$</w:t>
            </w:r>
          </w:p>
        </w:tc>
        <w:tc>
          <w:tcPr>
            <w:tcW w:w="1260" w:type="dxa"/>
            <w:vAlign w:val="bottom"/>
            <w:tcBorders>
              <w:bottom w:val="single" w:sz="8" w:color="auto"/>
            </w:tcBorders>
          </w:tcPr>
          <w:p>
            <w:pPr>
              <w:jc w:val="right"/>
              <w:ind w:right="100"/>
              <w:spacing w:after="0" w:line="176" w:lineRule="exact"/>
              <w:rPr>
                <w:sz w:val="20"/>
                <w:szCs w:val="20"/>
                <w:color w:val="auto"/>
              </w:rPr>
            </w:pPr>
            <w:r>
              <w:rPr>
                <w:rFonts w:ascii="Arial" w:cs="Arial" w:eastAsia="Arial" w:hAnsi="Arial"/>
                <w:sz w:val="16"/>
                <w:szCs w:val="16"/>
                <w:color w:val="auto"/>
              </w:rPr>
              <w:t>31,836</w:t>
            </w:r>
          </w:p>
        </w:tc>
        <w:tc>
          <w:tcPr>
            <w:tcW w:w="30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6"/>
                <w:szCs w:val="16"/>
                <w:color w:val="auto"/>
              </w:rPr>
              <w:t>30,283</w:t>
            </w:r>
          </w:p>
        </w:tc>
        <w:tc>
          <w:tcPr>
            <w:tcW w:w="0" w:type="dxa"/>
            <w:vAlign w:val="bottom"/>
          </w:tcPr>
          <w:p>
            <w:pPr>
              <w:spacing w:after="0"/>
              <w:rPr>
                <w:sz w:val="1"/>
                <w:szCs w:val="1"/>
                <w:color w:val="auto"/>
              </w:rPr>
            </w:pPr>
          </w:p>
        </w:tc>
      </w:tr>
      <w:tr>
        <w:trPr>
          <w:trHeight w:val="191"/>
        </w:trPr>
        <w:tc>
          <w:tcPr>
            <w:tcW w:w="180" w:type="dxa"/>
            <w:vAlign w:val="bottom"/>
          </w:tcPr>
          <w:p>
            <w:pPr>
              <w:spacing w:after="0"/>
              <w:rPr>
                <w:sz w:val="20"/>
                <w:szCs w:val="20"/>
                <w:color w:val="auto"/>
              </w:rPr>
            </w:pPr>
            <w:r>
              <w:rPr>
                <w:rFonts w:ascii="Arial" w:cs="Arial" w:eastAsia="Arial" w:hAnsi="Arial"/>
                <w:sz w:val="14"/>
                <w:szCs w:val="14"/>
                <w:i w:val="1"/>
                <w:iCs w:val="1"/>
                <w:color w:val="auto"/>
                <w:w w:val="93"/>
              </w:rPr>
              <w:t>(1)</w:t>
            </w:r>
          </w:p>
        </w:tc>
        <w:tc>
          <w:tcPr>
            <w:tcW w:w="8400" w:type="dxa"/>
            <w:vAlign w:val="bottom"/>
          </w:tcPr>
          <w:p>
            <w:pPr>
              <w:ind w:left="320"/>
              <w:spacing w:after="0"/>
              <w:rPr>
                <w:sz w:val="20"/>
                <w:szCs w:val="20"/>
                <w:color w:val="auto"/>
              </w:rPr>
            </w:pPr>
            <w:r>
              <w:rPr>
                <w:rFonts w:ascii="Arial" w:cs="Arial" w:eastAsia="Arial" w:hAnsi="Arial"/>
                <w:sz w:val="14"/>
                <w:szCs w:val="14"/>
                <w:i w:val="1"/>
                <w:iCs w:val="1"/>
                <w:color w:val="auto"/>
              </w:rPr>
              <w:t>Derived from audited financial statements.</w:t>
            </w:r>
          </w:p>
        </w:tc>
        <w:tc>
          <w:tcPr>
            <w:tcW w:w="2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8580" w:type="dxa"/>
            <w:vAlign w:val="bottom"/>
            <w:gridSpan w:val="2"/>
          </w:tcPr>
          <w:p>
            <w:pPr>
              <w:spacing w:after="0"/>
              <w:rPr>
                <w:sz w:val="20"/>
                <w:szCs w:val="20"/>
                <w:color w:val="auto"/>
              </w:rPr>
            </w:pPr>
            <w:r>
              <w:rPr>
                <w:rFonts w:ascii="Arial" w:cs="Arial" w:eastAsia="Arial" w:hAnsi="Arial"/>
                <w:sz w:val="14"/>
                <w:szCs w:val="14"/>
                <w:i w:val="1"/>
                <w:iCs w:val="1"/>
                <w:color w:val="auto"/>
              </w:rPr>
              <w:t>See Notes to Condensed Consolidated Financial Statements.</w:t>
            </w:r>
          </w:p>
        </w:tc>
        <w:tc>
          <w:tcPr>
            <w:tcW w:w="2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513" w:right="239" w:bottom="1440" w:gutter="0" w:footer="0" w:header="0"/>
        </w:sectPr>
      </w:pPr>
    </w:p>
    <w:bookmarkStart w:id="9" w:name="page10"/>
    <w:bookmarkEnd w:id="9"/>
    <w:p>
      <w:pPr>
        <w:spacing w:after="0"/>
        <w:rPr>
          <w:sz w:val="20"/>
          <w:szCs w:val="20"/>
          <w:color w:val="auto"/>
        </w:rPr>
      </w:pPr>
      <w:r>
        <w:rPr>
          <w:rFonts w:ascii="Arial" w:cs="Arial" w:eastAsia="Arial" w:hAnsi="Arial"/>
          <w:sz w:val="16"/>
          <w:szCs w:val="16"/>
          <w:b w:val="1"/>
          <w:bCs w:val="1"/>
          <w:color w:val="auto"/>
        </w:rPr>
        <w:t>SEMPRA ENERGY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-104775</wp:posOffset>
            </wp:positionV>
            <wp:extent cx="7246620" cy="3346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334645"/>
                    </a:xfrm>
                    <a:prstGeom prst="rect">
                      <a:avLst/>
                    </a:prstGeom>
                    <a:noFill/>
                  </pic:spPr>
                </pic:pic>
              </a:graphicData>
            </a:graphic>
          </wp:anchor>
        </w:drawing>
      </w:r>
    </w:p>
    <w:p>
      <w:pPr>
        <w:spacing w:after="0"/>
        <w:rPr>
          <w:sz w:val="20"/>
          <w:szCs w:val="20"/>
          <w:color w:val="auto"/>
        </w:rPr>
      </w:pPr>
      <w:r>
        <w:rPr>
          <w:rFonts w:ascii="Arial" w:cs="Arial" w:eastAsia="Arial" w:hAnsi="Arial"/>
          <w:sz w:val="16"/>
          <w:szCs w:val="16"/>
          <w:b w:val="1"/>
          <w:bCs w:val="1"/>
          <w:color w:val="auto"/>
        </w:rPr>
        <w:t>CONDENSED CONSOLIDATED STATEMENTS OF CASH FLOWS</w:t>
      </w:r>
    </w:p>
    <w:p>
      <w:pPr>
        <w:spacing w:after="0" w:line="8"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(Dollars in millions)</w:t>
      </w:r>
    </w:p>
    <w:tbl>
      <w:tblPr>
        <w:tblLayout w:type="fixed"/>
        <w:tblInd w:w="0" w:type="dxa"/>
        <w:tblCellMar>
          <w:top w:w="0" w:type="dxa"/>
          <w:left w:w="0" w:type="dxa"/>
          <w:bottom w:w="0" w:type="dxa"/>
          <w:right w:w="0" w:type="dxa"/>
        </w:tblCellMar>
      </w:tblPr>
      <w:tr>
        <w:trPr>
          <w:trHeight w:val="165"/>
        </w:trPr>
        <w:tc>
          <w:tcPr>
            <w:tcW w:w="8660" w:type="dxa"/>
            <w:vAlign w:val="bottom"/>
          </w:tcPr>
          <w:p>
            <w:pPr>
              <w:spacing w:after="0"/>
              <w:rPr>
                <w:sz w:val="14"/>
                <w:szCs w:val="14"/>
                <w:color w:val="auto"/>
              </w:rPr>
            </w:pPr>
          </w:p>
        </w:tc>
        <w:tc>
          <w:tcPr>
            <w:tcW w:w="2240" w:type="dxa"/>
            <w:vAlign w:val="bottom"/>
            <w:tcBorders>
              <w:bottom w:val="single" w:sz="8" w:color="auto"/>
            </w:tcBorders>
            <w:gridSpan w:val="3"/>
          </w:tcPr>
          <w:p>
            <w:pPr>
              <w:ind w:left="500"/>
              <w:spacing w:after="0" w:line="159" w:lineRule="exact"/>
              <w:rPr>
                <w:sz w:val="20"/>
                <w:szCs w:val="20"/>
                <w:color w:val="auto"/>
              </w:rPr>
            </w:pPr>
            <w:r>
              <w:rPr>
                <w:rFonts w:ascii="Arial" w:cs="Arial" w:eastAsia="Arial" w:hAnsi="Arial"/>
                <w:sz w:val="14"/>
                <w:szCs w:val="14"/>
                <w:color w:val="auto"/>
              </w:rPr>
              <w:t>Six months ended June 30,</w:t>
            </w:r>
          </w:p>
        </w:tc>
        <w:tc>
          <w:tcPr>
            <w:tcW w:w="52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866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ind w:left="500"/>
              <w:spacing w:after="0"/>
              <w:rPr>
                <w:sz w:val="20"/>
                <w:szCs w:val="20"/>
                <w:color w:val="auto"/>
              </w:rPr>
            </w:pPr>
            <w:r>
              <w:rPr>
                <w:rFonts w:ascii="Arial" w:cs="Arial" w:eastAsia="Arial" w:hAnsi="Arial"/>
                <w:sz w:val="14"/>
                <w:szCs w:val="14"/>
                <w:color w:val="auto"/>
              </w:rPr>
              <w:t>2011</w:t>
            </w:r>
          </w:p>
        </w:tc>
        <w:tc>
          <w:tcPr>
            <w:tcW w:w="52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2010</w:t>
            </w:r>
          </w:p>
        </w:tc>
        <w:tc>
          <w:tcPr>
            <w:tcW w:w="52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8660" w:type="dxa"/>
            <w:vAlign w:val="bottom"/>
            <w:vMerge w:val="restart"/>
          </w:tcPr>
          <w:p>
            <w:pPr>
              <w:spacing w:after="0"/>
              <w:rPr>
                <w:sz w:val="20"/>
                <w:szCs w:val="20"/>
                <w:color w:val="auto"/>
              </w:rPr>
            </w:pPr>
            <w:r>
              <w:rPr>
                <w:rFonts w:ascii="Arial" w:cs="Arial" w:eastAsia="Arial" w:hAnsi="Arial"/>
                <w:sz w:val="16"/>
                <w:szCs w:val="16"/>
                <w:color w:val="auto"/>
              </w:rPr>
              <w:t>CASH FLOWS FROM OPERATING ACTIVITIES</w:t>
            </w:r>
          </w:p>
        </w:tc>
        <w:tc>
          <w:tcPr>
            <w:tcW w:w="840" w:type="dxa"/>
            <w:vAlign w:val="bottom"/>
          </w:tcPr>
          <w:p>
            <w:pPr>
              <w:spacing w:after="0"/>
              <w:rPr>
                <w:sz w:val="16"/>
                <w:szCs w:val="16"/>
                <w:color w:val="auto"/>
              </w:rPr>
            </w:pPr>
          </w:p>
        </w:tc>
        <w:tc>
          <w:tcPr>
            <w:tcW w:w="1400" w:type="dxa"/>
            <w:vAlign w:val="bottom"/>
            <w:gridSpan w:val="2"/>
          </w:tcPr>
          <w:p>
            <w:pPr>
              <w:jc w:val="right"/>
              <w:ind w:right="422"/>
              <w:spacing w:after="0"/>
              <w:rPr>
                <w:sz w:val="20"/>
                <w:szCs w:val="20"/>
                <w:color w:val="auto"/>
              </w:rPr>
            </w:pPr>
            <w:r>
              <w:rPr>
                <w:rFonts w:ascii="Arial" w:cs="Arial" w:eastAsia="Arial" w:hAnsi="Arial"/>
                <w:sz w:val="14"/>
                <w:szCs w:val="14"/>
                <w:color w:val="auto"/>
              </w:rPr>
              <w:t>(unaudited)</w:t>
            </w:r>
          </w:p>
        </w:tc>
        <w:tc>
          <w:tcPr>
            <w:tcW w:w="5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8660" w:type="dxa"/>
            <w:vAlign w:val="bottom"/>
            <w:vMerge w:val="continue"/>
          </w:tcPr>
          <w:p>
            <w:pPr>
              <w:spacing w:after="0"/>
              <w:rPr>
                <w:sz w:val="12"/>
                <w:szCs w:val="12"/>
                <w:color w:val="auto"/>
              </w:rPr>
            </w:pPr>
          </w:p>
        </w:tc>
        <w:tc>
          <w:tcPr>
            <w:tcW w:w="8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8660" w:type="dxa"/>
            <w:vAlign w:val="bottom"/>
          </w:tcPr>
          <w:p>
            <w:pPr>
              <w:ind w:left="180"/>
              <w:spacing w:after="0" w:line="176" w:lineRule="exact"/>
              <w:rPr>
                <w:sz w:val="20"/>
                <w:szCs w:val="20"/>
                <w:color w:val="auto"/>
              </w:rPr>
            </w:pPr>
            <w:r>
              <w:rPr>
                <w:rFonts w:ascii="Arial" w:cs="Arial" w:eastAsia="Arial" w:hAnsi="Arial"/>
                <w:sz w:val="16"/>
                <w:szCs w:val="16"/>
                <w:color w:val="auto"/>
              </w:rPr>
              <w:t>Net income</w:t>
            </w:r>
          </w:p>
        </w:tc>
        <w:tc>
          <w:tcPr>
            <w:tcW w:w="840" w:type="dxa"/>
            <w:vAlign w:val="bottom"/>
          </w:tcPr>
          <w:p>
            <w:pPr>
              <w:jc w:val="right"/>
              <w:ind w:right="686"/>
              <w:spacing w:after="0"/>
              <w:rPr>
                <w:sz w:val="20"/>
                <w:szCs w:val="20"/>
                <w:color w:val="auto"/>
              </w:rPr>
            </w:pPr>
            <w:r>
              <w:rPr>
                <w:rFonts w:ascii="Arial" w:cs="Arial" w:eastAsia="Arial" w:hAnsi="Arial"/>
                <w:sz w:val="15"/>
                <w:szCs w:val="15"/>
                <w:color w:val="auto"/>
                <w:w w:val="71"/>
              </w:rPr>
              <w:t>$</w:t>
            </w:r>
          </w:p>
        </w:tc>
        <w:tc>
          <w:tcPr>
            <w:tcW w:w="520" w:type="dxa"/>
            <w:vAlign w:val="bottom"/>
          </w:tcPr>
          <w:p>
            <w:pPr>
              <w:jc w:val="right"/>
              <w:spacing w:after="0" w:line="176" w:lineRule="exact"/>
              <w:rPr>
                <w:sz w:val="20"/>
                <w:szCs w:val="20"/>
                <w:color w:val="auto"/>
              </w:rPr>
            </w:pPr>
            <w:r>
              <w:rPr>
                <w:rFonts w:ascii="Arial" w:cs="Arial" w:eastAsia="Arial" w:hAnsi="Arial"/>
                <w:sz w:val="16"/>
                <w:szCs w:val="16"/>
                <w:color w:val="auto"/>
              </w:rPr>
              <w:t>766</w:t>
            </w:r>
          </w:p>
        </w:tc>
        <w:tc>
          <w:tcPr>
            <w:tcW w:w="880" w:type="dxa"/>
            <w:vAlign w:val="bottom"/>
          </w:tcPr>
          <w:p>
            <w:pPr>
              <w:jc w:val="right"/>
              <w:ind w:right="702"/>
              <w:spacing w:after="0" w:line="176" w:lineRule="exact"/>
              <w:rPr>
                <w:sz w:val="20"/>
                <w:szCs w:val="20"/>
                <w:color w:val="auto"/>
              </w:rPr>
            </w:pPr>
            <w:r>
              <w:rPr>
                <w:rFonts w:ascii="Arial" w:cs="Arial" w:eastAsia="Arial" w:hAnsi="Arial"/>
                <w:sz w:val="16"/>
                <w:szCs w:val="16"/>
                <w:color w:val="auto"/>
                <w:w w:val="89"/>
              </w:rPr>
              <w:t>$</w:t>
            </w:r>
          </w:p>
        </w:tc>
        <w:tc>
          <w:tcPr>
            <w:tcW w:w="520" w:type="dxa"/>
            <w:vAlign w:val="bottom"/>
          </w:tcPr>
          <w:p>
            <w:pPr>
              <w:jc w:val="right"/>
              <w:spacing w:after="0" w:line="176" w:lineRule="exact"/>
              <w:rPr>
                <w:sz w:val="20"/>
                <w:szCs w:val="20"/>
                <w:color w:val="auto"/>
              </w:rPr>
            </w:pPr>
            <w:r>
              <w:rPr>
                <w:rFonts w:ascii="Arial" w:cs="Arial" w:eastAsia="Arial" w:hAnsi="Arial"/>
                <w:sz w:val="16"/>
                <w:szCs w:val="16"/>
                <w:color w:val="auto"/>
              </w:rPr>
              <w:t>305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8660" w:type="dxa"/>
            <w:vAlign w:val="bottom"/>
          </w:tcPr>
          <w:p>
            <w:pPr>
              <w:ind w:left="180"/>
              <w:spacing w:after="0" w:line="176" w:lineRule="exact"/>
              <w:rPr>
                <w:sz w:val="20"/>
                <w:szCs w:val="20"/>
                <w:color w:val="auto"/>
              </w:rPr>
            </w:pPr>
            <w:r>
              <w:rPr>
                <w:rFonts w:ascii="Arial" w:cs="Arial" w:eastAsia="Arial" w:hAnsi="Arial"/>
                <w:sz w:val="16"/>
                <w:szCs w:val="16"/>
                <w:color w:val="auto"/>
              </w:rPr>
              <w:t>Adjustments to reconcile net income to net cash provided</w:t>
            </w:r>
          </w:p>
        </w:tc>
        <w:tc>
          <w:tcPr>
            <w:tcW w:w="8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8660" w:type="dxa"/>
            <w:vAlign w:val="bottom"/>
          </w:tcPr>
          <w:p>
            <w:pPr>
              <w:ind w:left="360"/>
              <w:spacing w:after="0" w:line="176" w:lineRule="exact"/>
              <w:rPr>
                <w:sz w:val="20"/>
                <w:szCs w:val="20"/>
                <w:color w:val="auto"/>
              </w:rPr>
            </w:pPr>
            <w:r>
              <w:rPr>
                <w:rFonts w:ascii="Arial" w:cs="Arial" w:eastAsia="Arial" w:hAnsi="Arial"/>
                <w:sz w:val="16"/>
                <w:szCs w:val="16"/>
                <w:color w:val="auto"/>
              </w:rPr>
              <w:t>by operating activities:</w:t>
            </w:r>
          </w:p>
        </w:tc>
        <w:tc>
          <w:tcPr>
            <w:tcW w:w="8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8660" w:type="dxa"/>
            <w:vAlign w:val="bottom"/>
          </w:tcPr>
          <w:p>
            <w:pPr>
              <w:ind w:left="540"/>
              <w:spacing w:after="0" w:line="176" w:lineRule="exact"/>
              <w:rPr>
                <w:sz w:val="20"/>
                <w:szCs w:val="20"/>
                <w:color w:val="auto"/>
              </w:rPr>
            </w:pPr>
            <w:r>
              <w:rPr>
                <w:rFonts w:ascii="Arial" w:cs="Arial" w:eastAsia="Arial" w:hAnsi="Arial"/>
                <w:sz w:val="16"/>
                <w:szCs w:val="16"/>
                <w:color w:val="auto"/>
              </w:rPr>
              <w:t>Depreciation and amortization</w:t>
            </w:r>
          </w:p>
        </w:tc>
        <w:tc>
          <w:tcPr>
            <w:tcW w:w="840" w:type="dxa"/>
            <w:vAlign w:val="bottom"/>
          </w:tcPr>
          <w:p>
            <w:pPr>
              <w:spacing w:after="0"/>
              <w:rPr>
                <w:sz w:val="15"/>
                <w:szCs w:val="15"/>
                <w:color w:val="auto"/>
              </w:rPr>
            </w:pPr>
          </w:p>
        </w:tc>
        <w:tc>
          <w:tcPr>
            <w:tcW w:w="520" w:type="dxa"/>
            <w:vAlign w:val="bottom"/>
          </w:tcPr>
          <w:p>
            <w:pPr>
              <w:jc w:val="right"/>
              <w:spacing w:after="0" w:line="176" w:lineRule="exact"/>
              <w:rPr>
                <w:sz w:val="20"/>
                <w:szCs w:val="20"/>
                <w:color w:val="auto"/>
              </w:rPr>
            </w:pPr>
            <w:r>
              <w:rPr>
                <w:rFonts w:ascii="Arial" w:cs="Arial" w:eastAsia="Arial" w:hAnsi="Arial"/>
                <w:sz w:val="16"/>
                <w:szCs w:val="16"/>
                <w:color w:val="auto"/>
              </w:rPr>
              <w:t>479</w:t>
            </w:r>
          </w:p>
        </w:tc>
        <w:tc>
          <w:tcPr>
            <w:tcW w:w="880" w:type="dxa"/>
            <w:vAlign w:val="bottom"/>
          </w:tcPr>
          <w:p>
            <w:pPr>
              <w:spacing w:after="0"/>
              <w:rPr>
                <w:sz w:val="15"/>
                <w:szCs w:val="15"/>
                <w:color w:val="auto"/>
              </w:rPr>
            </w:pPr>
          </w:p>
        </w:tc>
        <w:tc>
          <w:tcPr>
            <w:tcW w:w="520" w:type="dxa"/>
            <w:vAlign w:val="bottom"/>
          </w:tcPr>
          <w:p>
            <w:pPr>
              <w:jc w:val="right"/>
              <w:spacing w:after="0" w:line="176" w:lineRule="exact"/>
              <w:rPr>
                <w:sz w:val="20"/>
                <w:szCs w:val="20"/>
                <w:color w:val="auto"/>
              </w:rPr>
            </w:pPr>
            <w:r>
              <w:rPr>
                <w:rFonts w:ascii="Arial" w:cs="Arial" w:eastAsia="Arial" w:hAnsi="Arial"/>
                <w:sz w:val="16"/>
                <w:szCs w:val="16"/>
                <w:color w:val="auto"/>
              </w:rPr>
              <w:t>425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8660" w:type="dxa"/>
            <w:vAlign w:val="bottom"/>
          </w:tcPr>
          <w:p>
            <w:pPr>
              <w:ind w:left="540"/>
              <w:spacing w:after="0" w:line="176" w:lineRule="exact"/>
              <w:rPr>
                <w:sz w:val="20"/>
                <w:szCs w:val="20"/>
                <w:color w:val="auto"/>
              </w:rPr>
            </w:pPr>
            <w:r>
              <w:rPr>
                <w:rFonts w:ascii="Arial" w:cs="Arial" w:eastAsia="Arial" w:hAnsi="Arial"/>
                <w:sz w:val="16"/>
                <w:szCs w:val="16"/>
                <w:color w:val="auto"/>
              </w:rPr>
              <w:t>Deferred income taxes and investment tax credits</w:t>
            </w:r>
          </w:p>
        </w:tc>
        <w:tc>
          <w:tcPr>
            <w:tcW w:w="840" w:type="dxa"/>
            <w:vAlign w:val="bottom"/>
          </w:tcPr>
          <w:p>
            <w:pPr>
              <w:spacing w:after="0"/>
              <w:rPr>
                <w:sz w:val="15"/>
                <w:szCs w:val="15"/>
                <w:color w:val="auto"/>
              </w:rPr>
            </w:pPr>
          </w:p>
        </w:tc>
        <w:tc>
          <w:tcPr>
            <w:tcW w:w="520" w:type="dxa"/>
            <w:vAlign w:val="bottom"/>
          </w:tcPr>
          <w:p>
            <w:pPr>
              <w:jc w:val="right"/>
              <w:spacing w:after="0" w:line="176" w:lineRule="exact"/>
              <w:rPr>
                <w:sz w:val="20"/>
                <w:szCs w:val="20"/>
                <w:color w:val="auto"/>
              </w:rPr>
            </w:pPr>
            <w:r>
              <w:rPr>
                <w:rFonts w:ascii="Arial" w:cs="Arial" w:eastAsia="Arial" w:hAnsi="Arial"/>
                <w:sz w:val="16"/>
                <w:szCs w:val="16"/>
                <w:color w:val="auto"/>
              </w:rPr>
              <w:t>147</w:t>
            </w:r>
          </w:p>
        </w:tc>
        <w:tc>
          <w:tcPr>
            <w:tcW w:w="880" w:type="dxa"/>
            <w:vAlign w:val="bottom"/>
          </w:tcPr>
          <w:p>
            <w:pPr>
              <w:spacing w:after="0"/>
              <w:rPr>
                <w:sz w:val="15"/>
                <w:szCs w:val="15"/>
                <w:color w:val="auto"/>
              </w:rPr>
            </w:pPr>
          </w:p>
        </w:tc>
        <w:tc>
          <w:tcPr>
            <w:tcW w:w="520" w:type="dxa"/>
            <w:vAlign w:val="bottom"/>
          </w:tcPr>
          <w:p>
            <w:pPr>
              <w:jc w:val="right"/>
              <w:spacing w:after="0" w:line="176" w:lineRule="exact"/>
              <w:rPr>
                <w:sz w:val="20"/>
                <w:szCs w:val="20"/>
                <w:color w:val="auto"/>
              </w:rPr>
            </w:pPr>
            <w:r>
              <w:rPr>
                <w:rFonts w:ascii="Arial" w:cs="Arial" w:eastAsia="Arial" w:hAnsi="Arial"/>
                <w:sz w:val="16"/>
                <w:szCs w:val="16"/>
                <w:color w:val="auto"/>
              </w:rPr>
              <w:t>96</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8660" w:type="dxa"/>
            <w:vAlign w:val="bottom"/>
          </w:tcPr>
          <w:p>
            <w:pPr>
              <w:ind w:left="540"/>
              <w:spacing w:after="0" w:line="176" w:lineRule="exact"/>
              <w:rPr>
                <w:sz w:val="20"/>
                <w:szCs w:val="20"/>
                <w:color w:val="auto"/>
              </w:rPr>
            </w:pPr>
            <w:r>
              <w:rPr>
                <w:rFonts w:ascii="Arial" w:cs="Arial" w:eastAsia="Arial" w:hAnsi="Arial"/>
                <w:sz w:val="16"/>
                <w:szCs w:val="16"/>
                <w:color w:val="auto"/>
              </w:rPr>
              <w:t>Equity earnings</w:t>
            </w:r>
          </w:p>
        </w:tc>
        <w:tc>
          <w:tcPr>
            <w:tcW w:w="840" w:type="dxa"/>
            <w:vAlign w:val="bottom"/>
          </w:tcPr>
          <w:p>
            <w:pPr>
              <w:spacing w:after="0"/>
              <w:rPr>
                <w:sz w:val="15"/>
                <w:szCs w:val="15"/>
                <w:color w:val="auto"/>
              </w:rPr>
            </w:pPr>
          </w:p>
        </w:tc>
        <w:tc>
          <w:tcPr>
            <w:tcW w:w="520" w:type="dxa"/>
            <w:vAlign w:val="bottom"/>
          </w:tcPr>
          <w:p>
            <w:pPr>
              <w:jc w:val="right"/>
              <w:spacing w:after="0" w:line="176" w:lineRule="exact"/>
              <w:rPr>
                <w:sz w:val="20"/>
                <w:szCs w:val="20"/>
                <w:color w:val="auto"/>
              </w:rPr>
            </w:pPr>
            <w:r>
              <w:rPr>
                <w:rFonts w:ascii="Arial" w:cs="Arial" w:eastAsia="Arial" w:hAnsi="Arial"/>
                <w:sz w:val="16"/>
                <w:szCs w:val="16"/>
                <w:color w:val="auto"/>
              </w:rPr>
              <w:t>(47)</w:t>
            </w:r>
          </w:p>
        </w:tc>
        <w:tc>
          <w:tcPr>
            <w:tcW w:w="880" w:type="dxa"/>
            <w:vAlign w:val="bottom"/>
          </w:tcPr>
          <w:p>
            <w:pPr>
              <w:spacing w:after="0"/>
              <w:rPr>
                <w:sz w:val="15"/>
                <w:szCs w:val="15"/>
                <w:color w:val="auto"/>
              </w:rPr>
            </w:pPr>
          </w:p>
        </w:tc>
        <w:tc>
          <w:tcPr>
            <w:tcW w:w="540" w:type="dxa"/>
            <w:vAlign w:val="bottom"/>
            <w:gridSpan w:val="2"/>
          </w:tcPr>
          <w:p>
            <w:pPr>
              <w:jc w:val="right"/>
              <w:ind w:right="20"/>
              <w:spacing w:after="0" w:line="176" w:lineRule="exact"/>
              <w:rPr>
                <w:sz w:val="20"/>
                <w:szCs w:val="20"/>
                <w:color w:val="auto"/>
              </w:rPr>
            </w:pPr>
            <w:r>
              <w:rPr>
                <w:rFonts w:ascii="Arial" w:cs="Arial" w:eastAsia="Arial" w:hAnsi="Arial"/>
                <w:sz w:val="16"/>
                <w:szCs w:val="16"/>
                <w:color w:val="auto"/>
              </w:rPr>
              <w:t>(53)</w:t>
            </w:r>
          </w:p>
        </w:tc>
        <w:tc>
          <w:tcPr>
            <w:tcW w:w="0" w:type="dxa"/>
            <w:vAlign w:val="bottom"/>
          </w:tcPr>
          <w:p>
            <w:pPr>
              <w:spacing w:after="0"/>
              <w:rPr>
                <w:sz w:val="1"/>
                <w:szCs w:val="1"/>
                <w:color w:val="auto"/>
              </w:rPr>
            </w:pPr>
          </w:p>
        </w:tc>
      </w:tr>
      <w:tr>
        <w:trPr>
          <w:trHeight w:val="176"/>
        </w:trPr>
        <w:tc>
          <w:tcPr>
            <w:tcW w:w="8660" w:type="dxa"/>
            <w:vAlign w:val="bottom"/>
          </w:tcPr>
          <w:p>
            <w:pPr>
              <w:ind w:left="540"/>
              <w:spacing w:after="0" w:line="176" w:lineRule="exact"/>
              <w:rPr>
                <w:sz w:val="20"/>
                <w:szCs w:val="20"/>
                <w:color w:val="auto"/>
              </w:rPr>
            </w:pPr>
            <w:r>
              <w:rPr>
                <w:rFonts w:ascii="Arial" w:cs="Arial" w:eastAsia="Arial" w:hAnsi="Arial"/>
                <w:sz w:val="16"/>
                <w:szCs w:val="16"/>
                <w:color w:val="auto"/>
              </w:rPr>
              <w:t>Remeasurement of equity method investments</w:t>
            </w:r>
          </w:p>
        </w:tc>
        <w:tc>
          <w:tcPr>
            <w:tcW w:w="840" w:type="dxa"/>
            <w:vAlign w:val="bottom"/>
          </w:tcPr>
          <w:p>
            <w:pPr>
              <w:spacing w:after="0"/>
              <w:rPr>
                <w:sz w:val="15"/>
                <w:szCs w:val="15"/>
                <w:color w:val="auto"/>
              </w:rPr>
            </w:pPr>
          </w:p>
        </w:tc>
        <w:tc>
          <w:tcPr>
            <w:tcW w:w="520" w:type="dxa"/>
            <w:vAlign w:val="bottom"/>
          </w:tcPr>
          <w:p>
            <w:pPr>
              <w:jc w:val="right"/>
              <w:spacing w:after="0" w:line="176" w:lineRule="exact"/>
              <w:rPr>
                <w:sz w:val="20"/>
                <w:szCs w:val="20"/>
                <w:color w:val="auto"/>
              </w:rPr>
            </w:pPr>
            <w:r>
              <w:rPr>
                <w:rFonts w:ascii="Arial" w:cs="Arial" w:eastAsia="Arial" w:hAnsi="Arial"/>
                <w:sz w:val="16"/>
                <w:szCs w:val="16"/>
                <w:color w:val="auto"/>
              </w:rPr>
              <w:t>(277)</w:t>
            </w:r>
          </w:p>
        </w:tc>
        <w:tc>
          <w:tcPr>
            <w:tcW w:w="880" w:type="dxa"/>
            <w:vAlign w:val="bottom"/>
          </w:tcPr>
          <w:p>
            <w:pPr>
              <w:spacing w:after="0"/>
              <w:rPr>
                <w:sz w:val="15"/>
                <w:szCs w:val="15"/>
                <w:color w:val="auto"/>
              </w:rPr>
            </w:pPr>
          </w:p>
        </w:tc>
        <w:tc>
          <w:tcPr>
            <w:tcW w:w="540" w:type="dxa"/>
            <w:vAlign w:val="bottom"/>
            <w:gridSpan w:val="2"/>
          </w:tcPr>
          <w:p>
            <w:pPr>
              <w:jc w:val="right"/>
              <w:ind w:right="60"/>
              <w:spacing w:after="0" w:line="176" w:lineRule="exact"/>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76"/>
        </w:trPr>
        <w:tc>
          <w:tcPr>
            <w:tcW w:w="8660" w:type="dxa"/>
            <w:vAlign w:val="bottom"/>
          </w:tcPr>
          <w:p>
            <w:pPr>
              <w:ind w:left="540"/>
              <w:spacing w:after="0" w:line="176" w:lineRule="exact"/>
              <w:rPr>
                <w:sz w:val="20"/>
                <w:szCs w:val="20"/>
                <w:color w:val="auto"/>
              </w:rPr>
            </w:pPr>
            <w:r>
              <w:rPr>
                <w:rFonts w:ascii="Arial" w:cs="Arial" w:eastAsia="Arial" w:hAnsi="Arial"/>
                <w:sz w:val="16"/>
                <w:szCs w:val="16"/>
                <w:color w:val="auto"/>
              </w:rPr>
              <w:t>Fixed-price contracts and other derivatives</w:t>
            </w:r>
          </w:p>
        </w:tc>
        <w:tc>
          <w:tcPr>
            <w:tcW w:w="840" w:type="dxa"/>
            <w:vAlign w:val="bottom"/>
          </w:tcPr>
          <w:p>
            <w:pPr>
              <w:spacing w:after="0"/>
              <w:rPr>
                <w:sz w:val="15"/>
                <w:szCs w:val="15"/>
                <w:color w:val="auto"/>
              </w:rPr>
            </w:pPr>
          </w:p>
        </w:tc>
        <w:tc>
          <w:tcPr>
            <w:tcW w:w="520" w:type="dxa"/>
            <w:vAlign w:val="bottom"/>
          </w:tcPr>
          <w:p>
            <w:pPr>
              <w:jc w:val="right"/>
              <w:spacing w:after="0" w:line="176" w:lineRule="exact"/>
              <w:rPr>
                <w:sz w:val="20"/>
                <w:szCs w:val="20"/>
                <w:color w:val="auto"/>
              </w:rPr>
            </w:pPr>
            <w:r>
              <w:rPr>
                <w:rFonts w:ascii="Arial" w:cs="Arial" w:eastAsia="Arial" w:hAnsi="Arial"/>
                <w:sz w:val="16"/>
                <w:szCs w:val="16"/>
                <w:color w:val="auto"/>
              </w:rPr>
              <w:t>(2)</w:t>
            </w:r>
          </w:p>
        </w:tc>
        <w:tc>
          <w:tcPr>
            <w:tcW w:w="880" w:type="dxa"/>
            <w:vAlign w:val="bottom"/>
          </w:tcPr>
          <w:p>
            <w:pPr>
              <w:spacing w:after="0"/>
              <w:rPr>
                <w:sz w:val="15"/>
                <w:szCs w:val="15"/>
                <w:color w:val="auto"/>
              </w:rPr>
            </w:pPr>
          </w:p>
        </w:tc>
        <w:tc>
          <w:tcPr>
            <w:tcW w:w="520" w:type="dxa"/>
            <w:vAlign w:val="bottom"/>
          </w:tcPr>
          <w:p>
            <w:pPr>
              <w:jc w:val="right"/>
              <w:spacing w:after="0" w:line="176" w:lineRule="exact"/>
              <w:rPr>
                <w:sz w:val="20"/>
                <w:szCs w:val="20"/>
                <w:color w:val="auto"/>
              </w:rPr>
            </w:pPr>
            <w:r>
              <w:rPr>
                <w:rFonts w:ascii="Arial" w:cs="Arial" w:eastAsia="Arial" w:hAnsi="Arial"/>
                <w:sz w:val="16"/>
                <w:szCs w:val="16"/>
                <w:color w:val="auto"/>
              </w:rPr>
              <w:t>14</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8660" w:type="dxa"/>
            <w:vAlign w:val="bottom"/>
          </w:tcPr>
          <w:p>
            <w:pPr>
              <w:ind w:left="540"/>
              <w:spacing w:after="0" w:line="176" w:lineRule="exact"/>
              <w:rPr>
                <w:sz w:val="20"/>
                <w:szCs w:val="20"/>
                <w:color w:val="auto"/>
              </w:rPr>
            </w:pPr>
            <w:r>
              <w:rPr>
                <w:rFonts w:ascii="Arial" w:cs="Arial" w:eastAsia="Arial" w:hAnsi="Arial"/>
                <w:sz w:val="16"/>
                <w:szCs w:val="16"/>
                <w:color w:val="auto"/>
              </w:rPr>
              <w:t>Other</w:t>
            </w:r>
          </w:p>
        </w:tc>
        <w:tc>
          <w:tcPr>
            <w:tcW w:w="840" w:type="dxa"/>
            <w:vAlign w:val="bottom"/>
          </w:tcPr>
          <w:p>
            <w:pPr>
              <w:spacing w:after="0"/>
              <w:rPr>
                <w:sz w:val="15"/>
                <w:szCs w:val="15"/>
                <w:color w:val="auto"/>
              </w:rPr>
            </w:pPr>
          </w:p>
        </w:tc>
        <w:tc>
          <w:tcPr>
            <w:tcW w:w="520" w:type="dxa"/>
            <w:vAlign w:val="bottom"/>
          </w:tcPr>
          <w:p>
            <w:pPr>
              <w:jc w:val="right"/>
              <w:spacing w:after="0" w:line="176" w:lineRule="exact"/>
              <w:rPr>
                <w:sz w:val="20"/>
                <w:szCs w:val="20"/>
                <w:color w:val="auto"/>
              </w:rPr>
            </w:pPr>
            <w:r>
              <w:rPr>
                <w:rFonts w:ascii="Arial" w:cs="Arial" w:eastAsia="Arial" w:hAnsi="Arial"/>
                <w:sz w:val="16"/>
                <w:szCs w:val="16"/>
                <w:color w:val="auto"/>
              </w:rPr>
              <w:t>(23)</w:t>
            </w:r>
          </w:p>
        </w:tc>
        <w:tc>
          <w:tcPr>
            <w:tcW w:w="880" w:type="dxa"/>
            <w:vAlign w:val="bottom"/>
          </w:tcPr>
          <w:p>
            <w:pPr>
              <w:spacing w:after="0"/>
              <w:rPr>
                <w:sz w:val="15"/>
                <w:szCs w:val="15"/>
                <w:color w:val="auto"/>
              </w:rPr>
            </w:pPr>
          </w:p>
        </w:tc>
        <w:tc>
          <w:tcPr>
            <w:tcW w:w="540" w:type="dxa"/>
            <w:vAlign w:val="bottom"/>
            <w:gridSpan w:val="2"/>
          </w:tcPr>
          <w:p>
            <w:pPr>
              <w:jc w:val="right"/>
              <w:ind w:right="20"/>
              <w:spacing w:after="0" w:line="176" w:lineRule="exact"/>
              <w:rPr>
                <w:sz w:val="20"/>
                <w:szCs w:val="20"/>
                <w:color w:val="auto"/>
              </w:rPr>
            </w:pPr>
            <w:r>
              <w:rPr>
                <w:rFonts w:ascii="Arial" w:cs="Arial" w:eastAsia="Arial" w:hAnsi="Arial"/>
                <w:sz w:val="16"/>
                <w:szCs w:val="16"/>
                <w:color w:val="auto"/>
              </w:rPr>
              <w:t>(6)</w:t>
            </w:r>
          </w:p>
        </w:tc>
        <w:tc>
          <w:tcPr>
            <w:tcW w:w="0" w:type="dxa"/>
            <w:vAlign w:val="bottom"/>
          </w:tcPr>
          <w:p>
            <w:pPr>
              <w:spacing w:after="0"/>
              <w:rPr>
                <w:sz w:val="1"/>
                <w:szCs w:val="1"/>
                <w:color w:val="auto"/>
              </w:rPr>
            </w:pPr>
          </w:p>
        </w:tc>
      </w:tr>
      <w:tr>
        <w:trPr>
          <w:trHeight w:val="176"/>
        </w:trPr>
        <w:tc>
          <w:tcPr>
            <w:tcW w:w="8660" w:type="dxa"/>
            <w:vAlign w:val="bottom"/>
          </w:tcPr>
          <w:p>
            <w:pPr>
              <w:ind w:left="180"/>
              <w:spacing w:after="0" w:line="176" w:lineRule="exact"/>
              <w:rPr>
                <w:sz w:val="20"/>
                <w:szCs w:val="20"/>
                <w:color w:val="auto"/>
              </w:rPr>
            </w:pPr>
            <w:r>
              <w:rPr>
                <w:rFonts w:ascii="Arial" w:cs="Arial" w:eastAsia="Arial" w:hAnsi="Arial"/>
                <w:sz w:val="16"/>
                <w:szCs w:val="16"/>
                <w:color w:val="auto"/>
              </w:rPr>
              <w:t>Net change in other working capital components</w:t>
            </w:r>
          </w:p>
        </w:tc>
        <w:tc>
          <w:tcPr>
            <w:tcW w:w="840" w:type="dxa"/>
            <w:vAlign w:val="bottom"/>
          </w:tcPr>
          <w:p>
            <w:pPr>
              <w:spacing w:after="0"/>
              <w:rPr>
                <w:sz w:val="15"/>
                <w:szCs w:val="15"/>
                <w:color w:val="auto"/>
              </w:rPr>
            </w:pPr>
          </w:p>
        </w:tc>
        <w:tc>
          <w:tcPr>
            <w:tcW w:w="520" w:type="dxa"/>
            <w:vAlign w:val="bottom"/>
          </w:tcPr>
          <w:p>
            <w:pPr>
              <w:jc w:val="right"/>
              <w:spacing w:after="0" w:line="176" w:lineRule="exact"/>
              <w:rPr>
                <w:sz w:val="20"/>
                <w:szCs w:val="20"/>
                <w:color w:val="auto"/>
              </w:rPr>
            </w:pPr>
            <w:r>
              <w:rPr>
                <w:rFonts w:ascii="Arial" w:cs="Arial" w:eastAsia="Arial" w:hAnsi="Arial"/>
                <w:sz w:val="16"/>
                <w:szCs w:val="16"/>
                <w:color w:val="auto"/>
              </w:rPr>
              <w:t>53</w:t>
            </w:r>
          </w:p>
        </w:tc>
        <w:tc>
          <w:tcPr>
            <w:tcW w:w="880" w:type="dxa"/>
            <w:vAlign w:val="bottom"/>
          </w:tcPr>
          <w:p>
            <w:pPr>
              <w:spacing w:after="0"/>
              <w:rPr>
                <w:sz w:val="15"/>
                <w:szCs w:val="15"/>
                <w:color w:val="auto"/>
              </w:rPr>
            </w:pPr>
          </w:p>
        </w:tc>
        <w:tc>
          <w:tcPr>
            <w:tcW w:w="520" w:type="dxa"/>
            <w:vAlign w:val="bottom"/>
          </w:tcPr>
          <w:p>
            <w:pPr>
              <w:jc w:val="right"/>
              <w:spacing w:after="0" w:line="176" w:lineRule="exact"/>
              <w:rPr>
                <w:sz w:val="20"/>
                <w:szCs w:val="20"/>
                <w:color w:val="auto"/>
              </w:rPr>
            </w:pPr>
            <w:r>
              <w:rPr>
                <w:rFonts w:ascii="Arial" w:cs="Arial" w:eastAsia="Arial" w:hAnsi="Arial"/>
                <w:sz w:val="16"/>
                <w:szCs w:val="16"/>
                <w:color w:val="auto"/>
              </w:rPr>
              <w:t>294</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8660" w:type="dxa"/>
            <w:vAlign w:val="bottom"/>
          </w:tcPr>
          <w:p>
            <w:pPr>
              <w:ind w:left="180"/>
              <w:spacing w:after="0" w:line="176" w:lineRule="exact"/>
              <w:rPr>
                <w:sz w:val="20"/>
                <w:szCs w:val="20"/>
                <w:color w:val="auto"/>
              </w:rPr>
            </w:pPr>
            <w:r>
              <w:rPr>
                <w:rFonts w:ascii="Arial" w:cs="Arial" w:eastAsia="Arial" w:hAnsi="Arial"/>
                <w:sz w:val="16"/>
                <w:szCs w:val="16"/>
                <w:color w:val="auto"/>
              </w:rPr>
              <w:t>Distributions from RBS Sempra Commodities LLP</w:t>
            </w:r>
          </w:p>
        </w:tc>
        <w:tc>
          <w:tcPr>
            <w:tcW w:w="840" w:type="dxa"/>
            <w:vAlign w:val="bottom"/>
          </w:tcPr>
          <w:p>
            <w:pPr>
              <w:spacing w:after="0"/>
              <w:rPr>
                <w:sz w:val="15"/>
                <w:szCs w:val="15"/>
                <w:color w:val="auto"/>
              </w:rPr>
            </w:pPr>
          </w:p>
        </w:tc>
        <w:tc>
          <w:tcPr>
            <w:tcW w:w="520" w:type="dxa"/>
            <w:vAlign w:val="bottom"/>
          </w:tcPr>
          <w:p>
            <w:pPr>
              <w:jc w:val="right"/>
              <w:spacing w:after="0" w:line="176" w:lineRule="exact"/>
              <w:rPr>
                <w:sz w:val="20"/>
                <w:szCs w:val="20"/>
                <w:color w:val="auto"/>
              </w:rPr>
            </w:pPr>
            <w:r>
              <w:rPr>
                <w:rFonts w:ascii="Arial" w:cs="Arial" w:eastAsia="Arial" w:hAnsi="Arial"/>
                <w:sz w:val="16"/>
                <w:szCs w:val="16"/>
                <w:color w:val="auto"/>
              </w:rPr>
              <w:t>53</w:t>
            </w:r>
          </w:p>
        </w:tc>
        <w:tc>
          <w:tcPr>
            <w:tcW w:w="880" w:type="dxa"/>
            <w:vAlign w:val="bottom"/>
          </w:tcPr>
          <w:p>
            <w:pPr>
              <w:spacing w:after="0"/>
              <w:rPr>
                <w:sz w:val="15"/>
                <w:szCs w:val="15"/>
                <w:color w:val="auto"/>
              </w:rPr>
            </w:pPr>
          </w:p>
        </w:tc>
        <w:tc>
          <w:tcPr>
            <w:tcW w:w="520" w:type="dxa"/>
            <w:vAlign w:val="bottom"/>
          </w:tcPr>
          <w:p>
            <w:pPr>
              <w:jc w:val="right"/>
              <w:spacing w:after="0" w:line="176" w:lineRule="exact"/>
              <w:rPr>
                <w:sz w:val="20"/>
                <w:szCs w:val="20"/>
                <w:color w:val="auto"/>
              </w:rPr>
            </w:pPr>
            <w:r>
              <w:rPr>
                <w:rFonts w:ascii="Arial" w:cs="Arial" w:eastAsia="Arial" w:hAnsi="Arial"/>
                <w:sz w:val="16"/>
                <w:szCs w:val="16"/>
                <w:color w:val="auto"/>
              </w:rPr>
              <w:t>198</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8660" w:type="dxa"/>
            <w:vAlign w:val="bottom"/>
          </w:tcPr>
          <w:p>
            <w:pPr>
              <w:ind w:left="180"/>
              <w:spacing w:after="0" w:line="176" w:lineRule="exact"/>
              <w:rPr>
                <w:sz w:val="20"/>
                <w:szCs w:val="20"/>
                <w:color w:val="auto"/>
              </w:rPr>
            </w:pPr>
            <w:r>
              <w:rPr>
                <w:rFonts w:ascii="Arial" w:cs="Arial" w:eastAsia="Arial" w:hAnsi="Arial"/>
                <w:sz w:val="16"/>
                <w:szCs w:val="16"/>
                <w:color w:val="auto"/>
              </w:rPr>
              <w:t>Changes in other assets</w:t>
            </w:r>
          </w:p>
        </w:tc>
        <w:tc>
          <w:tcPr>
            <w:tcW w:w="840" w:type="dxa"/>
            <w:vAlign w:val="bottom"/>
          </w:tcPr>
          <w:p>
            <w:pPr>
              <w:spacing w:after="0"/>
              <w:rPr>
                <w:sz w:val="15"/>
                <w:szCs w:val="15"/>
                <w:color w:val="auto"/>
              </w:rPr>
            </w:pPr>
          </w:p>
        </w:tc>
        <w:tc>
          <w:tcPr>
            <w:tcW w:w="520" w:type="dxa"/>
            <w:vAlign w:val="bottom"/>
          </w:tcPr>
          <w:p>
            <w:pPr>
              <w:jc w:val="right"/>
              <w:spacing w:after="0" w:line="176" w:lineRule="exact"/>
              <w:rPr>
                <w:sz w:val="20"/>
                <w:szCs w:val="20"/>
                <w:color w:val="auto"/>
              </w:rPr>
            </w:pPr>
            <w:r>
              <w:rPr>
                <w:rFonts w:ascii="Arial" w:cs="Arial" w:eastAsia="Arial" w:hAnsi="Arial"/>
                <w:sz w:val="16"/>
                <w:szCs w:val="16"/>
                <w:color w:val="auto"/>
              </w:rPr>
              <w:t>2</w:t>
            </w:r>
          </w:p>
        </w:tc>
        <w:tc>
          <w:tcPr>
            <w:tcW w:w="880" w:type="dxa"/>
            <w:vAlign w:val="bottom"/>
          </w:tcPr>
          <w:p>
            <w:pPr>
              <w:spacing w:after="0"/>
              <w:rPr>
                <w:sz w:val="15"/>
                <w:szCs w:val="15"/>
                <w:color w:val="auto"/>
              </w:rPr>
            </w:pPr>
          </w:p>
        </w:tc>
        <w:tc>
          <w:tcPr>
            <w:tcW w:w="520" w:type="dxa"/>
            <w:vAlign w:val="bottom"/>
          </w:tcPr>
          <w:p>
            <w:pPr>
              <w:jc w:val="right"/>
              <w:spacing w:after="0" w:line="176" w:lineRule="exact"/>
              <w:rPr>
                <w:sz w:val="20"/>
                <w:szCs w:val="20"/>
                <w:color w:val="auto"/>
              </w:rPr>
            </w:pPr>
            <w:r>
              <w:rPr>
                <w:rFonts w:ascii="Arial" w:cs="Arial" w:eastAsia="Arial" w:hAnsi="Arial"/>
                <w:sz w:val="16"/>
                <w:szCs w:val="16"/>
                <w:color w:val="auto"/>
              </w:rPr>
              <w:t>53</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4"/>
        </w:trPr>
        <w:tc>
          <w:tcPr>
            <w:tcW w:w="8660" w:type="dxa"/>
            <w:vAlign w:val="bottom"/>
          </w:tcPr>
          <w:p>
            <w:pPr>
              <w:ind w:left="180"/>
              <w:spacing w:after="0"/>
              <w:rPr>
                <w:sz w:val="20"/>
                <w:szCs w:val="20"/>
                <w:color w:val="auto"/>
              </w:rPr>
            </w:pPr>
            <w:r>
              <w:rPr>
                <w:rFonts w:ascii="Arial" w:cs="Arial" w:eastAsia="Arial" w:hAnsi="Arial"/>
                <w:sz w:val="16"/>
                <w:szCs w:val="16"/>
                <w:color w:val="auto"/>
              </w:rPr>
              <w:t>Changes in other liabilities</w:t>
            </w:r>
          </w:p>
        </w:tc>
        <w:tc>
          <w:tcPr>
            <w:tcW w:w="84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(12)</w:t>
            </w:r>
          </w:p>
        </w:tc>
        <w:tc>
          <w:tcPr>
            <w:tcW w:w="880" w:type="dxa"/>
            <w:vAlign w:val="bottom"/>
          </w:tcPr>
          <w:p>
            <w:pPr>
              <w:spacing w:after="0"/>
              <w:rPr>
                <w:sz w:val="16"/>
                <w:szCs w:val="16"/>
                <w:color w:val="auto"/>
              </w:rPr>
            </w:pPr>
          </w:p>
        </w:tc>
        <w:tc>
          <w:tcPr>
            <w:tcW w:w="540" w:type="dxa"/>
            <w:vAlign w:val="bottom"/>
            <w:gridSpan w:val="2"/>
          </w:tcPr>
          <w:p>
            <w:pPr>
              <w:jc w:val="right"/>
              <w:ind w:right="20"/>
              <w:spacing w:after="0"/>
              <w:rPr>
                <w:sz w:val="20"/>
                <w:szCs w:val="20"/>
                <w:color w:val="auto"/>
              </w:rPr>
            </w:pPr>
            <w:r>
              <w:rPr>
                <w:rFonts w:ascii="Arial" w:cs="Arial" w:eastAsia="Arial" w:hAnsi="Arial"/>
                <w:sz w:val="16"/>
                <w:szCs w:val="16"/>
                <w:color w:val="auto"/>
              </w:rPr>
              <w:t>(19)</w:t>
            </w:r>
          </w:p>
        </w:tc>
        <w:tc>
          <w:tcPr>
            <w:tcW w:w="0" w:type="dxa"/>
            <w:vAlign w:val="bottom"/>
          </w:tcPr>
          <w:p>
            <w:pPr>
              <w:spacing w:after="0"/>
              <w:rPr>
                <w:sz w:val="1"/>
                <w:szCs w:val="1"/>
                <w:color w:val="auto"/>
              </w:rPr>
            </w:pPr>
          </w:p>
        </w:tc>
      </w:tr>
      <w:tr>
        <w:trPr>
          <w:trHeight w:val="183"/>
        </w:trPr>
        <w:tc>
          <w:tcPr>
            <w:tcW w:w="8660" w:type="dxa"/>
            <w:vAlign w:val="bottom"/>
          </w:tcPr>
          <w:p>
            <w:pPr>
              <w:ind w:left="360"/>
              <w:spacing w:after="0" w:line="176" w:lineRule="exact"/>
              <w:rPr>
                <w:sz w:val="20"/>
                <w:szCs w:val="20"/>
                <w:color w:val="auto"/>
              </w:rPr>
            </w:pPr>
            <w:r>
              <w:rPr>
                <w:rFonts w:ascii="Arial" w:cs="Arial" w:eastAsia="Arial" w:hAnsi="Arial"/>
                <w:sz w:val="16"/>
                <w:szCs w:val="16"/>
                <w:color w:val="auto"/>
              </w:rPr>
              <w:t>Net cash provided by operating activities</w:t>
            </w:r>
          </w:p>
        </w:tc>
        <w:tc>
          <w:tcPr>
            <w:tcW w:w="840" w:type="dxa"/>
            <w:vAlign w:val="bottom"/>
            <w:tcBorders>
              <w:top w:val="single" w:sz="8" w:color="auto"/>
              <w:bottom w:val="single" w:sz="8" w:color="auto"/>
            </w:tcBorders>
          </w:tcPr>
          <w:p>
            <w:pPr>
              <w:spacing w:after="0"/>
              <w:rPr>
                <w:sz w:val="15"/>
                <w:szCs w:val="15"/>
                <w:color w:val="auto"/>
              </w:rPr>
            </w:pPr>
          </w:p>
        </w:tc>
        <w:tc>
          <w:tcPr>
            <w:tcW w:w="520" w:type="dxa"/>
            <w:vAlign w:val="bottom"/>
            <w:tcBorders>
              <w:top w:val="single" w:sz="8" w:color="auto"/>
              <w:bottom w:val="single" w:sz="8" w:color="auto"/>
            </w:tcBorders>
          </w:tcPr>
          <w:p>
            <w:pPr>
              <w:jc w:val="right"/>
              <w:spacing w:after="0" w:line="176" w:lineRule="exact"/>
              <w:rPr>
                <w:sz w:val="20"/>
                <w:szCs w:val="20"/>
                <w:color w:val="auto"/>
              </w:rPr>
            </w:pPr>
            <w:r>
              <w:rPr>
                <w:rFonts w:ascii="Arial" w:cs="Arial" w:eastAsia="Arial" w:hAnsi="Arial"/>
                <w:sz w:val="16"/>
                <w:szCs w:val="16"/>
                <w:color w:val="auto"/>
              </w:rPr>
              <w:t>1,139</w:t>
            </w:r>
          </w:p>
        </w:tc>
        <w:tc>
          <w:tcPr>
            <w:tcW w:w="880" w:type="dxa"/>
            <w:vAlign w:val="bottom"/>
            <w:tcBorders>
              <w:top w:val="single" w:sz="8" w:color="auto"/>
              <w:bottom w:val="single" w:sz="8" w:color="auto"/>
            </w:tcBorders>
          </w:tcPr>
          <w:p>
            <w:pPr>
              <w:spacing w:after="0"/>
              <w:rPr>
                <w:sz w:val="15"/>
                <w:szCs w:val="15"/>
                <w:color w:val="auto"/>
              </w:rPr>
            </w:pPr>
          </w:p>
        </w:tc>
        <w:tc>
          <w:tcPr>
            <w:tcW w:w="520" w:type="dxa"/>
            <w:vAlign w:val="bottom"/>
            <w:tcBorders>
              <w:top w:val="single" w:sz="8" w:color="auto"/>
              <w:bottom w:val="single" w:sz="8" w:color="auto"/>
            </w:tcBorders>
          </w:tcPr>
          <w:p>
            <w:pPr>
              <w:jc w:val="right"/>
              <w:spacing w:after="0" w:line="176" w:lineRule="exact"/>
              <w:rPr>
                <w:sz w:val="20"/>
                <w:szCs w:val="20"/>
                <w:color w:val="auto"/>
              </w:rPr>
            </w:pPr>
            <w:r>
              <w:rPr>
                <w:rFonts w:ascii="Arial" w:cs="Arial" w:eastAsia="Arial" w:hAnsi="Arial"/>
                <w:sz w:val="16"/>
                <w:szCs w:val="16"/>
                <w:color w:val="auto"/>
              </w:rPr>
              <w:t>1,307</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40"/>
        </w:trPr>
        <w:tc>
          <w:tcPr>
            <w:tcW w:w="8660" w:type="dxa"/>
            <w:vAlign w:val="bottom"/>
          </w:tcPr>
          <w:p>
            <w:pPr>
              <w:spacing w:after="0"/>
              <w:rPr>
                <w:sz w:val="20"/>
                <w:szCs w:val="20"/>
                <w:color w:val="auto"/>
              </w:rPr>
            </w:pPr>
            <w:r>
              <w:rPr>
                <w:rFonts w:ascii="Arial" w:cs="Arial" w:eastAsia="Arial" w:hAnsi="Arial"/>
                <w:sz w:val="16"/>
                <w:szCs w:val="16"/>
                <w:color w:val="auto"/>
              </w:rPr>
              <w:t>CASH FLOWS FROM INVESTING ACTIVITIES</w:t>
            </w:r>
          </w:p>
        </w:tc>
        <w:tc>
          <w:tcPr>
            <w:tcW w:w="8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8660" w:type="dxa"/>
            <w:vAlign w:val="bottom"/>
          </w:tcPr>
          <w:p>
            <w:pPr>
              <w:ind w:left="180"/>
              <w:spacing w:after="0" w:line="176" w:lineRule="exact"/>
              <w:rPr>
                <w:sz w:val="20"/>
                <w:szCs w:val="20"/>
                <w:color w:val="auto"/>
              </w:rPr>
            </w:pPr>
            <w:r>
              <w:rPr>
                <w:rFonts w:ascii="Arial" w:cs="Arial" w:eastAsia="Arial" w:hAnsi="Arial"/>
                <w:sz w:val="16"/>
                <w:szCs w:val="16"/>
                <w:color w:val="auto"/>
              </w:rPr>
              <w:t>Expenditures for property, plant and equipment</w:t>
            </w:r>
          </w:p>
        </w:tc>
        <w:tc>
          <w:tcPr>
            <w:tcW w:w="840" w:type="dxa"/>
            <w:vAlign w:val="bottom"/>
          </w:tcPr>
          <w:p>
            <w:pPr>
              <w:spacing w:after="0"/>
              <w:rPr>
                <w:sz w:val="15"/>
                <w:szCs w:val="15"/>
                <w:color w:val="auto"/>
              </w:rPr>
            </w:pPr>
          </w:p>
        </w:tc>
        <w:tc>
          <w:tcPr>
            <w:tcW w:w="520" w:type="dxa"/>
            <w:vAlign w:val="bottom"/>
          </w:tcPr>
          <w:p>
            <w:pPr>
              <w:jc w:val="right"/>
              <w:spacing w:after="0" w:line="176" w:lineRule="exact"/>
              <w:rPr>
                <w:sz w:val="20"/>
                <w:szCs w:val="20"/>
                <w:color w:val="auto"/>
              </w:rPr>
            </w:pPr>
            <w:r>
              <w:rPr>
                <w:rFonts w:ascii="Arial" w:cs="Arial" w:eastAsia="Arial" w:hAnsi="Arial"/>
                <w:sz w:val="16"/>
                <w:szCs w:val="16"/>
                <w:color w:val="auto"/>
                <w:w w:val="98"/>
              </w:rPr>
              <w:t>(1,225)</w:t>
            </w:r>
          </w:p>
        </w:tc>
        <w:tc>
          <w:tcPr>
            <w:tcW w:w="880" w:type="dxa"/>
            <w:vAlign w:val="bottom"/>
          </w:tcPr>
          <w:p>
            <w:pPr>
              <w:spacing w:after="0"/>
              <w:rPr>
                <w:sz w:val="15"/>
                <w:szCs w:val="15"/>
                <w:color w:val="auto"/>
              </w:rPr>
            </w:pPr>
          </w:p>
        </w:tc>
        <w:tc>
          <w:tcPr>
            <w:tcW w:w="540" w:type="dxa"/>
            <w:vAlign w:val="bottom"/>
            <w:gridSpan w:val="2"/>
          </w:tcPr>
          <w:p>
            <w:pPr>
              <w:jc w:val="right"/>
              <w:ind w:right="20"/>
              <w:spacing w:after="0" w:line="176" w:lineRule="exact"/>
              <w:rPr>
                <w:sz w:val="20"/>
                <w:szCs w:val="20"/>
                <w:color w:val="auto"/>
              </w:rPr>
            </w:pPr>
            <w:r>
              <w:rPr>
                <w:rFonts w:ascii="Arial" w:cs="Arial" w:eastAsia="Arial" w:hAnsi="Arial"/>
                <w:sz w:val="16"/>
                <w:szCs w:val="16"/>
                <w:color w:val="auto"/>
              </w:rPr>
              <w:t>(839)</w:t>
            </w:r>
          </w:p>
        </w:tc>
        <w:tc>
          <w:tcPr>
            <w:tcW w:w="0" w:type="dxa"/>
            <w:vAlign w:val="bottom"/>
          </w:tcPr>
          <w:p>
            <w:pPr>
              <w:spacing w:after="0"/>
              <w:rPr>
                <w:sz w:val="1"/>
                <w:szCs w:val="1"/>
                <w:color w:val="auto"/>
              </w:rPr>
            </w:pPr>
          </w:p>
        </w:tc>
      </w:tr>
      <w:tr>
        <w:trPr>
          <w:trHeight w:val="176"/>
        </w:trPr>
        <w:tc>
          <w:tcPr>
            <w:tcW w:w="8660" w:type="dxa"/>
            <w:vAlign w:val="bottom"/>
          </w:tcPr>
          <w:p>
            <w:pPr>
              <w:ind w:left="180"/>
              <w:spacing w:after="0" w:line="176" w:lineRule="exact"/>
              <w:rPr>
                <w:sz w:val="20"/>
                <w:szCs w:val="20"/>
                <w:color w:val="auto"/>
              </w:rPr>
            </w:pPr>
            <w:r>
              <w:rPr>
                <w:rFonts w:ascii="Arial" w:cs="Arial" w:eastAsia="Arial" w:hAnsi="Arial"/>
                <w:sz w:val="16"/>
                <w:szCs w:val="16"/>
                <w:color w:val="auto"/>
              </w:rPr>
              <w:t>Expenditures for investments and acquisition of businesses, net of cash acquired</w:t>
            </w:r>
          </w:p>
        </w:tc>
        <w:tc>
          <w:tcPr>
            <w:tcW w:w="840" w:type="dxa"/>
            <w:vAlign w:val="bottom"/>
          </w:tcPr>
          <w:p>
            <w:pPr>
              <w:spacing w:after="0"/>
              <w:rPr>
                <w:sz w:val="15"/>
                <w:szCs w:val="15"/>
                <w:color w:val="auto"/>
              </w:rPr>
            </w:pPr>
          </w:p>
        </w:tc>
        <w:tc>
          <w:tcPr>
            <w:tcW w:w="520" w:type="dxa"/>
            <w:vAlign w:val="bottom"/>
          </w:tcPr>
          <w:p>
            <w:pPr>
              <w:jc w:val="right"/>
              <w:spacing w:after="0" w:line="176" w:lineRule="exact"/>
              <w:rPr>
                <w:sz w:val="20"/>
                <w:szCs w:val="20"/>
                <w:color w:val="auto"/>
              </w:rPr>
            </w:pPr>
            <w:r>
              <w:rPr>
                <w:rFonts w:ascii="Arial" w:cs="Arial" w:eastAsia="Arial" w:hAnsi="Arial"/>
                <w:sz w:val="16"/>
                <w:szCs w:val="16"/>
                <w:color w:val="auto"/>
              </w:rPr>
              <w:t>(682)</w:t>
            </w:r>
          </w:p>
        </w:tc>
        <w:tc>
          <w:tcPr>
            <w:tcW w:w="880" w:type="dxa"/>
            <w:vAlign w:val="bottom"/>
          </w:tcPr>
          <w:p>
            <w:pPr>
              <w:spacing w:after="0"/>
              <w:rPr>
                <w:sz w:val="15"/>
                <w:szCs w:val="15"/>
                <w:color w:val="auto"/>
              </w:rPr>
            </w:pPr>
          </w:p>
        </w:tc>
        <w:tc>
          <w:tcPr>
            <w:tcW w:w="540" w:type="dxa"/>
            <w:vAlign w:val="bottom"/>
            <w:gridSpan w:val="2"/>
          </w:tcPr>
          <w:p>
            <w:pPr>
              <w:jc w:val="right"/>
              <w:ind w:right="20"/>
              <w:spacing w:after="0" w:line="176" w:lineRule="exact"/>
              <w:rPr>
                <w:sz w:val="20"/>
                <w:szCs w:val="20"/>
                <w:color w:val="auto"/>
              </w:rPr>
            </w:pPr>
            <w:r>
              <w:rPr>
                <w:rFonts w:ascii="Arial" w:cs="Arial" w:eastAsia="Arial" w:hAnsi="Arial"/>
                <w:sz w:val="16"/>
                <w:szCs w:val="16"/>
                <w:color w:val="auto"/>
              </w:rPr>
              <w:t>(370)</w:t>
            </w:r>
          </w:p>
        </w:tc>
        <w:tc>
          <w:tcPr>
            <w:tcW w:w="0" w:type="dxa"/>
            <w:vAlign w:val="bottom"/>
          </w:tcPr>
          <w:p>
            <w:pPr>
              <w:spacing w:after="0"/>
              <w:rPr>
                <w:sz w:val="1"/>
                <w:szCs w:val="1"/>
                <w:color w:val="auto"/>
              </w:rPr>
            </w:pPr>
          </w:p>
        </w:tc>
      </w:tr>
      <w:tr>
        <w:trPr>
          <w:trHeight w:val="176"/>
        </w:trPr>
        <w:tc>
          <w:tcPr>
            <w:tcW w:w="8660" w:type="dxa"/>
            <w:vAlign w:val="bottom"/>
          </w:tcPr>
          <w:p>
            <w:pPr>
              <w:ind w:left="180"/>
              <w:spacing w:after="0" w:line="176" w:lineRule="exact"/>
              <w:rPr>
                <w:sz w:val="20"/>
                <w:szCs w:val="20"/>
                <w:color w:val="auto"/>
              </w:rPr>
            </w:pPr>
            <w:r>
              <w:rPr>
                <w:rFonts w:ascii="Arial" w:cs="Arial" w:eastAsia="Arial" w:hAnsi="Arial"/>
                <w:sz w:val="16"/>
                <w:szCs w:val="16"/>
                <w:color w:val="auto"/>
              </w:rPr>
              <w:t>Distributions from RBS Sempra Commodities LLP</w:t>
            </w:r>
          </w:p>
        </w:tc>
        <w:tc>
          <w:tcPr>
            <w:tcW w:w="840" w:type="dxa"/>
            <w:vAlign w:val="bottom"/>
          </w:tcPr>
          <w:p>
            <w:pPr>
              <w:spacing w:after="0"/>
              <w:rPr>
                <w:sz w:val="15"/>
                <w:szCs w:val="15"/>
                <w:color w:val="auto"/>
              </w:rPr>
            </w:pPr>
          </w:p>
        </w:tc>
        <w:tc>
          <w:tcPr>
            <w:tcW w:w="520" w:type="dxa"/>
            <w:vAlign w:val="bottom"/>
          </w:tcPr>
          <w:p>
            <w:pPr>
              <w:jc w:val="right"/>
              <w:spacing w:after="0" w:line="176" w:lineRule="exact"/>
              <w:rPr>
                <w:sz w:val="20"/>
                <w:szCs w:val="20"/>
                <w:color w:val="auto"/>
              </w:rPr>
            </w:pPr>
            <w:r>
              <w:rPr>
                <w:rFonts w:ascii="Arial" w:cs="Arial" w:eastAsia="Arial" w:hAnsi="Arial"/>
                <w:sz w:val="16"/>
                <w:szCs w:val="16"/>
                <w:color w:val="auto"/>
              </w:rPr>
              <w:t>276</w:t>
            </w:r>
          </w:p>
        </w:tc>
        <w:tc>
          <w:tcPr>
            <w:tcW w:w="880" w:type="dxa"/>
            <w:vAlign w:val="bottom"/>
          </w:tcPr>
          <w:p>
            <w:pPr>
              <w:spacing w:after="0"/>
              <w:rPr>
                <w:sz w:val="15"/>
                <w:szCs w:val="15"/>
                <w:color w:val="auto"/>
              </w:rPr>
            </w:pPr>
          </w:p>
        </w:tc>
        <w:tc>
          <w:tcPr>
            <w:tcW w:w="540" w:type="dxa"/>
            <w:vAlign w:val="bottom"/>
            <w:gridSpan w:val="2"/>
          </w:tcPr>
          <w:p>
            <w:pPr>
              <w:jc w:val="right"/>
              <w:ind w:right="60"/>
              <w:spacing w:after="0" w:line="176" w:lineRule="exact"/>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76"/>
        </w:trPr>
        <w:tc>
          <w:tcPr>
            <w:tcW w:w="8660" w:type="dxa"/>
            <w:vAlign w:val="bottom"/>
          </w:tcPr>
          <w:p>
            <w:pPr>
              <w:ind w:left="180"/>
              <w:spacing w:after="0" w:line="176" w:lineRule="exact"/>
              <w:rPr>
                <w:sz w:val="20"/>
                <w:szCs w:val="20"/>
                <w:color w:val="auto"/>
              </w:rPr>
            </w:pPr>
            <w:r>
              <w:rPr>
                <w:rFonts w:ascii="Arial" w:cs="Arial" w:eastAsia="Arial" w:hAnsi="Arial"/>
                <w:sz w:val="16"/>
                <w:szCs w:val="16"/>
                <w:color w:val="auto"/>
              </w:rPr>
              <w:t>Distributions from other investments</w:t>
            </w:r>
          </w:p>
        </w:tc>
        <w:tc>
          <w:tcPr>
            <w:tcW w:w="840" w:type="dxa"/>
            <w:vAlign w:val="bottom"/>
          </w:tcPr>
          <w:p>
            <w:pPr>
              <w:spacing w:after="0"/>
              <w:rPr>
                <w:sz w:val="15"/>
                <w:szCs w:val="15"/>
                <w:color w:val="auto"/>
              </w:rPr>
            </w:pPr>
          </w:p>
        </w:tc>
        <w:tc>
          <w:tcPr>
            <w:tcW w:w="520" w:type="dxa"/>
            <w:vAlign w:val="bottom"/>
          </w:tcPr>
          <w:p>
            <w:pPr>
              <w:jc w:val="right"/>
              <w:spacing w:after="0" w:line="176" w:lineRule="exact"/>
              <w:rPr>
                <w:sz w:val="20"/>
                <w:szCs w:val="20"/>
                <w:color w:val="auto"/>
              </w:rPr>
            </w:pPr>
            <w:r>
              <w:rPr>
                <w:rFonts w:ascii="Arial" w:cs="Arial" w:eastAsia="Arial" w:hAnsi="Arial"/>
                <w:sz w:val="16"/>
                <w:szCs w:val="16"/>
                <w:color w:val="auto"/>
              </w:rPr>
              <w:t>29</w:t>
            </w:r>
          </w:p>
        </w:tc>
        <w:tc>
          <w:tcPr>
            <w:tcW w:w="880" w:type="dxa"/>
            <w:vAlign w:val="bottom"/>
          </w:tcPr>
          <w:p>
            <w:pPr>
              <w:spacing w:after="0"/>
              <w:rPr>
                <w:sz w:val="15"/>
                <w:szCs w:val="15"/>
                <w:color w:val="auto"/>
              </w:rPr>
            </w:pPr>
          </w:p>
        </w:tc>
        <w:tc>
          <w:tcPr>
            <w:tcW w:w="520" w:type="dxa"/>
            <w:vAlign w:val="bottom"/>
          </w:tcPr>
          <w:p>
            <w:pPr>
              <w:jc w:val="right"/>
              <w:spacing w:after="0" w:line="176" w:lineRule="exact"/>
              <w:rPr>
                <w:sz w:val="20"/>
                <w:szCs w:val="20"/>
                <w:color w:val="auto"/>
              </w:rPr>
            </w:pPr>
            <w:r>
              <w:rPr>
                <w:rFonts w:ascii="Arial" w:cs="Arial" w:eastAsia="Arial" w:hAnsi="Arial"/>
                <w:sz w:val="16"/>
                <w:szCs w:val="16"/>
                <w:color w:val="auto"/>
              </w:rPr>
              <w:t>36</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8660" w:type="dxa"/>
            <w:vAlign w:val="bottom"/>
          </w:tcPr>
          <w:p>
            <w:pPr>
              <w:ind w:left="180"/>
              <w:spacing w:after="0" w:line="176" w:lineRule="exact"/>
              <w:rPr>
                <w:sz w:val="20"/>
                <w:szCs w:val="20"/>
                <w:color w:val="auto"/>
              </w:rPr>
            </w:pPr>
            <w:r>
              <w:rPr>
                <w:rFonts w:ascii="Arial" w:cs="Arial" w:eastAsia="Arial" w:hAnsi="Arial"/>
                <w:sz w:val="16"/>
                <w:szCs w:val="16"/>
                <w:color w:val="auto"/>
              </w:rPr>
              <w:t>Purchases of nuclear decommissioning and other trust assets</w:t>
            </w:r>
          </w:p>
        </w:tc>
        <w:tc>
          <w:tcPr>
            <w:tcW w:w="840" w:type="dxa"/>
            <w:vAlign w:val="bottom"/>
          </w:tcPr>
          <w:p>
            <w:pPr>
              <w:spacing w:after="0"/>
              <w:rPr>
                <w:sz w:val="15"/>
                <w:szCs w:val="15"/>
                <w:color w:val="auto"/>
              </w:rPr>
            </w:pPr>
          </w:p>
        </w:tc>
        <w:tc>
          <w:tcPr>
            <w:tcW w:w="520" w:type="dxa"/>
            <w:vAlign w:val="bottom"/>
          </w:tcPr>
          <w:p>
            <w:pPr>
              <w:jc w:val="right"/>
              <w:spacing w:after="0" w:line="176" w:lineRule="exact"/>
              <w:rPr>
                <w:sz w:val="20"/>
                <w:szCs w:val="20"/>
                <w:color w:val="auto"/>
              </w:rPr>
            </w:pPr>
            <w:r>
              <w:rPr>
                <w:rFonts w:ascii="Arial" w:cs="Arial" w:eastAsia="Arial" w:hAnsi="Arial"/>
                <w:sz w:val="16"/>
                <w:szCs w:val="16"/>
                <w:color w:val="auto"/>
              </w:rPr>
              <w:t>(97)</w:t>
            </w:r>
          </w:p>
        </w:tc>
        <w:tc>
          <w:tcPr>
            <w:tcW w:w="880" w:type="dxa"/>
            <w:vAlign w:val="bottom"/>
          </w:tcPr>
          <w:p>
            <w:pPr>
              <w:spacing w:after="0"/>
              <w:rPr>
                <w:sz w:val="15"/>
                <w:szCs w:val="15"/>
                <w:color w:val="auto"/>
              </w:rPr>
            </w:pPr>
          </w:p>
        </w:tc>
        <w:tc>
          <w:tcPr>
            <w:tcW w:w="540" w:type="dxa"/>
            <w:vAlign w:val="bottom"/>
            <w:gridSpan w:val="2"/>
          </w:tcPr>
          <w:p>
            <w:pPr>
              <w:jc w:val="right"/>
              <w:ind w:right="20"/>
              <w:spacing w:after="0" w:line="176" w:lineRule="exact"/>
              <w:rPr>
                <w:sz w:val="20"/>
                <w:szCs w:val="20"/>
                <w:color w:val="auto"/>
              </w:rPr>
            </w:pPr>
            <w:r>
              <w:rPr>
                <w:rFonts w:ascii="Arial" w:cs="Arial" w:eastAsia="Arial" w:hAnsi="Arial"/>
                <w:sz w:val="16"/>
                <w:szCs w:val="16"/>
                <w:color w:val="auto"/>
              </w:rPr>
              <w:t>(159)</w:t>
            </w:r>
          </w:p>
        </w:tc>
        <w:tc>
          <w:tcPr>
            <w:tcW w:w="0" w:type="dxa"/>
            <w:vAlign w:val="bottom"/>
          </w:tcPr>
          <w:p>
            <w:pPr>
              <w:spacing w:after="0"/>
              <w:rPr>
                <w:sz w:val="1"/>
                <w:szCs w:val="1"/>
                <w:color w:val="auto"/>
              </w:rPr>
            </w:pPr>
          </w:p>
        </w:tc>
      </w:tr>
      <w:tr>
        <w:trPr>
          <w:trHeight w:val="176"/>
        </w:trPr>
        <w:tc>
          <w:tcPr>
            <w:tcW w:w="8660" w:type="dxa"/>
            <w:vAlign w:val="bottom"/>
          </w:tcPr>
          <w:p>
            <w:pPr>
              <w:ind w:left="180"/>
              <w:spacing w:after="0" w:line="176" w:lineRule="exact"/>
              <w:rPr>
                <w:sz w:val="20"/>
                <w:szCs w:val="20"/>
                <w:color w:val="auto"/>
              </w:rPr>
            </w:pPr>
            <w:r>
              <w:rPr>
                <w:rFonts w:ascii="Arial" w:cs="Arial" w:eastAsia="Arial" w:hAnsi="Arial"/>
                <w:sz w:val="16"/>
                <w:szCs w:val="16"/>
                <w:color w:val="auto"/>
              </w:rPr>
              <w:t>Proceeds from sales by nuclear decommissioning and other trusts</w:t>
            </w:r>
          </w:p>
        </w:tc>
        <w:tc>
          <w:tcPr>
            <w:tcW w:w="840" w:type="dxa"/>
            <w:vAlign w:val="bottom"/>
          </w:tcPr>
          <w:p>
            <w:pPr>
              <w:spacing w:after="0"/>
              <w:rPr>
                <w:sz w:val="15"/>
                <w:szCs w:val="15"/>
                <w:color w:val="auto"/>
              </w:rPr>
            </w:pPr>
          </w:p>
        </w:tc>
        <w:tc>
          <w:tcPr>
            <w:tcW w:w="520" w:type="dxa"/>
            <w:vAlign w:val="bottom"/>
          </w:tcPr>
          <w:p>
            <w:pPr>
              <w:jc w:val="right"/>
              <w:spacing w:after="0" w:line="176" w:lineRule="exact"/>
              <w:rPr>
                <w:sz w:val="20"/>
                <w:szCs w:val="20"/>
                <w:color w:val="auto"/>
              </w:rPr>
            </w:pPr>
            <w:r>
              <w:rPr>
                <w:rFonts w:ascii="Arial" w:cs="Arial" w:eastAsia="Arial" w:hAnsi="Arial"/>
                <w:sz w:val="16"/>
                <w:szCs w:val="16"/>
                <w:color w:val="auto"/>
              </w:rPr>
              <w:t>94</w:t>
            </w:r>
          </w:p>
        </w:tc>
        <w:tc>
          <w:tcPr>
            <w:tcW w:w="880" w:type="dxa"/>
            <w:vAlign w:val="bottom"/>
          </w:tcPr>
          <w:p>
            <w:pPr>
              <w:spacing w:after="0"/>
              <w:rPr>
                <w:sz w:val="15"/>
                <w:szCs w:val="15"/>
                <w:color w:val="auto"/>
              </w:rPr>
            </w:pPr>
          </w:p>
        </w:tc>
        <w:tc>
          <w:tcPr>
            <w:tcW w:w="520" w:type="dxa"/>
            <w:vAlign w:val="bottom"/>
          </w:tcPr>
          <w:p>
            <w:pPr>
              <w:jc w:val="right"/>
              <w:spacing w:after="0" w:line="176" w:lineRule="exact"/>
              <w:rPr>
                <w:sz w:val="20"/>
                <w:szCs w:val="20"/>
                <w:color w:val="auto"/>
              </w:rPr>
            </w:pPr>
            <w:r>
              <w:rPr>
                <w:rFonts w:ascii="Arial" w:cs="Arial" w:eastAsia="Arial" w:hAnsi="Arial"/>
                <w:sz w:val="16"/>
                <w:szCs w:val="16"/>
                <w:color w:val="auto"/>
              </w:rPr>
              <w:t>159</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8660" w:type="dxa"/>
            <w:vAlign w:val="bottom"/>
          </w:tcPr>
          <w:p>
            <w:pPr>
              <w:ind w:left="180"/>
              <w:spacing w:after="0" w:line="176" w:lineRule="exact"/>
              <w:rPr>
                <w:sz w:val="20"/>
                <w:szCs w:val="20"/>
                <w:color w:val="auto"/>
              </w:rPr>
            </w:pPr>
            <w:r>
              <w:rPr>
                <w:rFonts w:ascii="Arial" w:cs="Arial" w:eastAsia="Arial" w:hAnsi="Arial"/>
                <w:sz w:val="16"/>
                <w:szCs w:val="16"/>
                <w:color w:val="auto"/>
              </w:rPr>
              <w:t>Decrease in restricted cash</w:t>
            </w:r>
          </w:p>
        </w:tc>
        <w:tc>
          <w:tcPr>
            <w:tcW w:w="840" w:type="dxa"/>
            <w:vAlign w:val="bottom"/>
          </w:tcPr>
          <w:p>
            <w:pPr>
              <w:spacing w:after="0"/>
              <w:rPr>
                <w:sz w:val="15"/>
                <w:szCs w:val="15"/>
                <w:color w:val="auto"/>
              </w:rPr>
            </w:pPr>
          </w:p>
        </w:tc>
        <w:tc>
          <w:tcPr>
            <w:tcW w:w="520" w:type="dxa"/>
            <w:vAlign w:val="bottom"/>
          </w:tcPr>
          <w:p>
            <w:pPr>
              <w:jc w:val="right"/>
              <w:spacing w:after="0" w:line="176" w:lineRule="exact"/>
              <w:rPr>
                <w:sz w:val="20"/>
                <w:szCs w:val="20"/>
                <w:color w:val="auto"/>
              </w:rPr>
            </w:pPr>
            <w:r>
              <w:rPr>
                <w:rFonts w:ascii="Arial" w:cs="Arial" w:eastAsia="Arial" w:hAnsi="Arial"/>
                <w:sz w:val="16"/>
                <w:szCs w:val="16"/>
                <w:color w:val="auto"/>
              </w:rPr>
              <w:t>388</w:t>
            </w:r>
          </w:p>
        </w:tc>
        <w:tc>
          <w:tcPr>
            <w:tcW w:w="880" w:type="dxa"/>
            <w:vAlign w:val="bottom"/>
          </w:tcPr>
          <w:p>
            <w:pPr>
              <w:spacing w:after="0"/>
              <w:rPr>
                <w:sz w:val="15"/>
                <w:szCs w:val="15"/>
                <w:color w:val="auto"/>
              </w:rPr>
            </w:pPr>
          </w:p>
        </w:tc>
        <w:tc>
          <w:tcPr>
            <w:tcW w:w="520" w:type="dxa"/>
            <w:vAlign w:val="bottom"/>
          </w:tcPr>
          <w:p>
            <w:pPr>
              <w:jc w:val="right"/>
              <w:spacing w:after="0" w:line="176" w:lineRule="exact"/>
              <w:rPr>
                <w:sz w:val="20"/>
                <w:szCs w:val="20"/>
                <w:color w:val="auto"/>
              </w:rPr>
            </w:pPr>
            <w:r>
              <w:rPr>
                <w:rFonts w:ascii="Arial" w:cs="Arial" w:eastAsia="Arial" w:hAnsi="Arial"/>
                <w:sz w:val="16"/>
                <w:szCs w:val="16"/>
                <w:color w:val="auto"/>
              </w:rPr>
              <w:t>45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8660" w:type="dxa"/>
            <w:vAlign w:val="bottom"/>
          </w:tcPr>
          <w:p>
            <w:pPr>
              <w:ind w:left="180"/>
              <w:spacing w:after="0" w:line="176" w:lineRule="exact"/>
              <w:rPr>
                <w:sz w:val="20"/>
                <w:szCs w:val="20"/>
                <w:color w:val="auto"/>
              </w:rPr>
            </w:pPr>
            <w:r>
              <w:rPr>
                <w:rFonts w:ascii="Arial" w:cs="Arial" w:eastAsia="Arial" w:hAnsi="Arial"/>
                <w:sz w:val="16"/>
                <w:szCs w:val="16"/>
                <w:color w:val="auto"/>
              </w:rPr>
              <w:t>Increase in restricted cash</w:t>
            </w:r>
          </w:p>
        </w:tc>
        <w:tc>
          <w:tcPr>
            <w:tcW w:w="840" w:type="dxa"/>
            <w:vAlign w:val="bottom"/>
          </w:tcPr>
          <w:p>
            <w:pPr>
              <w:spacing w:after="0"/>
              <w:rPr>
                <w:sz w:val="15"/>
                <w:szCs w:val="15"/>
                <w:color w:val="auto"/>
              </w:rPr>
            </w:pPr>
          </w:p>
        </w:tc>
        <w:tc>
          <w:tcPr>
            <w:tcW w:w="520" w:type="dxa"/>
            <w:vAlign w:val="bottom"/>
          </w:tcPr>
          <w:p>
            <w:pPr>
              <w:jc w:val="right"/>
              <w:spacing w:after="0" w:line="176" w:lineRule="exact"/>
              <w:rPr>
                <w:sz w:val="20"/>
                <w:szCs w:val="20"/>
                <w:color w:val="auto"/>
              </w:rPr>
            </w:pPr>
            <w:r>
              <w:rPr>
                <w:rFonts w:ascii="Arial" w:cs="Arial" w:eastAsia="Arial" w:hAnsi="Arial"/>
                <w:sz w:val="16"/>
                <w:szCs w:val="16"/>
                <w:color w:val="auto"/>
              </w:rPr>
              <w:t>(420)</w:t>
            </w:r>
          </w:p>
        </w:tc>
        <w:tc>
          <w:tcPr>
            <w:tcW w:w="880" w:type="dxa"/>
            <w:vAlign w:val="bottom"/>
          </w:tcPr>
          <w:p>
            <w:pPr>
              <w:spacing w:after="0"/>
              <w:rPr>
                <w:sz w:val="15"/>
                <w:szCs w:val="15"/>
                <w:color w:val="auto"/>
              </w:rPr>
            </w:pPr>
          </w:p>
        </w:tc>
        <w:tc>
          <w:tcPr>
            <w:tcW w:w="540" w:type="dxa"/>
            <w:vAlign w:val="bottom"/>
            <w:gridSpan w:val="2"/>
          </w:tcPr>
          <w:p>
            <w:pPr>
              <w:jc w:val="right"/>
              <w:ind w:right="20"/>
              <w:spacing w:after="0" w:line="176" w:lineRule="exact"/>
              <w:rPr>
                <w:sz w:val="20"/>
                <w:szCs w:val="20"/>
                <w:color w:val="auto"/>
              </w:rPr>
            </w:pPr>
            <w:r>
              <w:rPr>
                <w:rFonts w:ascii="Arial" w:cs="Arial" w:eastAsia="Arial" w:hAnsi="Arial"/>
                <w:sz w:val="16"/>
                <w:szCs w:val="16"/>
                <w:color w:val="auto"/>
              </w:rPr>
              <w:t>(40)</w:t>
            </w:r>
          </w:p>
        </w:tc>
        <w:tc>
          <w:tcPr>
            <w:tcW w:w="0" w:type="dxa"/>
            <w:vAlign w:val="bottom"/>
          </w:tcPr>
          <w:p>
            <w:pPr>
              <w:spacing w:after="0"/>
              <w:rPr>
                <w:sz w:val="1"/>
                <w:szCs w:val="1"/>
                <w:color w:val="auto"/>
              </w:rPr>
            </w:pPr>
          </w:p>
        </w:tc>
      </w:tr>
      <w:tr>
        <w:trPr>
          <w:trHeight w:val="194"/>
        </w:trPr>
        <w:tc>
          <w:tcPr>
            <w:tcW w:w="8660" w:type="dxa"/>
            <w:vAlign w:val="bottom"/>
          </w:tcPr>
          <w:p>
            <w:pPr>
              <w:ind w:left="180"/>
              <w:spacing w:after="0"/>
              <w:rPr>
                <w:sz w:val="20"/>
                <w:szCs w:val="20"/>
                <w:color w:val="auto"/>
              </w:rPr>
            </w:pPr>
            <w:r>
              <w:rPr>
                <w:rFonts w:ascii="Arial" w:cs="Arial" w:eastAsia="Arial" w:hAnsi="Arial"/>
                <w:sz w:val="16"/>
                <w:szCs w:val="16"/>
                <w:color w:val="auto"/>
              </w:rPr>
              <w:t>Other</w:t>
            </w:r>
          </w:p>
        </w:tc>
        <w:tc>
          <w:tcPr>
            <w:tcW w:w="84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w:t>
            </w:r>
          </w:p>
        </w:tc>
        <w:tc>
          <w:tcPr>
            <w:tcW w:w="88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8660" w:type="dxa"/>
            <w:vAlign w:val="bottom"/>
          </w:tcPr>
          <w:p>
            <w:pPr>
              <w:ind w:left="360"/>
              <w:spacing w:after="0" w:line="176" w:lineRule="exact"/>
              <w:rPr>
                <w:sz w:val="20"/>
                <w:szCs w:val="20"/>
                <w:color w:val="auto"/>
              </w:rPr>
            </w:pPr>
            <w:r>
              <w:rPr>
                <w:rFonts w:ascii="Arial" w:cs="Arial" w:eastAsia="Arial" w:hAnsi="Arial"/>
                <w:sz w:val="16"/>
                <w:szCs w:val="16"/>
                <w:color w:val="auto"/>
              </w:rPr>
              <w:t>Net cash used in investing activities</w:t>
            </w:r>
          </w:p>
        </w:tc>
        <w:tc>
          <w:tcPr>
            <w:tcW w:w="84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6"/>
                <w:szCs w:val="16"/>
                <w:color w:val="auto"/>
                <w:w w:val="98"/>
              </w:rPr>
              <w:t>(1,653)</w:t>
            </w:r>
          </w:p>
        </w:tc>
        <w:tc>
          <w:tcPr>
            <w:tcW w:w="88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6"/>
                <w:szCs w:val="16"/>
                <w:color w:val="auto"/>
                <w:w w:val="98"/>
              </w:rPr>
              <w:t>(1,167)</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40"/>
        </w:trPr>
        <w:tc>
          <w:tcPr>
            <w:tcW w:w="8660" w:type="dxa"/>
            <w:vAlign w:val="bottom"/>
          </w:tcPr>
          <w:p>
            <w:pPr>
              <w:spacing w:after="0"/>
              <w:rPr>
                <w:sz w:val="20"/>
                <w:szCs w:val="20"/>
                <w:color w:val="auto"/>
              </w:rPr>
            </w:pPr>
            <w:r>
              <w:rPr>
                <w:rFonts w:ascii="Arial" w:cs="Arial" w:eastAsia="Arial" w:hAnsi="Arial"/>
                <w:sz w:val="16"/>
                <w:szCs w:val="16"/>
                <w:color w:val="auto"/>
              </w:rPr>
              <w:t>CASH FLOWS FROM FINANCING ACTIVITIES</w:t>
            </w:r>
          </w:p>
        </w:tc>
        <w:tc>
          <w:tcPr>
            <w:tcW w:w="8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8660" w:type="dxa"/>
            <w:vAlign w:val="bottom"/>
          </w:tcPr>
          <w:p>
            <w:pPr>
              <w:ind w:left="180"/>
              <w:spacing w:after="0" w:line="176" w:lineRule="exact"/>
              <w:rPr>
                <w:sz w:val="20"/>
                <w:szCs w:val="20"/>
                <w:color w:val="auto"/>
              </w:rPr>
            </w:pPr>
            <w:r>
              <w:rPr>
                <w:rFonts w:ascii="Arial" w:cs="Arial" w:eastAsia="Arial" w:hAnsi="Arial"/>
                <w:sz w:val="16"/>
                <w:szCs w:val="16"/>
                <w:color w:val="auto"/>
              </w:rPr>
              <w:t>Common dividends paid</w:t>
            </w:r>
          </w:p>
        </w:tc>
        <w:tc>
          <w:tcPr>
            <w:tcW w:w="840" w:type="dxa"/>
            <w:vAlign w:val="bottom"/>
          </w:tcPr>
          <w:p>
            <w:pPr>
              <w:spacing w:after="0"/>
              <w:rPr>
                <w:sz w:val="15"/>
                <w:szCs w:val="15"/>
                <w:color w:val="auto"/>
              </w:rPr>
            </w:pPr>
          </w:p>
        </w:tc>
        <w:tc>
          <w:tcPr>
            <w:tcW w:w="520" w:type="dxa"/>
            <w:vAlign w:val="bottom"/>
          </w:tcPr>
          <w:p>
            <w:pPr>
              <w:jc w:val="right"/>
              <w:spacing w:after="0" w:line="176" w:lineRule="exact"/>
              <w:rPr>
                <w:sz w:val="20"/>
                <w:szCs w:val="20"/>
                <w:color w:val="auto"/>
              </w:rPr>
            </w:pPr>
            <w:r>
              <w:rPr>
                <w:rFonts w:ascii="Arial" w:cs="Arial" w:eastAsia="Arial" w:hAnsi="Arial"/>
                <w:sz w:val="16"/>
                <w:szCs w:val="16"/>
                <w:color w:val="auto"/>
              </w:rPr>
              <w:t>(210)</w:t>
            </w:r>
          </w:p>
        </w:tc>
        <w:tc>
          <w:tcPr>
            <w:tcW w:w="880" w:type="dxa"/>
            <w:vAlign w:val="bottom"/>
          </w:tcPr>
          <w:p>
            <w:pPr>
              <w:spacing w:after="0"/>
              <w:rPr>
                <w:sz w:val="15"/>
                <w:szCs w:val="15"/>
                <w:color w:val="auto"/>
              </w:rPr>
            </w:pPr>
          </w:p>
        </w:tc>
        <w:tc>
          <w:tcPr>
            <w:tcW w:w="540" w:type="dxa"/>
            <w:vAlign w:val="bottom"/>
            <w:gridSpan w:val="2"/>
          </w:tcPr>
          <w:p>
            <w:pPr>
              <w:jc w:val="right"/>
              <w:ind w:right="20"/>
              <w:spacing w:after="0" w:line="176" w:lineRule="exact"/>
              <w:rPr>
                <w:sz w:val="20"/>
                <w:szCs w:val="20"/>
                <w:color w:val="auto"/>
              </w:rPr>
            </w:pPr>
            <w:r>
              <w:rPr>
                <w:rFonts w:ascii="Arial" w:cs="Arial" w:eastAsia="Arial" w:hAnsi="Arial"/>
                <w:sz w:val="16"/>
                <w:szCs w:val="16"/>
                <w:color w:val="auto"/>
              </w:rPr>
              <w:t>(172)</w:t>
            </w:r>
          </w:p>
        </w:tc>
        <w:tc>
          <w:tcPr>
            <w:tcW w:w="0" w:type="dxa"/>
            <w:vAlign w:val="bottom"/>
          </w:tcPr>
          <w:p>
            <w:pPr>
              <w:spacing w:after="0"/>
              <w:rPr>
                <w:sz w:val="1"/>
                <w:szCs w:val="1"/>
                <w:color w:val="auto"/>
              </w:rPr>
            </w:pPr>
          </w:p>
        </w:tc>
      </w:tr>
      <w:tr>
        <w:trPr>
          <w:trHeight w:val="176"/>
        </w:trPr>
        <w:tc>
          <w:tcPr>
            <w:tcW w:w="8660" w:type="dxa"/>
            <w:vAlign w:val="bottom"/>
          </w:tcPr>
          <w:p>
            <w:pPr>
              <w:ind w:left="180"/>
              <w:spacing w:after="0" w:line="176" w:lineRule="exact"/>
              <w:rPr>
                <w:sz w:val="20"/>
                <w:szCs w:val="20"/>
                <w:color w:val="auto"/>
              </w:rPr>
            </w:pPr>
            <w:r>
              <w:rPr>
                <w:rFonts w:ascii="Arial" w:cs="Arial" w:eastAsia="Arial" w:hAnsi="Arial"/>
                <w:sz w:val="16"/>
                <w:szCs w:val="16"/>
                <w:color w:val="auto"/>
              </w:rPr>
              <w:t>Redemption of subsidiary preferred stock</w:t>
            </w:r>
          </w:p>
        </w:tc>
        <w:tc>
          <w:tcPr>
            <w:tcW w:w="840" w:type="dxa"/>
            <w:vAlign w:val="bottom"/>
          </w:tcPr>
          <w:p>
            <w:pPr>
              <w:spacing w:after="0"/>
              <w:rPr>
                <w:sz w:val="15"/>
                <w:szCs w:val="15"/>
                <w:color w:val="auto"/>
              </w:rPr>
            </w:pPr>
          </w:p>
        </w:tc>
        <w:tc>
          <w:tcPr>
            <w:tcW w:w="520" w:type="dxa"/>
            <w:vAlign w:val="bottom"/>
          </w:tcPr>
          <w:p>
            <w:pPr>
              <w:jc w:val="right"/>
              <w:spacing w:after="0" w:line="176" w:lineRule="exact"/>
              <w:rPr>
                <w:sz w:val="20"/>
                <w:szCs w:val="20"/>
                <w:color w:val="auto"/>
              </w:rPr>
            </w:pPr>
            <w:r>
              <w:rPr>
                <w:rFonts w:ascii="Arial" w:cs="Arial" w:eastAsia="Arial" w:hAnsi="Arial"/>
                <w:sz w:val="16"/>
                <w:szCs w:val="16"/>
                <w:color w:val="auto"/>
              </w:rPr>
              <w:t>(80)</w:t>
            </w:r>
          </w:p>
        </w:tc>
        <w:tc>
          <w:tcPr>
            <w:tcW w:w="880" w:type="dxa"/>
            <w:vAlign w:val="bottom"/>
          </w:tcPr>
          <w:p>
            <w:pPr>
              <w:spacing w:after="0"/>
              <w:rPr>
                <w:sz w:val="15"/>
                <w:szCs w:val="15"/>
                <w:color w:val="auto"/>
              </w:rPr>
            </w:pPr>
          </w:p>
        </w:tc>
        <w:tc>
          <w:tcPr>
            <w:tcW w:w="540" w:type="dxa"/>
            <w:vAlign w:val="bottom"/>
            <w:gridSpan w:val="2"/>
          </w:tcPr>
          <w:p>
            <w:pPr>
              <w:jc w:val="right"/>
              <w:ind w:right="60"/>
              <w:spacing w:after="0" w:line="176" w:lineRule="exact"/>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76"/>
        </w:trPr>
        <w:tc>
          <w:tcPr>
            <w:tcW w:w="8660" w:type="dxa"/>
            <w:vAlign w:val="bottom"/>
          </w:tcPr>
          <w:p>
            <w:pPr>
              <w:ind w:left="180"/>
              <w:spacing w:after="0" w:line="176" w:lineRule="exact"/>
              <w:rPr>
                <w:sz w:val="20"/>
                <w:szCs w:val="20"/>
                <w:color w:val="auto"/>
              </w:rPr>
            </w:pPr>
            <w:r>
              <w:rPr>
                <w:rFonts w:ascii="Arial" w:cs="Arial" w:eastAsia="Arial" w:hAnsi="Arial"/>
                <w:sz w:val="16"/>
                <w:szCs w:val="16"/>
                <w:color w:val="auto"/>
              </w:rPr>
              <w:t>Preferred dividends paid by subsidiaries</w:t>
            </w:r>
          </w:p>
        </w:tc>
        <w:tc>
          <w:tcPr>
            <w:tcW w:w="840" w:type="dxa"/>
            <w:vAlign w:val="bottom"/>
          </w:tcPr>
          <w:p>
            <w:pPr>
              <w:spacing w:after="0"/>
              <w:rPr>
                <w:sz w:val="15"/>
                <w:szCs w:val="15"/>
                <w:color w:val="auto"/>
              </w:rPr>
            </w:pPr>
          </w:p>
        </w:tc>
        <w:tc>
          <w:tcPr>
            <w:tcW w:w="520" w:type="dxa"/>
            <w:vAlign w:val="bottom"/>
          </w:tcPr>
          <w:p>
            <w:pPr>
              <w:jc w:val="right"/>
              <w:spacing w:after="0" w:line="176" w:lineRule="exact"/>
              <w:rPr>
                <w:sz w:val="20"/>
                <w:szCs w:val="20"/>
                <w:color w:val="auto"/>
              </w:rPr>
            </w:pPr>
            <w:r>
              <w:rPr>
                <w:rFonts w:ascii="Arial" w:cs="Arial" w:eastAsia="Arial" w:hAnsi="Arial"/>
                <w:sz w:val="16"/>
                <w:szCs w:val="16"/>
                <w:color w:val="auto"/>
              </w:rPr>
              <w:t>(5)</w:t>
            </w:r>
          </w:p>
        </w:tc>
        <w:tc>
          <w:tcPr>
            <w:tcW w:w="880" w:type="dxa"/>
            <w:vAlign w:val="bottom"/>
          </w:tcPr>
          <w:p>
            <w:pPr>
              <w:spacing w:after="0"/>
              <w:rPr>
                <w:sz w:val="15"/>
                <w:szCs w:val="15"/>
                <w:color w:val="auto"/>
              </w:rPr>
            </w:pPr>
          </w:p>
        </w:tc>
        <w:tc>
          <w:tcPr>
            <w:tcW w:w="540" w:type="dxa"/>
            <w:vAlign w:val="bottom"/>
            <w:gridSpan w:val="2"/>
          </w:tcPr>
          <w:p>
            <w:pPr>
              <w:jc w:val="right"/>
              <w:ind w:right="20"/>
              <w:spacing w:after="0" w:line="176" w:lineRule="exact"/>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176"/>
        </w:trPr>
        <w:tc>
          <w:tcPr>
            <w:tcW w:w="8660" w:type="dxa"/>
            <w:vAlign w:val="bottom"/>
          </w:tcPr>
          <w:p>
            <w:pPr>
              <w:ind w:left="180"/>
              <w:spacing w:after="0" w:line="176" w:lineRule="exact"/>
              <w:rPr>
                <w:sz w:val="20"/>
                <w:szCs w:val="20"/>
                <w:color w:val="auto"/>
              </w:rPr>
            </w:pPr>
            <w:r>
              <w:rPr>
                <w:rFonts w:ascii="Arial" w:cs="Arial" w:eastAsia="Arial" w:hAnsi="Arial"/>
                <w:sz w:val="16"/>
                <w:szCs w:val="16"/>
                <w:color w:val="auto"/>
              </w:rPr>
              <w:t>Issuances of common stock</w:t>
            </w:r>
          </w:p>
        </w:tc>
        <w:tc>
          <w:tcPr>
            <w:tcW w:w="840" w:type="dxa"/>
            <w:vAlign w:val="bottom"/>
          </w:tcPr>
          <w:p>
            <w:pPr>
              <w:spacing w:after="0"/>
              <w:rPr>
                <w:sz w:val="15"/>
                <w:szCs w:val="15"/>
                <w:color w:val="auto"/>
              </w:rPr>
            </w:pPr>
          </w:p>
        </w:tc>
        <w:tc>
          <w:tcPr>
            <w:tcW w:w="520" w:type="dxa"/>
            <w:vAlign w:val="bottom"/>
          </w:tcPr>
          <w:p>
            <w:pPr>
              <w:jc w:val="right"/>
              <w:spacing w:after="0" w:line="176" w:lineRule="exact"/>
              <w:rPr>
                <w:sz w:val="20"/>
                <w:szCs w:val="20"/>
                <w:color w:val="auto"/>
              </w:rPr>
            </w:pPr>
            <w:r>
              <w:rPr>
                <w:rFonts w:ascii="Arial" w:cs="Arial" w:eastAsia="Arial" w:hAnsi="Arial"/>
                <w:sz w:val="16"/>
                <w:szCs w:val="16"/>
                <w:color w:val="auto"/>
              </w:rPr>
              <w:t>20</w:t>
            </w:r>
          </w:p>
        </w:tc>
        <w:tc>
          <w:tcPr>
            <w:tcW w:w="880" w:type="dxa"/>
            <w:vAlign w:val="bottom"/>
          </w:tcPr>
          <w:p>
            <w:pPr>
              <w:spacing w:after="0"/>
              <w:rPr>
                <w:sz w:val="15"/>
                <w:szCs w:val="15"/>
                <w:color w:val="auto"/>
              </w:rPr>
            </w:pPr>
          </w:p>
        </w:tc>
        <w:tc>
          <w:tcPr>
            <w:tcW w:w="520" w:type="dxa"/>
            <w:vAlign w:val="bottom"/>
          </w:tcPr>
          <w:p>
            <w:pPr>
              <w:jc w:val="right"/>
              <w:spacing w:after="0" w:line="176" w:lineRule="exact"/>
              <w:rPr>
                <w:sz w:val="20"/>
                <w:szCs w:val="20"/>
                <w:color w:val="auto"/>
              </w:rPr>
            </w:pPr>
            <w:r>
              <w:rPr>
                <w:rFonts w:ascii="Arial" w:cs="Arial" w:eastAsia="Arial" w:hAnsi="Arial"/>
                <w:sz w:val="16"/>
                <w:szCs w:val="16"/>
                <w:color w:val="auto"/>
              </w:rPr>
              <w:t>22</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8660" w:type="dxa"/>
            <w:vAlign w:val="bottom"/>
          </w:tcPr>
          <w:p>
            <w:pPr>
              <w:ind w:left="180"/>
              <w:spacing w:after="0" w:line="176" w:lineRule="exact"/>
              <w:rPr>
                <w:sz w:val="20"/>
                <w:szCs w:val="20"/>
                <w:color w:val="auto"/>
              </w:rPr>
            </w:pPr>
            <w:r>
              <w:rPr>
                <w:rFonts w:ascii="Arial" w:cs="Arial" w:eastAsia="Arial" w:hAnsi="Arial"/>
                <w:sz w:val="16"/>
                <w:szCs w:val="16"/>
                <w:color w:val="auto"/>
              </w:rPr>
              <w:t>Repurchases of common stock</w:t>
            </w:r>
          </w:p>
        </w:tc>
        <w:tc>
          <w:tcPr>
            <w:tcW w:w="840" w:type="dxa"/>
            <w:vAlign w:val="bottom"/>
          </w:tcPr>
          <w:p>
            <w:pPr>
              <w:spacing w:after="0"/>
              <w:rPr>
                <w:sz w:val="15"/>
                <w:szCs w:val="15"/>
                <w:color w:val="auto"/>
              </w:rPr>
            </w:pPr>
          </w:p>
        </w:tc>
        <w:tc>
          <w:tcPr>
            <w:tcW w:w="520" w:type="dxa"/>
            <w:vAlign w:val="bottom"/>
          </w:tcPr>
          <w:p>
            <w:pPr>
              <w:jc w:val="right"/>
              <w:spacing w:after="0" w:line="176" w:lineRule="exact"/>
              <w:rPr>
                <w:sz w:val="20"/>
                <w:szCs w:val="20"/>
                <w:color w:val="auto"/>
              </w:rPr>
            </w:pPr>
            <w:r>
              <w:rPr>
                <w:rFonts w:ascii="Arial" w:cs="Arial" w:eastAsia="Arial" w:hAnsi="Arial"/>
                <w:sz w:val="16"/>
                <w:szCs w:val="16"/>
                <w:color w:val="auto"/>
              </w:rPr>
              <w:t>(18)</w:t>
            </w:r>
          </w:p>
        </w:tc>
        <w:tc>
          <w:tcPr>
            <w:tcW w:w="880" w:type="dxa"/>
            <w:vAlign w:val="bottom"/>
          </w:tcPr>
          <w:p>
            <w:pPr>
              <w:spacing w:after="0"/>
              <w:rPr>
                <w:sz w:val="15"/>
                <w:szCs w:val="15"/>
                <w:color w:val="auto"/>
              </w:rPr>
            </w:pPr>
          </w:p>
        </w:tc>
        <w:tc>
          <w:tcPr>
            <w:tcW w:w="540" w:type="dxa"/>
            <w:vAlign w:val="bottom"/>
            <w:gridSpan w:val="2"/>
          </w:tcPr>
          <w:p>
            <w:pPr>
              <w:jc w:val="right"/>
              <w:ind w:right="20"/>
              <w:spacing w:after="0" w:line="176" w:lineRule="exact"/>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176"/>
        </w:trPr>
        <w:tc>
          <w:tcPr>
            <w:tcW w:w="8660" w:type="dxa"/>
            <w:vAlign w:val="bottom"/>
          </w:tcPr>
          <w:p>
            <w:pPr>
              <w:ind w:left="180"/>
              <w:spacing w:after="0" w:line="176" w:lineRule="exact"/>
              <w:rPr>
                <w:sz w:val="20"/>
                <w:szCs w:val="20"/>
                <w:color w:val="auto"/>
              </w:rPr>
            </w:pPr>
            <w:r>
              <w:rPr>
                <w:rFonts w:ascii="Arial" w:cs="Arial" w:eastAsia="Arial" w:hAnsi="Arial"/>
                <w:sz w:val="16"/>
                <w:szCs w:val="16"/>
                <w:color w:val="auto"/>
              </w:rPr>
              <w:t>Issuances of debt (maturities greater than 90 days)</w:t>
            </w:r>
          </w:p>
        </w:tc>
        <w:tc>
          <w:tcPr>
            <w:tcW w:w="840" w:type="dxa"/>
            <w:vAlign w:val="bottom"/>
          </w:tcPr>
          <w:p>
            <w:pPr>
              <w:spacing w:after="0"/>
              <w:rPr>
                <w:sz w:val="15"/>
                <w:szCs w:val="15"/>
                <w:color w:val="auto"/>
              </w:rPr>
            </w:pPr>
          </w:p>
        </w:tc>
        <w:tc>
          <w:tcPr>
            <w:tcW w:w="520" w:type="dxa"/>
            <w:vAlign w:val="bottom"/>
          </w:tcPr>
          <w:p>
            <w:pPr>
              <w:jc w:val="right"/>
              <w:spacing w:after="0" w:line="176" w:lineRule="exact"/>
              <w:rPr>
                <w:sz w:val="20"/>
                <w:szCs w:val="20"/>
                <w:color w:val="auto"/>
              </w:rPr>
            </w:pPr>
            <w:r>
              <w:rPr>
                <w:rFonts w:ascii="Arial" w:cs="Arial" w:eastAsia="Arial" w:hAnsi="Arial"/>
                <w:sz w:val="16"/>
                <w:szCs w:val="16"/>
                <w:color w:val="auto"/>
              </w:rPr>
              <w:t>870</w:t>
            </w:r>
          </w:p>
        </w:tc>
        <w:tc>
          <w:tcPr>
            <w:tcW w:w="880" w:type="dxa"/>
            <w:vAlign w:val="bottom"/>
          </w:tcPr>
          <w:p>
            <w:pPr>
              <w:spacing w:after="0"/>
              <w:rPr>
                <w:sz w:val="15"/>
                <w:szCs w:val="15"/>
                <w:color w:val="auto"/>
              </w:rPr>
            </w:pPr>
          </w:p>
        </w:tc>
        <w:tc>
          <w:tcPr>
            <w:tcW w:w="520" w:type="dxa"/>
            <w:vAlign w:val="bottom"/>
          </w:tcPr>
          <w:p>
            <w:pPr>
              <w:jc w:val="right"/>
              <w:spacing w:after="0" w:line="176" w:lineRule="exact"/>
              <w:rPr>
                <w:sz w:val="20"/>
                <w:szCs w:val="20"/>
                <w:color w:val="auto"/>
              </w:rPr>
            </w:pPr>
            <w:r>
              <w:rPr>
                <w:rFonts w:ascii="Arial" w:cs="Arial" w:eastAsia="Arial" w:hAnsi="Arial"/>
                <w:sz w:val="16"/>
                <w:szCs w:val="16"/>
                <w:color w:val="auto"/>
              </w:rPr>
              <w:t>270</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8660" w:type="dxa"/>
            <w:vAlign w:val="bottom"/>
          </w:tcPr>
          <w:p>
            <w:pPr>
              <w:ind w:left="180"/>
              <w:spacing w:after="0" w:line="176" w:lineRule="exact"/>
              <w:rPr>
                <w:sz w:val="20"/>
                <w:szCs w:val="20"/>
                <w:color w:val="auto"/>
              </w:rPr>
            </w:pPr>
            <w:r>
              <w:rPr>
                <w:rFonts w:ascii="Arial" w:cs="Arial" w:eastAsia="Arial" w:hAnsi="Arial"/>
                <w:sz w:val="16"/>
                <w:szCs w:val="16"/>
                <w:color w:val="auto"/>
              </w:rPr>
              <w:t>Payments on debt (maturities greater than 90 days)</w:t>
            </w:r>
          </w:p>
        </w:tc>
        <w:tc>
          <w:tcPr>
            <w:tcW w:w="840" w:type="dxa"/>
            <w:vAlign w:val="bottom"/>
          </w:tcPr>
          <w:p>
            <w:pPr>
              <w:spacing w:after="0"/>
              <w:rPr>
                <w:sz w:val="15"/>
                <w:szCs w:val="15"/>
                <w:color w:val="auto"/>
              </w:rPr>
            </w:pPr>
          </w:p>
        </w:tc>
        <w:tc>
          <w:tcPr>
            <w:tcW w:w="520" w:type="dxa"/>
            <w:vAlign w:val="bottom"/>
          </w:tcPr>
          <w:p>
            <w:pPr>
              <w:jc w:val="right"/>
              <w:spacing w:after="0" w:line="176" w:lineRule="exact"/>
              <w:rPr>
                <w:sz w:val="20"/>
                <w:szCs w:val="20"/>
                <w:color w:val="auto"/>
              </w:rPr>
            </w:pPr>
            <w:r>
              <w:rPr>
                <w:rFonts w:ascii="Arial" w:cs="Arial" w:eastAsia="Arial" w:hAnsi="Arial"/>
                <w:sz w:val="16"/>
                <w:szCs w:val="16"/>
                <w:color w:val="auto"/>
              </w:rPr>
              <w:t>(270)</w:t>
            </w:r>
          </w:p>
        </w:tc>
        <w:tc>
          <w:tcPr>
            <w:tcW w:w="880" w:type="dxa"/>
            <w:vAlign w:val="bottom"/>
          </w:tcPr>
          <w:p>
            <w:pPr>
              <w:spacing w:after="0"/>
              <w:rPr>
                <w:sz w:val="15"/>
                <w:szCs w:val="15"/>
                <w:color w:val="auto"/>
              </w:rPr>
            </w:pPr>
          </w:p>
        </w:tc>
        <w:tc>
          <w:tcPr>
            <w:tcW w:w="540" w:type="dxa"/>
            <w:vAlign w:val="bottom"/>
            <w:gridSpan w:val="2"/>
          </w:tcPr>
          <w:p>
            <w:pPr>
              <w:jc w:val="right"/>
              <w:ind w:right="20"/>
              <w:spacing w:after="0" w:line="176" w:lineRule="exact"/>
              <w:rPr>
                <w:sz w:val="20"/>
                <w:szCs w:val="20"/>
                <w:color w:val="auto"/>
              </w:rPr>
            </w:pPr>
            <w:r>
              <w:rPr>
                <w:rFonts w:ascii="Arial" w:cs="Arial" w:eastAsia="Arial" w:hAnsi="Arial"/>
                <w:sz w:val="16"/>
                <w:szCs w:val="16"/>
                <w:color w:val="auto"/>
              </w:rPr>
              <w:t>(710)</w:t>
            </w:r>
          </w:p>
        </w:tc>
        <w:tc>
          <w:tcPr>
            <w:tcW w:w="0" w:type="dxa"/>
            <w:vAlign w:val="bottom"/>
          </w:tcPr>
          <w:p>
            <w:pPr>
              <w:spacing w:after="0"/>
              <w:rPr>
                <w:sz w:val="1"/>
                <w:szCs w:val="1"/>
                <w:color w:val="auto"/>
              </w:rPr>
            </w:pPr>
          </w:p>
        </w:tc>
      </w:tr>
      <w:tr>
        <w:trPr>
          <w:trHeight w:val="176"/>
        </w:trPr>
        <w:tc>
          <w:tcPr>
            <w:tcW w:w="8660" w:type="dxa"/>
            <w:vAlign w:val="bottom"/>
          </w:tcPr>
          <w:p>
            <w:pPr>
              <w:ind w:left="180"/>
              <w:spacing w:after="0" w:line="176" w:lineRule="exact"/>
              <w:rPr>
                <w:sz w:val="20"/>
                <w:szCs w:val="20"/>
                <w:color w:val="auto"/>
              </w:rPr>
            </w:pPr>
            <w:r>
              <w:rPr>
                <w:rFonts w:ascii="Arial" w:cs="Arial" w:eastAsia="Arial" w:hAnsi="Arial"/>
                <w:sz w:val="16"/>
                <w:szCs w:val="16"/>
                <w:color w:val="auto"/>
              </w:rPr>
              <w:t>(Decrease) increase in short-term debt, net</w:t>
            </w:r>
          </w:p>
        </w:tc>
        <w:tc>
          <w:tcPr>
            <w:tcW w:w="840" w:type="dxa"/>
            <w:vAlign w:val="bottom"/>
          </w:tcPr>
          <w:p>
            <w:pPr>
              <w:spacing w:after="0"/>
              <w:rPr>
                <w:sz w:val="15"/>
                <w:szCs w:val="15"/>
                <w:color w:val="auto"/>
              </w:rPr>
            </w:pPr>
          </w:p>
        </w:tc>
        <w:tc>
          <w:tcPr>
            <w:tcW w:w="520" w:type="dxa"/>
            <w:vAlign w:val="bottom"/>
          </w:tcPr>
          <w:p>
            <w:pPr>
              <w:jc w:val="right"/>
              <w:spacing w:after="0" w:line="176" w:lineRule="exact"/>
              <w:rPr>
                <w:sz w:val="20"/>
                <w:szCs w:val="20"/>
                <w:color w:val="auto"/>
              </w:rPr>
            </w:pPr>
            <w:r>
              <w:rPr>
                <w:rFonts w:ascii="Arial" w:cs="Arial" w:eastAsia="Arial" w:hAnsi="Arial"/>
                <w:sz w:val="16"/>
                <w:szCs w:val="16"/>
                <w:color w:val="auto"/>
              </w:rPr>
              <w:t>(319)</w:t>
            </w:r>
          </w:p>
        </w:tc>
        <w:tc>
          <w:tcPr>
            <w:tcW w:w="880" w:type="dxa"/>
            <w:vAlign w:val="bottom"/>
          </w:tcPr>
          <w:p>
            <w:pPr>
              <w:spacing w:after="0"/>
              <w:rPr>
                <w:sz w:val="15"/>
                <w:szCs w:val="15"/>
                <w:color w:val="auto"/>
              </w:rPr>
            </w:pPr>
          </w:p>
        </w:tc>
        <w:tc>
          <w:tcPr>
            <w:tcW w:w="520" w:type="dxa"/>
            <w:vAlign w:val="bottom"/>
          </w:tcPr>
          <w:p>
            <w:pPr>
              <w:jc w:val="right"/>
              <w:spacing w:after="0" w:line="176" w:lineRule="exact"/>
              <w:rPr>
                <w:sz w:val="20"/>
                <w:szCs w:val="20"/>
                <w:color w:val="auto"/>
              </w:rPr>
            </w:pPr>
            <w:r>
              <w:rPr>
                <w:rFonts w:ascii="Arial" w:cs="Arial" w:eastAsia="Arial" w:hAnsi="Arial"/>
                <w:sz w:val="16"/>
                <w:szCs w:val="16"/>
                <w:color w:val="auto"/>
              </w:rPr>
              <w:t>534</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4"/>
        </w:trPr>
        <w:tc>
          <w:tcPr>
            <w:tcW w:w="8660" w:type="dxa"/>
            <w:vAlign w:val="bottom"/>
          </w:tcPr>
          <w:p>
            <w:pPr>
              <w:ind w:left="180"/>
              <w:spacing w:after="0"/>
              <w:rPr>
                <w:sz w:val="20"/>
                <w:szCs w:val="20"/>
                <w:color w:val="auto"/>
              </w:rPr>
            </w:pPr>
            <w:r>
              <w:rPr>
                <w:rFonts w:ascii="Arial" w:cs="Arial" w:eastAsia="Arial" w:hAnsi="Arial"/>
                <w:sz w:val="16"/>
                <w:szCs w:val="16"/>
                <w:color w:val="auto"/>
              </w:rPr>
              <w:t>Other</w:t>
            </w:r>
          </w:p>
        </w:tc>
        <w:tc>
          <w:tcPr>
            <w:tcW w:w="84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w:t>
            </w:r>
          </w:p>
        </w:tc>
        <w:tc>
          <w:tcPr>
            <w:tcW w:w="88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8660" w:type="dxa"/>
            <w:vAlign w:val="bottom"/>
          </w:tcPr>
          <w:p>
            <w:pPr>
              <w:ind w:left="360"/>
              <w:spacing w:after="0" w:line="176" w:lineRule="exact"/>
              <w:rPr>
                <w:sz w:val="20"/>
                <w:szCs w:val="20"/>
                <w:color w:val="auto"/>
              </w:rPr>
            </w:pPr>
            <w:r>
              <w:rPr>
                <w:rFonts w:ascii="Arial" w:cs="Arial" w:eastAsia="Arial" w:hAnsi="Arial"/>
                <w:sz w:val="16"/>
                <w:szCs w:val="16"/>
                <w:color w:val="auto"/>
              </w:rPr>
              <w:t>Net cash used in financing activities</w:t>
            </w:r>
          </w:p>
        </w:tc>
        <w:tc>
          <w:tcPr>
            <w:tcW w:w="84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6"/>
                <w:szCs w:val="16"/>
                <w:color w:val="auto"/>
              </w:rPr>
              <w:t>(2)</w:t>
            </w:r>
          </w:p>
        </w:tc>
        <w:tc>
          <w:tcPr>
            <w:tcW w:w="88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6"/>
                <w:szCs w:val="16"/>
                <w:color w:val="auto"/>
              </w:rPr>
              <w:t>(62)</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58"/>
        </w:trPr>
        <w:tc>
          <w:tcPr>
            <w:tcW w:w="8660" w:type="dxa"/>
            <w:vAlign w:val="bottom"/>
          </w:tcPr>
          <w:p>
            <w:pPr>
              <w:spacing w:after="0"/>
              <w:rPr>
                <w:sz w:val="20"/>
                <w:szCs w:val="20"/>
                <w:color w:val="auto"/>
              </w:rPr>
            </w:pPr>
            <w:r>
              <w:rPr>
                <w:rFonts w:ascii="Arial" w:cs="Arial" w:eastAsia="Arial" w:hAnsi="Arial"/>
                <w:sz w:val="16"/>
                <w:szCs w:val="16"/>
                <w:color w:val="auto"/>
              </w:rPr>
              <w:t>Effect of exchange rate changes on cash and cash equivalents</w:t>
            </w:r>
          </w:p>
        </w:tc>
        <w:tc>
          <w:tcPr>
            <w:tcW w:w="84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(4)</w:t>
            </w:r>
          </w:p>
        </w:tc>
        <w:tc>
          <w:tcPr>
            <w:tcW w:w="880" w:type="dxa"/>
            <w:vAlign w:val="bottom"/>
          </w:tcPr>
          <w:p>
            <w:pPr>
              <w:spacing w:after="0"/>
              <w:rPr>
                <w:sz w:val="24"/>
                <w:szCs w:val="24"/>
                <w:color w:val="auto"/>
              </w:rPr>
            </w:pPr>
          </w:p>
        </w:tc>
        <w:tc>
          <w:tcPr>
            <w:tcW w:w="54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40"/>
        </w:trPr>
        <w:tc>
          <w:tcPr>
            <w:tcW w:w="8660" w:type="dxa"/>
            <w:vAlign w:val="bottom"/>
          </w:tcPr>
          <w:p>
            <w:pPr>
              <w:spacing w:after="0"/>
              <w:rPr>
                <w:sz w:val="20"/>
                <w:szCs w:val="20"/>
                <w:color w:val="auto"/>
              </w:rPr>
            </w:pPr>
            <w:r>
              <w:rPr>
                <w:rFonts w:ascii="Arial" w:cs="Arial" w:eastAsia="Arial" w:hAnsi="Arial"/>
                <w:sz w:val="16"/>
                <w:szCs w:val="16"/>
                <w:color w:val="auto"/>
              </w:rPr>
              <w:t>(Decrease) increase in cash and cash equivalents</w:t>
            </w:r>
          </w:p>
        </w:tc>
        <w:tc>
          <w:tcPr>
            <w:tcW w:w="840" w:type="dxa"/>
            <w:vAlign w:val="bottom"/>
            <w:tcBorders>
              <w:top w:val="single" w:sz="8" w:color="auto"/>
            </w:tcBorders>
          </w:tcPr>
          <w:p>
            <w:pPr>
              <w:spacing w:after="0"/>
              <w:rPr>
                <w:sz w:val="24"/>
                <w:szCs w:val="24"/>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(520)</w:t>
            </w:r>
          </w:p>
        </w:tc>
        <w:tc>
          <w:tcPr>
            <w:tcW w:w="880" w:type="dxa"/>
            <w:vAlign w:val="bottom"/>
            <w:tcBorders>
              <w:top w:val="single" w:sz="8" w:color="auto"/>
            </w:tcBorders>
          </w:tcPr>
          <w:p>
            <w:pPr>
              <w:spacing w:after="0"/>
              <w:rPr>
                <w:sz w:val="24"/>
                <w:szCs w:val="24"/>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78</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8660" w:type="dxa"/>
            <w:vAlign w:val="bottom"/>
          </w:tcPr>
          <w:p>
            <w:pPr>
              <w:spacing w:after="0"/>
              <w:rPr>
                <w:sz w:val="20"/>
                <w:szCs w:val="20"/>
                <w:color w:val="auto"/>
              </w:rPr>
            </w:pPr>
            <w:r>
              <w:rPr>
                <w:rFonts w:ascii="Arial" w:cs="Arial" w:eastAsia="Arial" w:hAnsi="Arial"/>
                <w:sz w:val="16"/>
                <w:szCs w:val="16"/>
                <w:color w:val="auto"/>
              </w:rPr>
              <w:t>Cash and cash equivalents, January 1</w:t>
            </w:r>
          </w:p>
        </w:tc>
        <w:tc>
          <w:tcPr>
            <w:tcW w:w="84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912</w:t>
            </w:r>
          </w:p>
        </w:tc>
        <w:tc>
          <w:tcPr>
            <w:tcW w:w="88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110</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8660" w:type="dxa"/>
            <w:vAlign w:val="bottom"/>
          </w:tcPr>
          <w:p>
            <w:pPr>
              <w:spacing w:after="0"/>
              <w:rPr>
                <w:sz w:val="20"/>
                <w:szCs w:val="20"/>
                <w:color w:val="auto"/>
              </w:rPr>
            </w:pPr>
            <w:r>
              <w:rPr>
                <w:rFonts w:ascii="Arial" w:cs="Arial" w:eastAsia="Arial" w:hAnsi="Arial"/>
                <w:sz w:val="16"/>
                <w:szCs w:val="16"/>
                <w:color w:val="auto"/>
              </w:rPr>
              <w:t>Cash and cash equivalents, June 30</w:t>
            </w:r>
          </w:p>
        </w:tc>
        <w:tc>
          <w:tcPr>
            <w:tcW w:w="840" w:type="dxa"/>
            <w:vAlign w:val="bottom"/>
          </w:tcPr>
          <w:p>
            <w:pPr>
              <w:jc w:val="right"/>
              <w:ind w:right="686"/>
              <w:spacing w:after="0"/>
              <w:rPr>
                <w:sz w:val="20"/>
                <w:szCs w:val="20"/>
                <w:color w:val="auto"/>
              </w:rPr>
            </w:pPr>
            <w:r>
              <w:rPr>
                <w:rFonts w:ascii="Arial" w:cs="Arial" w:eastAsia="Arial" w:hAnsi="Arial"/>
                <w:sz w:val="15"/>
                <w:szCs w:val="15"/>
                <w:color w:val="auto"/>
                <w:w w:val="71"/>
              </w:rPr>
              <w:t>$</w:t>
            </w:r>
          </w:p>
        </w:tc>
        <w:tc>
          <w:tcPr>
            <w:tcW w:w="520" w:type="dxa"/>
            <w:vAlign w:val="bottom"/>
          </w:tcPr>
          <w:p>
            <w:pPr>
              <w:jc w:val="right"/>
              <w:spacing w:after="0"/>
              <w:rPr>
                <w:sz w:val="20"/>
                <w:szCs w:val="20"/>
                <w:color w:val="auto"/>
              </w:rPr>
            </w:pPr>
            <w:r>
              <w:rPr>
                <w:rFonts w:ascii="Arial" w:cs="Arial" w:eastAsia="Arial" w:hAnsi="Arial"/>
                <w:sz w:val="16"/>
                <w:szCs w:val="16"/>
                <w:color w:val="auto"/>
              </w:rPr>
              <w:t>392</w:t>
            </w:r>
          </w:p>
        </w:tc>
        <w:tc>
          <w:tcPr>
            <w:tcW w:w="880" w:type="dxa"/>
            <w:vAlign w:val="bottom"/>
          </w:tcPr>
          <w:p>
            <w:pPr>
              <w:jc w:val="right"/>
              <w:ind w:right="702"/>
              <w:spacing w:after="0"/>
              <w:rPr>
                <w:sz w:val="20"/>
                <w:szCs w:val="20"/>
                <w:color w:val="auto"/>
              </w:rPr>
            </w:pPr>
            <w:r>
              <w:rPr>
                <w:rFonts w:ascii="Arial" w:cs="Arial" w:eastAsia="Arial" w:hAnsi="Arial"/>
                <w:sz w:val="16"/>
                <w:szCs w:val="16"/>
                <w:color w:val="auto"/>
                <w:w w:val="89"/>
              </w:rPr>
              <w:t>$</w:t>
            </w:r>
          </w:p>
        </w:tc>
        <w:tc>
          <w:tcPr>
            <w:tcW w:w="520" w:type="dxa"/>
            <w:vAlign w:val="bottom"/>
          </w:tcPr>
          <w:p>
            <w:pPr>
              <w:jc w:val="right"/>
              <w:spacing w:after="0"/>
              <w:rPr>
                <w:sz w:val="20"/>
                <w:szCs w:val="20"/>
                <w:color w:val="auto"/>
              </w:rPr>
            </w:pPr>
            <w:r>
              <w:rPr>
                <w:rFonts w:ascii="Arial" w:cs="Arial" w:eastAsia="Arial" w:hAnsi="Arial"/>
                <w:sz w:val="16"/>
                <w:szCs w:val="16"/>
                <w:color w:val="auto"/>
              </w:rPr>
              <w:t>188</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2466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rPr>
          <w:sz w:val="20"/>
          <w:szCs w:val="20"/>
          <w:color w:val="auto"/>
        </w:rPr>
      </w:pPr>
      <w:r>
        <w:rPr>
          <w:rFonts w:ascii="Arial" w:cs="Arial" w:eastAsia="Arial" w:hAnsi="Arial"/>
          <w:sz w:val="14"/>
          <w:szCs w:val="14"/>
          <w:i w:val="1"/>
          <w:iCs w:val="1"/>
          <w:color w:val="auto"/>
        </w:rPr>
        <w:t>See Notes to Condensed Consolidated Financial Statements.</w:t>
      </w:r>
    </w:p>
    <w:p>
      <w:pPr>
        <w:sectPr>
          <w:pgSz w:w="11900" w:h="16838" w:orient="portrait"/>
          <w:cols w:equalWidth="0" w:num="1">
            <w:col w:w="11420"/>
          </w:cols>
          <w:pgMar w:left="240" w:top="513" w:right="239" w:bottom="1440" w:gutter="0" w:footer="0" w:header="0"/>
        </w:sectPr>
      </w:pPr>
    </w:p>
    <w:bookmarkStart w:id="10" w:name="page11"/>
    <w:bookmarkEnd w:id="10"/>
    <w:p>
      <w:pPr>
        <w:spacing w:after="0"/>
        <w:rPr>
          <w:sz w:val="20"/>
          <w:szCs w:val="20"/>
          <w:color w:val="auto"/>
        </w:rPr>
      </w:pPr>
      <w:r>
        <w:rPr>
          <w:rFonts w:ascii="Arial" w:cs="Arial" w:eastAsia="Arial" w:hAnsi="Arial"/>
          <w:sz w:val="16"/>
          <w:szCs w:val="16"/>
          <w:b w:val="1"/>
          <w:bCs w:val="1"/>
          <w:color w:val="auto"/>
        </w:rPr>
        <w:t>SEMPRA ENERGY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-104775</wp:posOffset>
            </wp:positionV>
            <wp:extent cx="7246620" cy="3346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334645"/>
                    </a:xfrm>
                    <a:prstGeom prst="rect">
                      <a:avLst/>
                    </a:prstGeom>
                    <a:noFill/>
                  </pic:spPr>
                </pic:pic>
              </a:graphicData>
            </a:graphic>
          </wp:anchor>
        </w:drawing>
      </w:r>
    </w:p>
    <w:p>
      <w:pPr>
        <w:spacing w:after="0"/>
        <w:rPr>
          <w:sz w:val="20"/>
          <w:szCs w:val="20"/>
          <w:color w:val="auto"/>
        </w:rPr>
      </w:pPr>
      <w:r>
        <w:rPr>
          <w:rFonts w:ascii="Arial" w:cs="Arial" w:eastAsia="Arial" w:hAnsi="Arial"/>
          <w:sz w:val="16"/>
          <w:szCs w:val="16"/>
          <w:b w:val="1"/>
          <w:bCs w:val="1"/>
          <w:color w:val="auto"/>
        </w:rPr>
        <w:t>CONDENSED CONSOLIDATED STATEMENTS OF CASH FLOWS</w:t>
      </w:r>
    </w:p>
    <w:p>
      <w:pPr>
        <w:spacing w:after="0" w:line="8"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(Dollars in millions)</w:t>
      </w:r>
    </w:p>
    <w:tbl>
      <w:tblPr>
        <w:tblLayout w:type="fixed"/>
        <w:tblInd w:w="0" w:type="dxa"/>
        <w:tblCellMar>
          <w:top w:w="0" w:type="dxa"/>
          <w:left w:w="0" w:type="dxa"/>
          <w:bottom w:w="0" w:type="dxa"/>
          <w:right w:w="0" w:type="dxa"/>
        </w:tblCellMar>
      </w:tblPr>
      <w:tr>
        <w:trPr>
          <w:trHeight w:val="165"/>
        </w:trPr>
        <w:tc>
          <w:tcPr>
            <w:tcW w:w="8660" w:type="dxa"/>
            <w:vAlign w:val="bottom"/>
          </w:tcPr>
          <w:p>
            <w:pPr>
              <w:spacing w:after="0"/>
              <w:rPr>
                <w:sz w:val="14"/>
                <w:szCs w:val="14"/>
                <w:color w:val="auto"/>
              </w:rPr>
            </w:pPr>
          </w:p>
        </w:tc>
        <w:tc>
          <w:tcPr>
            <w:tcW w:w="2320" w:type="dxa"/>
            <w:vAlign w:val="bottom"/>
            <w:tcBorders>
              <w:bottom w:val="single" w:sz="8" w:color="auto"/>
            </w:tcBorders>
            <w:gridSpan w:val="3"/>
          </w:tcPr>
          <w:p>
            <w:pPr>
              <w:ind w:left="500"/>
              <w:spacing w:after="0" w:line="159" w:lineRule="exact"/>
              <w:rPr>
                <w:sz w:val="20"/>
                <w:szCs w:val="20"/>
                <w:color w:val="auto"/>
              </w:rPr>
            </w:pPr>
            <w:r>
              <w:rPr>
                <w:rFonts w:ascii="Arial" w:cs="Arial" w:eastAsia="Arial" w:hAnsi="Arial"/>
                <w:sz w:val="14"/>
                <w:szCs w:val="14"/>
                <w:color w:val="auto"/>
              </w:rPr>
              <w:t>Six months ended June 30,</w:t>
            </w:r>
          </w:p>
        </w:tc>
        <w:tc>
          <w:tcPr>
            <w:tcW w:w="4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866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ind w:left="500"/>
              <w:spacing w:after="0"/>
              <w:rPr>
                <w:sz w:val="20"/>
                <w:szCs w:val="20"/>
                <w:color w:val="auto"/>
              </w:rPr>
            </w:pPr>
            <w:r>
              <w:rPr>
                <w:rFonts w:ascii="Arial" w:cs="Arial" w:eastAsia="Arial" w:hAnsi="Arial"/>
                <w:sz w:val="14"/>
                <w:szCs w:val="14"/>
                <w:color w:val="auto"/>
              </w:rPr>
              <w:t>2011</w:t>
            </w:r>
          </w:p>
        </w:tc>
        <w:tc>
          <w:tcPr>
            <w:tcW w:w="5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41"/>
              <w:spacing w:after="0"/>
              <w:rPr>
                <w:sz w:val="20"/>
                <w:szCs w:val="20"/>
                <w:color w:val="auto"/>
              </w:rPr>
            </w:pPr>
            <w:r>
              <w:rPr>
                <w:rFonts w:ascii="Arial" w:cs="Arial" w:eastAsia="Arial" w:hAnsi="Arial"/>
                <w:sz w:val="14"/>
                <w:szCs w:val="14"/>
                <w:color w:val="auto"/>
              </w:rPr>
              <w:t>2010</w:t>
            </w:r>
          </w:p>
        </w:tc>
        <w:tc>
          <w:tcPr>
            <w:tcW w:w="4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8660" w:type="dxa"/>
            <w:vAlign w:val="bottom"/>
            <w:vMerge w:val="restart"/>
          </w:tcPr>
          <w:p>
            <w:pPr>
              <w:spacing w:after="0"/>
              <w:rPr>
                <w:sz w:val="20"/>
                <w:szCs w:val="20"/>
                <w:color w:val="auto"/>
              </w:rPr>
            </w:pPr>
            <w:r>
              <w:rPr>
                <w:rFonts w:ascii="Arial" w:cs="Arial" w:eastAsia="Arial" w:hAnsi="Arial"/>
                <w:sz w:val="16"/>
                <w:szCs w:val="16"/>
                <w:color w:val="auto"/>
              </w:rPr>
              <w:t>SUPPLEMENTAL DISCLOSURE OF CASH FLOW INFORMATION</w:t>
            </w:r>
          </w:p>
        </w:tc>
        <w:tc>
          <w:tcPr>
            <w:tcW w:w="860" w:type="dxa"/>
            <w:vAlign w:val="bottom"/>
          </w:tcPr>
          <w:p>
            <w:pPr>
              <w:spacing w:after="0"/>
              <w:rPr>
                <w:sz w:val="16"/>
                <w:szCs w:val="16"/>
                <w:color w:val="auto"/>
              </w:rPr>
            </w:pPr>
          </w:p>
        </w:tc>
        <w:tc>
          <w:tcPr>
            <w:tcW w:w="1460" w:type="dxa"/>
            <w:vAlign w:val="bottom"/>
            <w:gridSpan w:val="2"/>
          </w:tcPr>
          <w:p>
            <w:pPr>
              <w:jc w:val="right"/>
              <w:ind w:right="501"/>
              <w:spacing w:after="0"/>
              <w:rPr>
                <w:sz w:val="20"/>
                <w:szCs w:val="20"/>
                <w:color w:val="auto"/>
              </w:rPr>
            </w:pPr>
            <w:r>
              <w:rPr>
                <w:rFonts w:ascii="Arial" w:cs="Arial" w:eastAsia="Arial" w:hAnsi="Arial"/>
                <w:sz w:val="14"/>
                <w:szCs w:val="14"/>
                <w:color w:val="auto"/>
              </w:rPr>
              <w:t>(unaudited)</w:t>
            </w:r>
          </w:p>
        </w:tc>
        <w:tc>
          <w:tcPr>
            <w:tcW w:w="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8660" w:type="dxa"/>
            <w:vAlign w:val="bottom"/>
            <w:vMerge w:val="continue"/>
          </w:tcPr>
          <w:p>
            <w:pPr>
              <w:spacing w:after="0"/>
              <w:rPr>
                <w:sz w:val="12"/>
                <w:szCs w:val="12"/>
                <w:color w:val="auto"/>
              </w:rPr>
            </w:pPr>
          </w:p>
        </w:tc>
        <w:tc>
          <w:tcPr>
            <w:tcW w:w="8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8660" w:type="dxa"/>
            <w:vAlign w:val="bottom"/>
          </w:tcPr>
          <w:p>
            <w:pPr>
              <w:ind w:left="180"/>
              <w:spacing w:after="0" w:line="176" w:lineRule="exact"/>
              <w:rPr>
                <w:sz w:val="20"/>
                <w:szCs w:val="20"/>
                <w:color w:val="auto"/>
              </w:rPr>
            </w:pPr>
            <w:r>
              <w:rPr>
                <w:rFonts w:ascii="Arial" w:cs="Arial" w:eastAsia="Arial" w:hAnsi="Arial"/>
                <w:sz w:val="16"/>
                <w:szCs w:val="16"/>
                <w:color w:val="auto"/>
              </w:rPr>
              <w:t>Interest payments, net of amounts capitalized</w:t>
            </w:r>
          </w:p>
        </w:tc>
        <w:tc>
          <w:tcPr>
            <w:tcW w:w="860" w:type="dxa"/>
            <w:vAlign w:val="bottom"/>
          </w:tcPr>
          <w:p>
            <w:pPr>
              <w:jc w:val="right"/>
              <w:ind w:right="705"/>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line="176" w:lineRule="exact"/>
              <w:rPr>
                <w:sz w:val="20"/>
                <w:szCs w:val="20"/>
                <w:color w:val="auto"/>
              </w:rPr>
            </w:pPr>
            <w:r>
              <w:rPr>
                <w:rFonts w:ascii="Arial" w:cs="Arial" w:eastAsia="Arial" w:hAnsi="Arial"/>
                <w:sz w:val="16"/>
                <w:szCs w:val="16"/>
                <w:color w:val="auto"/>
              </w:rPr>
              <w:t>211</w:t>
            </w:r>
          </w:p>
        </w:tc>
        <w:tc>
          <w:tcPr>
            <w:tcW w:w="960" w:type="dxa"/>
            <w:vAlign w:val="bottom"/>
          </w:tcPr>
          <w:p>
            <w:pPr>
              <w:jc w:val="right"/>
              <w:ind w:right="781"/>
              <w:spacing w:after="0" w:line="176" w:lineRule="exact"/>
              <w:rPr>
                <w:sz w:val="20"/>
                <w:szCs w:val="20"/>
                <w:color w:val="auto"/>
              </w:rPr>
            </w:pPr>
            <w:r>
              <w:rPr>
                <w:rFonts w:ascii="Arial" w:cs="Arial" w:eastAsia="Arial" w:hAnsi="Arial"/>
                <w:sz w:val="16"/>
                <w:szCs w:val="16"/>
                <w:color w:val="auto"/>
                <w:w w:val="89"/>
              </w:rPr>
              <w:t>$</w:t>
            </w:r>
          </w:p>
        </w:tc>
        <w:tc>
          <w:tcPr>
            <w:tcW w:w="440" w:type="dxa"/>
            <w:vAlign w:val="bottom"/>
          </w:tcPr>
          <w:p>
            <w:pPr>
              <w:jc w:val="right"/>
              <w:spacing w:after="0" w:line="176" w:lineRule="exact"/>
              <w:rPr>
                <w:sz w:val="20"/>
                <w:szCs w:val="20"/>
                <w:color w:val="auto"/>
              </w:rPr>
            </w:pPr>
            <w:r>
              <w:rPr>
                <w:rFonts w:ascii="Arial" w:cs="Arial" w:eastAsia="Arial" w:hAnsi="Arial"/>
                <w:sz w:val="16"/>
                <w:szCs w:val="16"/>
                <w:color w:val="auto"/>
              </w:rPr>
              <w:t>212</w:t>
            </w:r>
          </w:p>
        </w:tc>
        <w:tc>
          <w:tcPr>
            <w:tcW w:w="0" w:type="dxa"/>
            <w:vAlign w:val="bottom"/>
          </w:tcPr>
          <w:p>
            <w:pPr>
              <w:spacing w:after="0"/>
              <w:rPr>
                <w:sz w:val="1"/>
                <w:szCs w:val="1"/>
                <w:color w:val="auto"/>
              </w:rPr>
            </w:pPr>
          </w:p>
        </w:tc>
      </w:tr>
      <w:tr>
        <w:trPr>
          <w:trHeight w:val="195"/>
        </w:trPr>
        <w:tc>
          <w:tcPr>
            <w:tcW w:w="8660" w:type="dxa"/>
            <w:vAlign w:val="bottom"/>
          </w:tcPr>
          <w:p>
            <w:pPr>
              <w:ind w:left="180"/>
              <w:spacing w:after="0"/>
              <w:rPr>
                <w:sz w:val="20"/>
                <w:szCs w:val="20"/>
                <w:color w:val="auto"/>
              </w:rPr>
            </w:pPr>
            <w:r>
              <w:rPr>
                <w:rFonts w:ascii="Arial" w:cs="Arial" w:eastAsia="Arial" w:hAnsi="Arial"/>
                <w:sz w:val="16"/>
                <w:szCs w:val="16"/>
                <w:color w:val="auto"/>
              </w:rPr>
              <w:t>Income tax payments, net</w:t>
            </w:r>
          </w:p>
        </w:tc>
        <w:tc>
          <w:tcPr>
            <w:tcW w:w="86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75</w:t>
            </w:r>
          </w:p>
        </w:tc>
        <w:tc>
          <w:tcPr>
            <w:tcW w:w="960" w:type="dxa"/>
            <w:vAlign w:val="bottom"/>
          </w:tcPr>
          <w:p>
            <w:pPr>
              <w:spacing w:after="0"/>
              <w:rPr>
                <w:sz w:val="16"/>
                <w:szCs w:val="16"/>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332"/>
        </w:trPr>
        <w:tc>
          <w:tcPr>
            <w:tcW w:w="8660" w:type="dxa"/>
            <w:vAlign w:val="bottom"/>
          </w:tcPr>
          <w:p>
            <w:pPr>
              <w:spacing w:after="0"/>
              <w:rPr>
                <w:sz w:val="20"/>
                <w:szCs w:val="20"/>
                <w:color w:val="auto"/>
              </w:rPr>
            </w:pPr>
            <w:r>
              <w:rPr>
                <w:rFonts w:ascii="Arial" w:cs="Arial" w:eastAsia="Arial" w:hAnsi="Arial"/>
                <w:sz w:val="16"/>
                <w:szCs w:val="16"/>
                <w:color w:val="auto"/>
              </w:rPr>
              <w:t>SUPPLEMENTAL DISCLOSURE OF NONCASH ACTIVITIES</w:t>
            </w:r>
          </w:p>
        </w:tc>
        <w:tc>
          <w:tcPr>
            <w:tcW w:w="8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8660" w:type="dxa"/>
            <w:vAlign w:val="bottom"/>
          </w:tcPr>
          <w:p>
            <w:pPr>
              <w:ind w:left="180"/>
              <w:spacing w:after="0" w:line="176" w:lineRule="exact"/>
              <w:rPr>
                <w:sz w:val="20"/>
                <w:szCs w:val="20"/>
                <w:color w:val="auto"/>
              </w:rPr>
            </w:pPr>
            <w:r>
              <w:rPr>
                <w:rFonts w:ascii="Arial" w:cs="Arial" w:eastAsia="Arial" w:hAnsi="Arial"/>
                <w:sz w:val="16"/>
                <w:szCs w:val="16"/>
                <w:color w:val="auto"/>
              </w:rPr>
              <w:t>Acquisition of businesses:</w:t>
            </w:r>
          </w:p>
        </w:tc>
        <w:tc>
          <w:tcPr>
            <w:tcW w:w="8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8660" w:type="dxa"/>
            <w:vAlign w:val="bottom"/>
          </w:tcPr>
          <w:p>
            <w:pPr>
              <w:ind w:left="320"/>
              <w:spacing w:after="0" w:line="176" w:lineRule="exact"/>
              <w:rPr>
                <w:sz w:val="20"/>
                <w:szCs w:val="20"/>
                <w:color w:val="auto"/>
              </w:rPr>
            </w:pPr>
            <w:r>
              <w:rPr>
                <w:rFonts w:ascii="Arial" w:cs="Arial" w:eastAsia="Arial" w:hAnsi="Arial"/>
                <w:sz w:val="16"/>
                <w:szCs w:val="16"/>
                <w:color w:val="auto"/>
              </w:rPr>
              <w:t>Assets acquired</w:t>
            </w:r>
          </w:p>
        </w:tc>
        <w:tc>
          <w:tcPr>
            <w:tcW w:w="860" w:type="dxa"/>
            <w:vAlign w:val="bottom"/>
          </w:tcPr>
          <w:p>
            <w:pPr>
              <w:jc w:val="right"/>
              <w:ind w:right="705"/>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line="176" w:lineRule="exact"/>
              <w:rPr>
                <w:sz w:val="20"/>
                <w:szCs w:val="20"/>
                <w:color w:val="auto"/>
              </w:rPr>
            </w:pPr>
            <w:r>
              <w:rPr>
                <w:rFonts w:ascii="Arial" w:cs="Arial" w:eastAsia="Arial" w:hAnsi="Arial"/>
                <w:sz w:val="16"/>
                <w:szCs w:val="16"/>
                <w:color w:val="auto"/>
              </w:rPr>
              <w:t>2,815</w:t>
            </w:r>
          </w:p>
        </w:tc>
        <w:tc>
          <w:tcPr>
            <w:tcW w:w="960" w:type="dxa"/>
            <w:vAlign w:val="bottom"/>
          </w:tcPr>
          <w:p>
            <w:pPr>
              <w:jc w:val="right"/>
              <w:ind w:right="781"/>
              <w:spacing w:after="0" w:line="176" w:lineRule="exact"/>
              <w:rPr>
                <w:sz w:val="20"/>
                <w:szCs w:val="20"/>
                <w:color w:val="auto"/>
              </w:rPr>
            </w:pPr>
            <w:r>
              <w:rPr>
                <w:rFonts w:ascii="Arial" w:cs="Arial" w:eastAsia="Arial" w:hAnsi="Arial"/>
                <w:sz w:val="16"/>
                <w:szCs w:val="16"/>
                <w:color w:val="auto"/>
                <w:w w:val="89"/>
              </w:rPr>
              <w:t>$</w:t>
            </w:r>
          </w:p>
        </w:tc>
        <w:tc>
          <w:tcPr>
            <w:tcW w:w="440" w:type="dxa"/>
            <w:vAlign w:val="bottom"/>
          </w:tcPr>
          <w:p>
            <w:pPr>
              <w:jc w:val="right"/>
              <w:spacing w:after="0" w:line="176" w:lineRule="exact"/>
              <w:rPr>
                <w:sz w:val="20"/>
                <w:szCs w:val="20"/>
                <w:color w:val="auto"/>
              </w:rPr>
            </w:pPr>
            <w:r>
              <w:rPr>
                <w:rFonts w:ascii="Arial" w:cs="Arial" w:eastAsia="Arial" w:hAnsi="Arial"/>
                <w:sz w:val="16"/>
                <w:szCs w:val="16"/>
                <w:color w:val="auto"/>
              </w:rPr>
              <w:t>303</w:t>
            </w:r>
          </w:p>
        </w:tc>
        <w:tc>
          <w:tcPr>
            <w:tcW w:w="0" w:type="dxa"/>
            <w:vAlign w:val="bottom"/>
          </w:tcPr>
          <w:p>
            <w:pPr>
              <w:spacing w:after="0"/>
              <w:rPr>
                <w:sz w:val="1"/>
                <w:szCs w:val="1"/>
                <w:color w:val="auto"/>
              </w:rPr>
            </w:pPr>
          </w:p>
        </w:tc>
      </w:tr>
      <w:tr>
        <w:trPr>
          <w:trHeight w:val="176"/>
        </w:trPr>
        <w:tc>
          <w:tcPr>
            <w:tcW w:w="8660" w:type="dxa"/>
            <w:vAlign w:val="bottom"/>
          </w:tcPr>
          <w:p>
            <w:pPr>
              <w:ind w:left="320"/>
              <w:spacing w:after="0" w:line="176" w:lineRule="exact"/>
              <w:rPr>
                <w:sz w:val="20"/>
                <w:szCs w:val="20"/>
                <w:color w:val="auto"/>
              </w:rPr>
            </w:pPr>
            <w:r>
              <w:rPr>
                <w:rFonts w:ascii="Arial" w:cs="Arial" w:eastAsia="Arial" w:hAnsi="Arial"/>
                <w:sz w:val="16"/>
                <w:szCs w:val="16"/>
                <w:color w:val="auto"/>
              </w:rPr>
              <w:t>Cash paid, net of cash acquired</w:t>
            </w:r>
          </w:p>
        </w:tc>
        <w:tc>
          <w:tcPr>
            <w:tcW w:w="860" w:type="dxa"/>
            <w:vAlign w:val="bottom"/>
          </w:tcPr>
          <w:p>
            <w:pPr>
              <w:spacing w:after="0"/>
              <w:rPr>
                <w:sz w:val="15"/>
                <w:szCs w:val="15"/>
                <w:color w:val="auto"/>
              </w:rPr>
            </w:pPr>
          </w:p>
        </w:tc>
        <w:tc>
          <w:tcPr>
            <w:tcW w:w="500" w:type="dxa"/>
            <w:vAlign w:val="bottom"/>
          </w:tcPr>
          <w:p>
            <w:pPr>
              <w:jc w:val="right"/>
              <w:spacing w:after="0" w:line="176" w:lineRule="exact"/>
              <w:rPr>
                <w:sz w:val="20"/>
                <w:szCs w:val="20"/>
                <w:color w:val="auto"/>
              </w:rPr>
            </w:pPr>
            <w:r>
              <w:rPr>
                <w:rFonts w:ascii="Arial" w:cs="Arial" w:eastAsia="Arial" w:hAnsi="Arial"/>
                <w:sz w:val="16"/>
                <w:szCs w:val="16"/>
                <w:color w:val="auto"/>
              </w:rPr>
              <w:t>(611)</w:t>
            </w:r>
          </w:p>
        </w:tc>
        <w:tc>
          <w:tcPr>
            <w:tcW w:w="960" w:type="dxa"/>
            <w:vAlign w:val="bottom"/>
          </w:tcPr>
          <w:p>
            <w:pPr>
              <w:spacing w:after="0"/>
              <w:rPr>
                <w:sz w:val="15"/>
                <w:szCs w:val="15"/>
                <w:color w:val="auto"/>
              </w:rPr>
            </w:pPr>
          </w:p>
        </w:tc>
        <w:tc>
          <w:tcPr>
            <w:tcW w:w="440" w:type="dxa"/>
            <w:vAlign w:val="bottom"/>
          </w:tcPr>
          <w:p>
            <w:pPr>
              <w:jc w:val="right"/>
              <w:spacing w:after="0" w:line="176" w:lineRule="exact"/>
              <w:rPr>
                <w:sz w:val="20"/>
                <w:szCs w:val="20"/>
                <w:color w:val="auto"/>
              </w:rPr>
            </w:pPr>
            <w:r>
              <w:rPr>
                <w:rFonts w:ascii="Arial" w:cs="Arial" w:eastAsia="Arial" w:hAnsi="Arial"/>
                <w:sz w:val="16"/>
                <w:szCs w:val="16"/>
                <w:color w:val="auto"/>
              </w:rPr>
              <w:t>(285)</w:t>
            </w:r>
          </w:p>
        </w:tc>
        <w:tc>
          <w:tcPr>
            <w:tcW w:w="0" w:type="dxa"/>
            <w:vAlign w:val="bottom"/>
          </w:tcPr>
          <w:p>
            <w:pPr>
              <w:spacing w:after="0"/>
              <w:rPr>
                <w:sz w:val="1"/>
                <w:szCs w:val="1"/>
                <w:color w:val="auto"/>
              </w:rPr>
            </w:pPr>
          </w:p>
        </w:tc>
      </w:tr>
      <w:tr>
        <w:trPr>
          <w:trHeight w:val="176"/>
        </w:trPr>
        <w:tc>
          <w:tcPr>
            <w:tcW w:w="8660" w:type="dxa"/>
            <w:vAlign w:val="bottom"/>
          </w:tcPr>
          <w:p>
            <w:pPr>
              <w:ind w:left="320"/>
              <w:spacing w:after="0" w:line="176" w:lineRule="exact"/>
              <w:rPr>
                <w:sz w:val="20"/>
                <w:szCs w:val="20"/>
                <w:color w:val="auto"/>
              </w:rPr>
            </w:pPr>
            <w:r>
              <w:rPr>
                <w:rFonts w:ascii="Arial" w:cs="Arial" w:eastAsia="Arial" w:hAnsi="Arial"/>
                <w:sz w:val="16"/>
                <w:szCs w:val="16"/>
                <w:color w:val="auto"/>
              </w:rPr>
              <w:t>Fair value of equity method investments immediately prior to the acquisition</w:t>
            </w:r>
          </w:p>
        </w:tc>
        <w:tc>
          <w:tcPr>
            <w:tcW w:w="860" w:type="dxa"/>
            <w:vAlign w:val="bottom"/>
          </w:tcPr>
          <w:p>
            <w:pPr>
              <w:spacing w:after="0"/>
              <w:rPr>
                <w:sz w:val="15"/>
                <w:szCs w:val="15"/>
                <w:color w:val="auto"/>
              </w:rPr>
            </w:pPr>
          </w:p>
        </w:tc>
        <w:tc>
          <w:tcPr>
            <w:tcW w:w="500" w:type="dxa"/>
            <w:vAlign w:val="bottom"/>
          </w:tcPr>
          <w:p>
            <w:pPr>
              <w:jc w:val="right"/>
              <w:spacing w:after="0" w:line="176" w:lineRule="exact"/>
              <w:rPr>
                <w:sz w:val="20"/>
                <w:szCs w:val="20"/>
                <w:color w:val="auto"/>
              </w:rPr>
            </w:pPr>
            <w:r>
              <w:rPr>
                <w:rFonts w:ascii="Arial" w:cs="Arial" w:eastAsia="Arial" w:hAnsi="Arial"/>
                <w:sz w:val="16"/>
                <w:szCs w:val="16"/>
                <w:color w:val="auto"/>
              </w:rPr>
              <w:t>(882)</w:t>
            </w:r>
          </w:p>
        </w:tc>
        <w:tc>
          <w:tcPr>
            <w:tcW w:w="960" w:type="dxa"/>
            <w:vAlign w:val="bottom"/>
          </w:tcPr>
          <w:p>
            <w:pPr>
              <w:spacing w:after="0"/>
              <w:rPr>
                <w:sz w:val="15"/>
                <w:szCs w:val="15"/>
                <w:color w:val="auto"/>
              </w:rPr>
            </w:pPr>
          </w:p>
        </w:tc>
        <w:tc>
          <w:tcPr>
            <w:tcW w:w="440" w:type="dxa"/>
            <w:vAlign w:val="bottom"/>
          </w:tcPr>
          <w:p>
            <w:pPr>
              <w:jc w:val="right"/>
              <w:spacing w:after="0" w:line="176" w:lineRule="exact"/>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76"/>
        </w:trPr>
        <w:tc>
          <w:tcPr>
            <w:tcW w:w="8660" w:type="dxa"/>
            <w:vAlign w:val="bottom"/>
          </w:tcPr>
          <w:p>
            <w:pPr>
              <w:ind w:left="320"/>
              <w:spacing w:after="0" w:line="176" w:lineRule="exact"/>
              <w:rPr>
                <w:sz w:val="20"/>
                <w:szCs w:val="20"/>
                <w:color w:val="auto"/>
              </w:rPr>
            </w:pPr>
            <w:r>
              <w:rPr>
                <w:rFonts w:ascii="Arial" w:cs="Arial" w:eastAsia="Arial" w:hAnsi="Arial"/>
                <w:sz w:val="16"/>
                <w:szCs w:val="16"/>
                <w:color w:val="auto"/>
              </w:rPr>
              <w:t>Fair value of noncontrolling interests</w:t>
            </w:r>
          </w:p>
        </w:tc>
        <w:tc>
          <w:tcPr>
            <w:tcW w:w="860" w:type="dxa"/>
            <w:vAlign w:val="bottom"/>
          </w:tcPr>
          <w:p>
            <w:pPr>
              <w:spacing w:after="0"/>
              <w:rPr>
                <w:sz w:val="15"/>
                <w:szCs w:val="15"/>
                <w:color w:val="auto"/>
              </w:rPr>
            </w:pPr>
          </w:p>
        </w:tc>
        <w:tc>
          <w:tcPr>
            <w:tcW w:w="500" w:type="dxa"/>
            <w:vAlign w:val="bottom"/>
          </w:tcPr>
          <w:p>
            <w:pPr>
              <w:jc w:val="right"/>
              <w:spacing w:after="0" w:line="176" w:lineRule="exact"/>
              <w:rPr>
                <w:sz w:val="20"/>
                <w:szCs w:val="20"/>
                <w:color w:val="auto"/>
              </w:rPr>
            </w:pPr>
            <w:r>
              <w:rPr>
                <w:rFonts w:ascii="Arial" w:cs="Arial" w:eastAsia="Arial" w:hAnsi="Arial"/>
                <w:sz w:val="16"/>
                <w:szCs w:val="16"/>
                <w:color w:val="auto"/>
              </w:rPr>
              <w:t>(279)</w:t>
            </w:r>
          </w:p>
        </w:tc>
        <w:tc>
          <w:tcPr>
            <w:tcW w:w="960" w:type="dxa"/>
            <w:vAlign w:val="bottom"/>
          </w:tcPr>
          <w:p>
            <w:pPr>
              <w:spacing w:after="0"/>
              <w:rPr>
                <w:sz w:val="15"/>
                <w:szCs w:val="15"/>
                <w:color w:val="auto"/>
              </w:rPr>
            </w:pPr>
          </w:p>
        </w:tc>
        <w:tc>
          <w:tcPr>
            <w:tcW w:w="440" w:type="dxa"/>
            <w:vAlign w:val="bottom"/>
          </w:tcPr>
          <w:p>
            <w:pPr>
              <w:jc w:val="right"/>
              <w:spacing w:after="0" w:line="176" w:lineRule="exact"/>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4"/>
        </w:trPr>
        <w:tc>
          <w:tcPr>
            <w:tcW w:w="8660" w:type="dxa"/>
            <w:vAlign w:val="bottom"/>
          </w:tcPr>
          <w:p>
            <w:pPr>
              <w:ind w:left="320"/>
              <w:spacing w:after="0"/>
              <w:rPr>
                <w:sz w:val="20"/>
                <w:szCs w:val="20"/>
                <w:color w:val="auto"/>
              </w:rPr>
            </w:pPr>
            <w:r>
              <w:rPr>
                <w:rFonts w:ascii="Arial" w:cs="Arial" w:eastAsia="Arial" w:hAnsi="Arial"/>
                <w:sz w:val="16"/>
                <w:szCs w:val="16"/>
                <w:color w:val="auto"/>
              </w:rPr>
              <w:t>Additional consideration accrued</w:t>
            </w:r>
          </w:p>
        </w:tc>
        <w:tc>
          <w:tcPr>
            <w:tcW w:w="86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w:t>
            </w:r>
          </w:p>
        </w:tc>
        <w:tc>
          <w:tcPr>
            <w:tcW w:w="96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w:t>
            </w:r>
          </w:p>
        </w:tc>
        <w:tc>
          <w:tcPr>
            <w:tcW w:w="0" w:type="dxa"/>
            <w:vAlign w:val="bottom"/>
          </w:tcPr>
          <w:p>
            <w:pPr>
              <w:spacing w:after="0"/>
              <w:rPr>
                <w:sz w:val="1"/>
                <w:szCs w:val="1"/>
                <w:color w:val="auto"/>
              </w:rPr>
            </w:pPr>
          </w:p>
        </w:tc>
      </w:tr>
      <w:tr>
        <w:trPr>
          <w:trHeight w:val="183"/>
        </w:trPr>
        <w:tc>
          <w:tcPr>
            <w:tcW w:w="8660" w:type="dxa"/>
            <w:vAlign w:val="bottom"/>
          </w:tcPr>
          <w:p>
            <w:pPr>
              <w:ind w:left="320"/>
              <w:spacing w:after="0" w:line="176" w:lineRule="exact"/>
              <w:rPr>
                <w:sz w:val="20"/>
                <w:szCs w:val="20"/>
                <w:color w:val="auto"/>
              </w:rPr>
            </w:pPr>
            <w:r>
              <w:rPr>
                <w:rFonts w:ascii="Arial" w:cs="Arial" w:eastAsia="Arial" w:hAnsi="Arial"/>
                <w:sz w:val="16"/>
                <w:szCs w:val="16"/>
                <w:color w:val="auto"/>
              </w:rPr>
              <w:t>Liabilities assumed</w:t>
            </w:r>
          </w:p>
        </w:tc>
        <w:tc>
          <w:tcPr>
            <w:tcW w:w="860" w:type="dxa"/>
            <w:vAlign w:val="bottom"/>
            <w:tcBorders>
              <w:bottom w:val="single" w:sz="8" w:color="auto"/>
            </w:tcBorders>
          </w:tcPr>
          <w:p>
            <w:pPr>
              <w:jc w:val="right"/>
              <w:ind w:right="705"/>
              <w:spacing w:after="0"/>
              <w:rPr>
                <w:sz w:val="20"/>
                <w:szCs w:val="20"/>
                <w:color w:val="auto"/>
              </w:rPr>
            </w:pPr>
            <w:r>
              <w:rPr>
                <w:rFonts w:ascii="Arial" w:cs="Arial" w:eastAsia="Arial" w:hAnsi="Arial"/>
                <w:sz w:val="15"/>
                <w:szCs w:val="15"/>
                <w:color w:val="auto"/>
                <w:w w:val="71"/>
              </w:rPr>
              <w:t>$</w:t>
            </w:r>
          </w:p>
        </w:tc>
        <w:tc>
          <w:tcPr>
            <w:tcW w:w="50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6"/>
                <w:szCs w:val="16"/>
                <w:color w:val="auto"/>
              </w:rPr>
              <w:t>1,011</w:t>
            </w:r>
          </w:p>
        </w:tc>
        <w:tc>
          <w:tcPr>
            <w:tcW w:w="960" w:type="dxa"/>
            <w:vAlign w:val="bottom"/>
            <w:tcBorders>
              <w:bottom w:val="single" w:sz="8" w:color="auto"/>
            </w:tcBorders>
          </w:tcPr>
          <w:p>
            <w:pPr>
              <w:jc w:val="right"/>
              <w:ind w:right="781"/>
              <w:spacing w:after="0" w:line="176" w:lineRule="exact"/>
              <w:rPr>
                <w:sz w:val="20"/>
                <w:szCs w:val="20"/>
                <w:color w:val="auto"/>
              </w:rPr>
            </w:pPr>
            <w:r>
              <w:rPr>
                <w:rFonts w:ascii="Arial" w:cs="Arial" w:eastAsia="Arial" w:hAnsi="Arial"/>
                <w:sz w:val="16"/>
                <w:szCs w:val="16"/>
                <w:color w:val="auto"/>
                <w:w w:val="89"/>
              </w:rPr>
              <w:t>$</w:t>
            </w:r>
          </w:p>
        </w:tc>
        <w:tc>
          <w:tcPr>
            <w:tcW w:w="44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6"/>
                <w:szCs w:val="16"/>
                <w:color w:val="auto"/>
              </w:rPr>
              <w:t>11</w:t>
            </w:r>
          </w:p>
        </w:tc>
        <w:tc>
          <w:tcPr>
            <w:tcW w:w="0" w:type="dxa"/>
            <w:vAlign w:val="bottom"/>
          </w:tcPr>
          <w:p>
            <w:pPr>
              <w:spacing w:after="0"/>
              <w:rPr>
                <w:sz w:val="1"/>
                <w:szCs w:val="1"/>
                <w:color w:val="auto"/>
              </w:rPr>
            </w:pPr>
          </w:p>
        </w:tc>
      </w:tr>
      <w:tr>
        <w:trPr>
          <w:trHeight w:val="340"/>
        </w:trPr>
        <w:tc>
          <w:tcPr>
            <w:tcW w:w="8660" w:type="dxa"/>
            <w:vAlign w:val="bottom"/>
          </w:tcPr>
          <w:p>
            <w:pPr>
              <w:ind w:left="180"/>
              <w:spacing w:after="0"/>
              <w:rPr>
                <w:sz w:val="20"/>
                <w:szCs w:val="20"/>
                <w:color w:val="auto"/>
              </w:rPr>
            </w:pPr>
            <w:r>
              <w:rPr>
                <w:rFonts w:ascii="Arial" w:cs="Arial" w:eastAsia="Arial" w:hAnsi="Arial"/>
                <w:sz w:val="16"/>
                <w:szCs w:val="16"/>
                <w:color w:val="auto"/>
              </w:rPr>
              <w:t>Increase in capital lease obligations for investments in property, plant and equipment</w:t>
            </w:r>
          </w:p>
        </w:tc>
        <w:tc>
          <w:tcPr>
            <w:tcW w:w="860" w:type="dxa"/>
            <w:vAlign w:val="bottom"/>
          </w:tcPr>
          <w:p>
            <w:pPr>
              <w:jc w:val="right"/>
              <w:ind w:right="705"/>
              <w:spacing w:after="0"/>
              <w:rPr>
                <w:sz w:val="20"/>
                <w:szCs w:val="20"/>
                <w:color w:val="auto"/>
              </w:rPr>
            </w:pPr>
            <w:r>
              <w:rPr>
                <w:rFonts w:ascii="Arial" w:cs="Arial" w:eastAsia="Arial" w:hAnsi="Arial"/>
                <w:sz w:val="15"/>
                <w:szCs w:val="15"/>
                <w:color w:val="auto"/>
                <w:w w:val="71"/>
              </w:rPr>
              <w:t>$</w:t>
            </w:r>
          </w:p>
        </w:tc>
        <w:tc>
          <w:tcPr>
            <w:tcW w:w="1460" w:type="dxa"/>
            <w:vAlign w:val="bottom"/>
            <w:gridSpan w:val="2"/>
          </w:tcPr>
          <w:p>
            <w:pPr>
              <w:jc w:val="right"/>
              <w:ind w:right="781"/>
              <w:spacing w:after="0"/>
              <w:rPr>
                <w:sz w:val="20"/>
                <w:szCs w:val="20"/>
                <w:color w:val="auto"/>
              </w:rPr>
            </w:pPr>
            <w:r>
              <w:rPr>
                <w:rFonts w:ascii="Arial" w:cs="Arial" w:eastAsia="Arial" w:hAnsi="Arial"/>
                <w:sz w:val="16"/>
                <w:szCs w:val="16"/>
                <w:color w:val="auto"/>
              </w:rPr>
              <w:t>― $</w:t>
            </w:r>
          </w:p>
        </w:tc>
        <w:tc>
          <w:tcPr>
            <w:tcW w:w="440" w:type="dxa"/>
            <w:vAlign w:val="bottom"/>
          </w:tcPr>
          <w:p>
            <w:pPr>
              <w:jc w:val="right"/>
              <w:spacing w:after="0"/>
              <w:rPr>
                <w:sz w:val="20"/>
                <w:szCs w:val="20"/>
                <w:color w:val="auto"/>
              </w:rPr>
            </w:pPr>
            <w:r>
              <w:rPr>
                <w:rFonts w:ascii="Arial" w:cs="Arial" w:eastAsia="Arial" w:hAnsi="Arial"/>
                <w:sz w:val="16"/>
                <w:szCs w:val="16"/>
                <w:color w:val="auto"/>
              </w:rPr>
              <w:t>183</w:t>
            </w:r>
          </w:p>
        </w:tc>
        <w:tc>
          <w:tcPr>
            <w:tcW w:w="0" w:type="dxa"/>
            <w:vAlign w:val="bottom"/>
          </w:tcPr>
          <w:p>
            <w:pPr>
              <w:spacing w:after="0"/>
              <w:rPr>
                <w:sz w:val="1"/>
                <w:szCs w:val="1"/>
                <w:color w:val="auto"/>
              </w:rPr>
            </w:pPr>
          </w:p>
        </w:tc>
      </w:tr>
      <w:tr>
        <w:trPr>
          <w:trHeight w:val="176"/>
        </w:trPr>
        <w:tc>
          <w:tcPr>
            <w:tcW w:w="8660" w:type="dxa"/>
            <w:vAlign w:val="bottom"/>
          </w:tcPr>
          <w:p>
            <w:pPr>
              <w:ind w:left="180"/>
              <w:spacing w:after="0" w:line="176" w:lineRule="exact"/>
              <w:rPr>
                <w:sz w:val="20"/>
                <w:szCs w:val="20"/>
                <w:color w:val="auto"/>
              </w:rPr>
            </w:pPr>
            <w:r>
              <w:rPr>
                <w:rFonts w:ascii="Arial" w:cs="Arial" w:eastAsia="Arial" w:hAnsi="Arial"/>
                <w:sz w:val="16"/>
                <w:szCs w:val="16"/>
                <w:color w:val="auto"/>
              </w:rPr>
              <w:t>Accrued capital expenditures</w:t>
            </w:r>
          </w:p>
        </w:tc>
        <w:tc>
          <w:tcPr>
            <w:tcW w:w="860" w:type="dxa"/>
            <w:vAlign w:val="bottom"/>
          </w:tcPr>
          <w:p>
            <w:pPr>
              <w:spacing w:after="0"/>
              <w:rPr>
                <w:sz w:val="15"/>
                <w:szCs w:val="15"/>
                <w:color w:val="auto"/>
              </w:rPr>
            </w:pPr>
          </w:p>
        </w:tc>
        <w:tc>
          <w:tcPr>
            <w:tcW w:w="500" w:type="dxa"/>
            <w:vAlign w:val="bottom"/>
          </w:tcPr>
          <w:p>
            <w:pPr>
              <w:jc w:val="right"/>
              <w:spacing w:after="0" w:line="176" w:lineRule="exact"/>
              <w:rPr>
                <w:sz w:val="20"/>
                <w:szCs w:val="20"/>
                <w:color w:val="auto"/>
              </w:rPr>
            </w:pPr>
            <w:r>
              <w:rPr>
                <w:rFonts w:ascii="Arial" w:cs="Arial" w:eastAsia="Arial" w:hAnsi="Arial"/>
                <w:sz w:val="16"/>
                <w:szCs w:val="16"/>
                <w:color w:val="auto"/>
              </w:rPr>
              <w:t>273</w:t>
            </w:r>
          </w:p>
        </w:tc>
        <w:tc>
          <w:tcPr>
            <w:tcW w:w="960" w:type="dxa"/>
            <w:vAlign w:val="bottom"/>
          </w:tcPr>
          <w:p>
            <w:pPr>
              <w:spacing w:after="0"/>
              <w:rPr>
                <w:sz w:val="15"/>
                <w:szCs w:val="15"/>
                <w:color w:val="auto"/>
              </w:rPr>
            </w:pPr>
          </w:p>
        </w:tc>
        <w:tc>
          <w:tcPr>
            <w:tcW w:w="440" w:type="dxa"/>
            <w:vAlign w:val="bottom"/>
          </w:tcPr>
          <w:p>
            <w:pPr>
              <w:jc w:val="right"/>
              <w:spacing w:after="0" w:line="176" w:lineRule="exact"/>
              <w:rPr>
                <w:sz w:val="20"/>
                <w:szCs w:val="20"/>
                <w:color w:val="auto"/>
              </w:rPr>
            </w:pPr>
            <w:r>
              <w:rPr>
                <w:rFonts w:ascii="Arial" w:cs="Arial" w:eastAsia="Arial" w:hAnsi="Arial"/>
                <w:sz w:val="16"/>
                <w:szCs w:val="16"/>
                <w:color w:val="auto"/>
              </w:rPr>
              <w:t>290</w:t>
            </w:r>
          </w:p>
        </w:tc>
        <w:tc>
          <w:tcPr>
            <w:tcW w:w="0" w:type="dxa"/>
            <w:vAlign w:val="bottom"/>
          </w:tcPr>
          <w:p>
            <w:pPr>
              <w:spacing w:after="0"/>
              <w:rPr>
                <w:sz w:val="1"/>
                <w:szCs w:val="1"/>
                <w:color w:val="auto"/>
              </w:rPr>
            </w:pPr>
          </w:p>
        </w:tc>
      </w:tr>
      <w:tr>
        <w:trPr>
          <w:trHeight w:val="195"/>
        </w:trPr>
        <w:tc>
          <w:tcPr>
            <w:tcW w:w="8660" w:type="dxa"/>
            <w:vAlign w:val="bottom"/>
          </w:tcPr>
          <w:p>
            <w:pPr>
              <w:ind w:left="180"/>
              <w:spacing w:after="0"/>
              <w:rPr>
                <w:sz w:val="20"/>
                <w:szCs w:val="20"/>
                <w:color w:val="auto"/>
              </w:rPr>
            </w:pPr>
            <w:r>
              <w:rPr>
                <w:rFonts w:ascii="Arial" w:cs="Arial" w:eastAsia="Arial" w:hAnsi="Arial"/>
                <w:sz w:val="16"/>
                <w:szCs w:val="16"/>
                <w:color w:val="auto"/>
              </w:rPr>
              <w:t>Dividends declared but not paid</w:t>
            </w:r>
          </w:p>
        </w:tc>
        <w:tc>
          <w:tcPr>
            <w:tcW w:w="86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119</w:t>
            </w:r>
          </w:p>
        </w:tc>
        <w:tc>
          <w:tcPr>
            <w:tcW w:w="960" w:type="dxa"/>
            <w:vAlign w:val="bottom"/>
          </w:tcPr>
          <w:p>
            <w:pPr>
              <w:spacing w:after="0"/>
              <w:rPr>
                <w:sz w:val="16"/>
                <w:szCs w:val="16"/>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99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wp:posOffset>
            </wp:positionV>
            <wp:extent cx="72466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rPr>
          <w:sz w:val="20"/>
          <w:szCs w:val="20"/>
          <w:color w:val="auto"/>
        </w:rPr>
      </w:pPr>
      <w:r>
        <w:rPr>
          <w:rFonts w:ascii="Arial" w:cs="Arial" w:eastAsia="Arial" w:hAnsi="Arial"/>
          <w:sz w:val="14"/>
          <w:szCs w:val="14"/>
          <w:i w:val="1"/>
          <w:iCs w:val="1"/>
          <w:color w:val="auto"/>
        </w:rPr>
        <w:t>See Notes to Condensed Consolidated Financial Statements.</w:t>
      </w:r>
    </w:p>
    <w:p>
      <w:pPr>
        <w:sectPr>
          <w:pgSz w:w="11900" w:h="16838" w:orient="portrait"/>
          <w:cols w:equalWidth="0" w:num="1">
            <w:col w:w="11420"/>
          </w:cols>
          <w:pgMar w:left="240" w:top="513" w:right="239" w:bottom="1440" w:gutter="0" w:footer="0" w:header="0"/>
        </w:sectPr>
      </w:pPr>
    </w:p>
    <w:bookmarkStart w:id="11" w:name="page12"/>
    <w:bookmarkEnd w:id="11"/>
    <w:p>
      <w:pPr>
        <w:spacing w:after="0"/>
        <w:rPr>
          <w:sz w:val="20"/>
          <w:szCs w:val="20"/>
          <w:color w:val="auto"/>
        </w:rPr>
      </w:pPr>
      <w:r>
        <w:rPr>
          <w:rFonts w:ascii="Arial" w:cs="Arial" w:eastAsia="Arial" w:hAnsi="Arial"/>
          <w:sz w:val="16"/>
          <w:szCs w:val="16"/>
          <w:b w:val="1"/>
          <w:bCs w:val="1"/>
          <w:color w:val="auto"/>
        </w:rPr>
        <w:t>SAN DIEGO GAS &amp; ELECTRIC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-104775</wp:posOffset>
            </wp:positionV>
            <wp:extent cx="7246620" cy="3346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334645"/>
                    </a:xfrm>
                    <a:prstGeom prst="rect">
                      <a:avLst/>
                    </a:prstGeom>
                    <a:noFill/>
                  </pic:spPr>
                </pic:pic>
              </a:graphicData>
            </a:graphic>
          </wp:anchor>
        </w:drawing>
      </w:r>
    </w:p>
    <w:p>
      <w:pPr>
        <w:spacing w:after="0"/>
        <w:rPr>
          <w:sz w:val="20"/>
          <w:szCs w:val="20"/>
          <w:color w:val="auto"/>
        </w:rPr>
      </w:pPr>
      <w:r>
        <w:rPr>
          <w:rFonts w:ascii="Arial" w:cs="Arial" w:eastAsia="Arial" w:hAnsi="Arial"/>
          <w:sz w:val="16"/>
          <w:szCs w:val="16"/>
          <w:b w:val="1"/>
          <w:bCs w:val="1"/>
          <w:color w:val="auto"/>
        </w:rPr>
        <w:t>CONDENSED CONSOLIDATED STATEMENTS OF OPERATIONS</w:t>
      </w:r>
    </w:p>
    <w:p>
      <w:pPr>
        <w:spacing w:after="0" w:line="8"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(Dollars in millions)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45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4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color w:val="auto"/>
              </w:rPr>
              <w:t>Three months ended June 30,</w:t>
            </w:r>
          </w:p>
        </w:tc>
        <w:tc>
          <w:tcPr>
            <w:tcW w:w="4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2400" w:type="dxa"/>
            <w:vAlign w:val="bottom"/>
            <w:tcBorders>
              <w:bottom w:val="single" w:sz="8" w:color="auto"/>
            </w:tcBorders>
            <w:gridSpan w:val="3"/>
          </w:tcPr>
          <w:p>
            <w:pPr>
              <w:jc w:val="right"/>
              <w:ind w:right="479"/>
              <w:spacing w:after="0"/>
              <w:rPr>
                <w:sz w:val="20"/>
                <w:szCs w:val="20"/>
                <w:color w:val="auto"/>
              </w:rPr>
            </w:pPr>
            <w:r>
              <w:rPr>
                <w:rFonts w:ascii="Arial" w:cs="Arial" w:eastAsia="Arial" w:hAnsi="Arial"/>
                <w:sz w:val="14"/>
                <w:szCs w:val="14"/>
                <w:color w:val="auto"/>
              </w:rPr>
              <w:t>Six months ended June 30,</w:t>
            </w:r>
          </w:p>
        </w:tc>
        <w:tc>
          <w:tcPr>
            <w:tcW w:w="0" w:type="dxa"/>
            <w:vAlign w:val="bottom"/>
          </w:tcPr>
          <w:p>
            <w:pPr>
              <w:spacing w:after="0"/>
              <w:rPr>
                <w:sz w:val="1"/>
                <w:szCs w:val="1"/>
                <w:color w:val="auto"/>
              </w:rPr>
            </w:pPr>
          </w:p>
        </w:tc>
      </w:tr>
      <w:tr>
        <w:trPr>
          <w:trHeight w:val="183"/>
        </w:trPr>
        <w:tc>
          <w:tcPr>
            <w:tcW w:w="4500" w:type="dxa"/>
            <w:vAlign w:val="bottom"/>
            <w:tcBorders>
              <w:bottom w:val="single" w:sz="8" w:color="auto"/>
            </w:tcBorders>
          </w:tcPr>
          <w:p>
            <w:pPr>
              <w:spacing w:after="0"/>
              <w:rPr>
                <w:sz w:val="15"/>
                <w:szCs w:val="15"/>
                <w:color w:val="auto"/>
              </w:rPr>
            </w:pPr>
          </w:p>
        </w:tc>
        <w:tc>
          <w:tcPr>
            <w:tcW w:w="2200" w:type="dxa"/>
            <w:vAlign w:val="bottom"/>
            <w:tcBorders>
              <w:bottom w:val="single" w:sz="8" w:color="auto"/>
            </w:tcBorders>
            <w:gridSpan w:val="2"/>
          </w:tcPr>
          <w:p>
            <w:pPr>
              <w:jc w:val="right"/>
              <w:ind w:right="46"/>
              <w:spacing w:after="0"/>
              <w:rPr>
                <w:sz w:val="20"/>
                <w:szCs w:val="20"/>
                <w:color w:val="auto"/>
              </w:rPr>
            </w:pPr>
            <w:r>
              <w:rPr>
                <w:rFonts w:ascii="Arial" w:cs="Arial" w:eastAsia="Arial" w:hAnsi="Arial"/>
                <w:sz w:val="14"/>
                <w:szCs w:val="14"/>
                <w:color w:val="auto"/>
              </w:rPr>
              <w:t>2011</w:t>
            </w:r>
          </w:p>
        </w:tc>
        <w:tc>
          <w:tcPr>
            <w:tcW w:w="44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105"/>
              <w:spacing w:after="0"/>
              <w:rPr>
                <w:sz w:val="20"/>
                <w:szCs w:val="20"/>
                <w:color w:val="auto"/>
              </w:rPr>
            </w:pPr>
            <w:r>
              <w:rPr>
                <w:rFonts w:ascii="Arial" w:cs="Arial" w:eastAsia="Arial" w:hAnsi="Arial"/>
                <w:sz w:val="14"/>
                <w:szCs w:val="14"/>
                <w:color w:val="auto"/>
              </w:rPr>
              <w:t>2010</w:t>
            </w:r>
          </w:p>
        </w:tc>
        <w:tc>
          <w:tcPr>
            <w:tcW w:w="40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500"/>
              <w:spacing w:after="0"/>
              <w:rPr>
                <w:sz w:val="20"/>
                <w:szCs w:val="20"/>
                <w:color w:val="auto"/>
              </w:rPr>
            </w:pPr>
            <w:r>
              <w:rPr>
                <w:rFonts w:ascii="Arial" w:cs="Arial" w:eastAsia="Arial" w:hAnsi="Arial"/>
                <w:sz w:val="14"/>
                <w:szCs w:val="14"/>
                <w:color w:val="auto"/>
              </w:rPr>
              <w:t>2011</w:t>
            </w:r>
          </w:p>
        </w:tc>
        <w:tc>
          <w:tcPr>
            <w:tcW w:w="32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499"/>
              <w:spacing w:after="0"/>
              <w:rPr>
                <w:sz w:val="20"/>
                <w:szCs w:val="20"/>
                <w:color w:val="auto"/>
              </w:rPr>
            </w:pPr>
            <w:r>
              <w:rPr>
                <w:rFonts w:ascii="Arial" w:cs="Arial" w:eastAsia="Arial" w:hAnsi="Arial"/>
                <w:sz w:val="14"/>
                <w:szCs w:val="14"/>
                <w:color w:val="auto"/>
              </w:rPr>
              <w:t>2010</w:t>
            </w:r>
          </w:p>
        </w:tc>
        <w:tc>
          <w:tcPr>
            <w:tcW w:w="0" w:type="dxa"/>
            <w:vAlign w:val="bottom"/>
          </w:tcPr>
          <w:p>
            <w:pPr>
              <w:spacing w:after="0"/>
              <w:rPr>
                <w:sz w:val="1"/>
                <w:szCs w:val="1"/>
                <w:color w:val="auto"/>
              </w:rPr>
            </w:pPr>
          </w:p>
        </w:tc>
      </w:tr>
      <w:tr>
        <w:trPr>
          <w:trHeight w:val="191"/>
        </w:trPr>
        <w:tc>
          <w:tcPr>
            <w:tcW w:w="4500" w:type="dxa"/>
            <w:vAlign w:val="bottom"/>
            <w:vMerge w:val="restart"/>
          </w:tcPr>
          <w:p>
            <w:pPr>
              <w:spacing w:after="0"/>
              <w:rPr>
                <w:sz w:val="20"/>
                <w:szCs w:val="20"/>
                <w:color w:val="auto"/>
              </w:rPr>
            </w:pPr>
            <w:r>
              <w:rPr>
                <w:rFonts w:ascii="Arial" w:cs="Arial" w:eastAsia="Arial" w:hAnsi="Arial"/>
                <w:sz w:val="16"/>
                <w:szCs w:val="16"/>
                <w:color w:val="auto"/>
              </w:rPr>
              <w:t>Operating revenues</w:t>
            </w:r>
          </w:p>
        </w:tc>
        <w:tc>
          <w:tcPr>
            <w:tcW w:w="12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860" w:type="dxa"/>
            <w:vAlign w:val="bottom"/>
            <w:gridSpan w:val="2"/>
          </w:tcPr>
          <w:p>
            <w:pPr>
              <w:jc w:val="right"/>
              <w:ind w:right="4"/>
              <w:spacing w:after="0"/>
              <w:rPr>
                <w:sz w:val="20"/>
                <w:szCs w:val="20"/>
                <w:color w:val="auto"/>
              </w:rPr>
            </w:pPr>
            <w:r>
              <w:rPr>
                <w:rFonts w:ascii="Arial" w:cs="Arial" w:eastAsia="Arial" w:hAnsi="Arial"/>
                <w:sz w:val="14"/>
                <w:szCs w:val="14"/>
                <w:color w:val="auto"/>
              </w:rPr>
              <w:t>(unaudited)</w:t>
            </w:r>
          </w:p>
        </w:tc>
        <w:tc>
          <w:tcPr>
            <w:tcW w:w="9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4500" w:type="dxa"/>
            <w:vAlign w:val="bottom"/>
            <w:vMerge w:val="continue"/>
          </w:tcPr>
          <w:p>
            <w:pPr>
              <w:spacing w:after="0"/>
              <w:rPr>
                <w:sz w:val="12"/>
                <w:szCs w:val="12"/>
                <w:color w:val="auto"/>
              </w:rPr>
            </w:pPr>
          </w:p>
        </w:tc>
        <w:tc>
          <w:tcPr>
            <w:tcW w:w="12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4500" w:type="dxa"/>
            <w:vAlign w:val="bottom"/>
          </w:tcPr>
          <w:p>
            <w:pPr>
              <w:ind w:left="180"/>
              <w:spacing w:after="0" w:line="176" w:lineRule="exact"/>
              <w:rPr>
                <w:sz w:val="20"/>
                <w:szCs w:val="20"/>
                <w:color w:val="auto"/>
              </w:rPr>
            </w:pPr>
            <w:r>
              <w:rPr>
                <w:rFonts w:ascii="Arial" w:cs="Arial" w:eastAsia="Arial" w:hAnsi="Arial"/>
                <w:sz w:val="16"/>
                <w:szCs w:val="16"/>
                <w:color w:val="auto"/>
              </w:rPr>
              <w:t>Electric</w:t>
            </w:r>
          </w:p>
        </w:tc>
        <w:tc>
          <w:tcPr>
            <w:tcW w:w="2200" w:type="dxa"/>
            <w:vAlign w:val="bottom"/>
            <w:gridSpan w:val="2"/>
          </w:tcPr>
          <w:p>
            <w:pPr>
              <w:jc w:val="right"/>
              <w:ind w:right="806"/>
              <w:spacing w:after="0" w:line="176" w:lineRule="exact"/>
              <w:rPr>
                <w:sz w:val="20"/>
                <w:szCs w:val="20"/>
                <w:color w:val="auto"/>
              </w:rPr>
            </w:pPr>
            <w:r>
              <w:rPr>
                <w:rFonts w:ascii="Arial" w:cs="Arial" w:eastAsia="Arial" w:hAnsi="Arial"/>
                <w:sz w:val="16"/>
                <w:szCs w:val="16"/>
                <w:color w:val="auto"/>
              </w:rPr>
              <w:t>$</w:t>
            </w:r>
          </w:p>
        </w:tc>
        <w:tc>
          <w:tcPr>
            <w:tcW w:w="440" w:type="dxa"/>
            <w:vAlign w:val="bottom"/>
          </w:tcPr>
          <w:p>
            <w:pPr>
              <w:jc w:val="right"/>
              <w:spacing w:after="0" w:line="176" w:lineRule="exact"/>
              <w:rPr>
                <w:sz w:val="20"/>
                <w:szCs w:val="20"/>
                <w:color w:val="auto"/>
              </w:rPr>
            </w:pPr>
            <w:r>
              <w:rPr>
                <w:rFonts w:ascii="Arial" w:cs="Arial" w:eastAsia="Arial" w:hAnsi="Arial"/>
                <w:sz w:val="16"/>
                <w:szCs w:val="16"/>
                <w:color w:val="auto"/>
              </w:rPr>
              <w:t>583</w:t>
            </w:r>
          </w:p>
        </w:tc>
        <w:tc>
          <w:tcPr>
            <w:tcW w:w="1020" w:type="dxa"/>
            <w:vAlign w:val="bottom"/>
          </w:tcPr>
          <w:p>
            <w:pPr>
              <w:jc w:val="right"/>
              <w:ind w:right="865"/>
              <w:spacing w:after="0"/>
              <w:rPr>
                <w:sz w:val="20"/>
                <w:szCs w:val="20"/>
                <w:color w:val="auto"/>
              </w:rPr>
            </w:pPr>
            <w:r>
              <w:rPr>
                <w:rFonts w:ascii="Arial" w:cs="Arial" w:eastAsia="Arial" w:hAnsi="Arial"/>
                <w:sz w:val="15"/>
                <w:szCs w:val="15"/>
                <w:color w:val="auto"/>
                <w:w w:val="71"/>
              </w:rPr>
              <w:t>$</w:t>
            </w:r>
          </w:p>
        </w:tc>
        <w:tc>
          <w:tcPr>
            <w:tcW w:w="400" w:type="dxa"/>
            <w:vAlign w:val="bottom"/>
          </w:tcPr>
          <w:p>
            <w:pPr>
              <w:jc w:val="right"/>
              <w:spacing w:after="0" w:line="176" w:lineRule="exact"/>
              <w:rPr>
                <w:sz w:val="20"/>
                <w:szCs w:val="20"/>
                <w:color w:val="auto"/>
              </w:rPr>
            </w:pPr>
            <w:r>
              <w:rPr>
                <w:rFonts w:ascii="Arial" w:cs="Arial" w:eastAsia="Arial" w:hAnsi="Arial"/>
                <w:sz w:val="16"/>
                <w:szCs w:val="16"/>
                <w:color w:val="auto"/>
              </w:rPr>
              <w:t>589</w:t>
            </w:r>
          </w:p>
        </w:tc>
        <w:tc>
          <w:tcPr>
            <w:tcW w:w="460" w:type="dxa"/>
            <w:vAlign w:val="bottom"/>
          </w:tcPr>
          <w:p>
            <w:pPr>
              <w:jc w:val="right"/>
              <w:ind w:right="304"/>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line="176" w:lineRule="exact"/>
              <w:rPr>
                <w:sz w:val="20"/>
                <w:szCs w:val="20"/>
                <w:color w:val="auto"/>
              </w:rPr>
            </w:pPr>
            <w:r>
              <w:rPr>
                <w:rFonts w:ascii="Arial" w:cs="Arial" w:eastAsia="Arial" w:hAnsi="Arial"/>
                <w:sz w:val="16"/>
                <w:szCs w:val="16"/>
                <w:color w:val="auto"/>
              </w:rPr>
              <w:t>1,248</w:t>
            </w:r>
          </w:p>
        </w:tc>
        <w:tc>
          <w:tcPr>
            <w:tcW w:w="320" w:type="dxa"/>
            <w:vAlign w:val="bottom"/>
          </w:tcPr>
          <w:p>
            <w:pPr>
              <w:jc w:val="right"/>
              <w:ind w:right="164"/>
              <w:spacing w:after="0"/>
              <w:rPr>
                <w:sz w:val="20"/>
                <w:szCs w:val="20"/>
                <w:color w:val="auto"/>
              </w:rPr>
            </w:pPr>
            <w:r>
              <w:rPr>
                <w:rFonts w:ascii="Arial" w:cs="Arial" w:eastAsia="Arial" w:hAnsi="Arial"/>
                <w:sz w:val="15"/>
                <w:szCs w:val="15"/>
                <w:color w:val="auto"/>
                <w:w w:val="71"/>
              </w:rPr>
              <w:t>$</w:t>
            </w:r>
          </w:p>
        </w:tc>
        <w:tc>
          <w:tcPr>
            <w:tcW w:w="1120" w:type="dxa"/>
            <w:vAlign w:val="bottom"/>
          </w:tcPr>
          <w:p>
            <w:pPr>
              <w:jc w:val="right"/>
              <w:spacing w:after="0" w:line="176" w:lineRule="exact"/>
              <w:rPr>
                <w:sz w:val="20"/>
                <w:szCs w:val="20"/>
                <w:color w:val="auto"/>
              </w:rPr>
            </w:pPr>
            <w:r>
              <w:rPr>
                <w:rFonts w:ascii="Arial" w:cs="Arial" w:eastAsia="Arial" w:hAnsi="Arial"/>
                <w:sz w:val="16"/>
                <w:szCs w:val="16"/>
                <w:color w:val="auto"/>
              </w:rPr>
              <w:t>1,152</w:t>
            </w:r>
          </w:p>
        </w:tc>
        <w:tc>
          <w:tcPr>
            <w:tcW w:w="0" w:type="dxa"/>
            <w:vAlign w:val="bottom"/>
          </w:tcPr>
          <w:p>
            <w:pPr>
              <w:spacing w:after="0"/>
              <w:rPr>
                <w:sz w:val="1"/>
                <w:szCs w:val="1"/>
                <w:color w:val="auto"/>
              </w:rPr>
            </w:pPr>
          </w:p>
        </w:tc>
      </w:tr>
      <w:tr>
        <w:trPr>
          <w:trHeight w:val="194"/>
        </w:trPr>
        <w:tc>
          <w:tcPr>
            <w:tcW w:w="4500" w:type="dxa"/>
            <w:vAlign w:val="bottom"/>
          </w:tcPr>
          <w:p>
            <w:pPr>
              <w:ind w:left="180"/>
              <w:spacing w:after="0"/>
              <w:rPr>
                <w:sz w:val="20"/>
                <w:szCs w:val="20"/>
                <w:color w:val="auto"/>
              </w:rPr>
            </w:pPr>
            <w:r>
              <w:rPr>
                <w:rFonts w:ascii="Arial" w:cs="Arial" w:eastAsia="Arial" w:hAnsi="Arial"/>
                <w:sz w:val="16"/>
                <w:szCs w:val="16"/>
                <w:color w:val="auto"/>
              </w:rPr>
              <w:t>Natural gas</w:t>
            </w:r>
          </w:p>
        </w:tc>
        <w:tc>
          <w:tcPr>
            <w:tcW w:w="1240" w:type="dxa"/>
            <w:vAlign w:val="bottom"/>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114</w:t>
            </w:r>
          </w:p>
        </w:tc>
        <w:tc>
          <w:tcPr>
            <w:tcW w:w="102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103</w:t>
            </w:r>
          </w:p>
        </w:tc>
        <w:tc>
          <w:tcPr>
            <w:tcW w:w="4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289</w:t>
            </w:r>
          </w:p>
        </w:tc>
        <w:tc>
          <w:tcPr>
            <w:tcW w:w="3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282</w:t>
            </w:r>
          </w:p>
        </w:tc>
        <w:tc>
          <w:tcPr>
            <w:tcW w:w="0" w:type="dxa"/>
            <w:vAlign w:val="bottom"/>
          </w:tcPr>
          <w:p>
            <w:pPr>
              <w:spacing w:after="0"/>
              <w:rPr>
                <w:sz w:val="1"/>
                <w:szCs w:val="1"/>
                <w:color w:val="auto"/>
              </w:rPr>
            </w:pPr>
          </w:p>
        </w:tc>
      </w:tr>
      <w:tr>
        <w:trPr>
          <w:trHeight w:val="183"/>
        </w:trPr>
        <w:tc>
          <w:tcPr>
            <w:tcW w:w="4500" w:type="dxa"/>
            <w:vAlign w:val="bottom"/>
          </w:tcPr>
          <w:p>
            <w:pPr>
              <w:ind w:left="360"/>
              <w:spacing w:after="0" w:line="176" w:lineRule="exact"/>
              <w:rPr>
                <w:sz w:val="20"/>
                <w:szCs w:val="20"/>
                <w:color w:val="auto"/>
              </w:rPr>
            </w:pPr>
            <w:r>
              <w:rPr>
                <w:rFonts w:ascii="Arial" w:cs="Arial" w:eastAsia="Arial" w:hAnsi="Arial"/>
                <w:sz w:val="16"/>
                <w:szCs w:val="16"/>
                <w:color w:val="auto"/>
              </w:rPr>
              <w:t>Total operating revenues</w:t>
            </w:r>
          </w:p>
        </w:tc>
        <w:tc>
          <w:tcPr>
            <w:tcW w:w="1240" w:type="dxa"/>
            <w:vAlign w:val="bottom"/>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6"/>
                <w:szCs w:val="16"/>
                <w:color w:val="auto"/>
              </w:rPr>
              <w:t>697</w:t>
            </w:r>
          </w:p>
        </w:tc>
        <w:tc>
          <w:tcPr>
            <w:tcW w:w="102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6"/>
                <w:szCs w:val="16"/>
                <w:color w:val="auto"/>
              </w:rPr>
              <w:t>692</w:t>
            </w:r>
          </w:p>
        </w:tc>
        <w:tc>
          <w:tcPr>
            <w:tcW w:w="46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6"/>
                <w:szCs w:val="16"/>
                <w:color w:val="auto"/>
              </w:rPr>
              <w:t>1,537</w:t>
            </w:r>
          </w:p>
        </w:tc>
        <w:tc>
          <w:tcPr>
            <w:tcW w:w="32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6"/>
                <w:szCs w:val="16"/>
                <w:color w:val="auto"/>
              </w:rPr>
              <w:t>1,434</w:t>
            </w:r>
          </w:p>
        </w:tc>
        <w:tc>
          <w:tcPr>
            <w:tcW w:w="0" w:type="dxa"/>
            <w:vAlign w:val="bottom"/>
          </w:tcPr>
          <w:p>
            <w:pPr>
              <w:spacing w:after="0"/>
              <w:rPr>
                <w:sz w:val="1"/>
                <w:szCs w:val="1"/>
                <w:color w:val="auto"/>
              </w:rPr>
            </w:pPr>
          </w:p>
        </w:tc>
      </w:tr>
      <w:tr>
        <w:trPr>
          <w:trHeight w:val="164"/>
        </w:trPr>
        <w:tc>
          <w:tcPr>
            <w:tcW w:w="4500" w:type="dxa"/>
            <w:vAlign w:val="bottom"/>
          </w:tcPr>
          <w:p>
            <w:pPr>
              <w:spacing w:after="0" w:line="164" w:lineRule="exact"/>
              <w:rPr>
                <w:sz w:val="20"/>
                <w:szCs w:val="20"/>
                <w:color w:val="auto"/>
              </w:rPr>
            </w:pPr>
            <w:r>
              <w:rPr>
                <w:rFonts w:ascii="Arial" w:cs="Arial" w:eastAsia="Arial" w:hAnsi="Arial"/>
                <w:sz w:val="16"/>
                <w:szCs w:val="16"/>
                <w:color w:val="auto"/>
              </w:rPr>
              <w:t>Operating expenses</w:t>
            </w:r>
          </w:p>
        </w:tc>
        <w:tc>
          <w:tcPr>
            <w:tcW w:w="12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4500" w:type="dxa"/>
            <w:vAlign w:val="bottom"/>
          </w:tcPr>
          <w:p>
            <w:pPr>
              <w:ind w:left="180"/>
              <w:spacing w:after="0" w:line="176" w:lineRule="exact"/>
              <w:rPr>
                <w:sz w:val="20"/>
                <w:szCs w:val="20"/>
                <w:color w:val="auto"/>
              </w:rPr>
            </w:pPr>
            <w:r>
              <w:rPr>
                <w:rFonts w:ascii="Arial" w:cs="Arial" w:eastAsia="Arial" w:hAnsi="Arial"/>
                <w:sz w:val="16"/>
                <w:szCs w:val="16"/>
                <w:color w:val="auto"/>
              </w:rPr>
              <w:t>Cost of electric fuel and purchased power</w:t>
            </w:r>
          </w:p>
        </w:tc>
        <w:tc>
          <w:tcPr>
            <w:tcW w:w="12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440" w:type="dxa"/>
            <w:vAlign w:val="bottom"/>
          </w:tcPr>
          <w:p>
            <w:pPr>
              <w:jc w:val="right"/>
              <w:spacing w:after="0" w:line="176" w:lineRule="exact"/>
              <w:rPr>
                <w:sz w:val="20"/>
                <w:szCs w:val="20"/>
                <w:color w:val="auto"/>
              </w:rPr>
            </w:pPr>
            <w:r>
              <w:rPr>
                <w:rFonts w:ascii="Arial" w:cs="Arial" w:eastAsia="Arial" w:hAnsi="Arial"/>
                <w:sz w:val="16"/>
                <w:szCs w:val="16"/>
                <w:color w:val="auto"/>
              </w:rPr>
              <w:t>156</w:t>
            </w:r>
          </w:p>
        </w:tc>
        <w:tc>
          <w:tcPr>
            <w:tcW w:w="1020" w:type="dxa"/>
            <w:vAlign w:val="bottom"/>
          </w:tcPr>
          <w:p>
            <w:pPr>
              <w:spacing w:after="0"/>
              <w:rPr>
                <w:sz w:val="15"/>
                <w:szCs w:val="15"/>
                <w:color w:val="auto"/>
              </w:rPr>
            </w:pPr>
          </w:p>
        </w:tc>
        <w:tc>
          <w:tcPr>
            <w:tcW w:w="400" w:type="dxa"/>
            <w:vAlign w:val="bottom"/>
          </w:tcPr>
          <w:p>
            <w:pPr>
              <w:jc w:val="right"/>
              <w:spacing w:after="0" w:line="176" w:lineRule="exact"/>
              <w:rPr>
                <w:sz w:val="20"/>
                <w:szCs w:val="20"/>
                <w:color w:val="auto"/>
              </w:rPr>
            </w:pPr>
            <w:r>
              <w:rPr>
                <w:rFonts w:ascii="Arial" w:cs="Arial" w:eastAsia="Arial" w:hAnsi="Arial"/>
                <w:sz w:val="16"/>
                <w:szCs w:val="16"/>
                <w:color w:val="auto"/>
              </w:rPr>
              <w:t>129</w:t>
            </w:r>
          </w:p>
        </w:tc>
        <w:tc>
          <w:tcPr>
            <w:tcW w:w="460" w:type="dxa"/>
            <w:vAlign w:val="bottom"/>
          </w:tcPr>
          <w:p>
            <w:pPr>
              <w:spacing w:after="0"/>
              <w:rPr>
                <w:sz w:val="15"/>
                <w:szCs w:val="15"/>
                <w:color w:val="auto"/>
              </w:rPr>
            </w:pPr>
          </w:p>
        </w:tc>
        <w:tc>
          <w:tcPr>
            <w:tcW w:w="960" w:type="dxa"/>
            <w:vAlign w:val="bottom"/>
          </w:tcPr>
          <w:p>
            <w:pPr>
              <w:jc w:val="right"/>
              <w:spacing w:after="0" w:line="176" w:lineRule="exact"/>
              <w:rPr>
                <w:sz w:val="20"/>
                <w:szCs w:val="20"/>
                <w:color w:val="auto"/>
              </w:rPr>
            </w:pPr>
            <w:r>
              <w:rPr>
                <w:rFonts w:ascii="Arial" w:cs="Arial" w:eastAsia="Arial" w:hAnsi="Arial"/>
                <w:sz w:val="16"/>
                <w:szCs w:val="16"/>
                <w:color w:val="auto"/>
              </w:rPr>
              <w:t>327</w:t>
            </w:r>
          </w:p>
        </w:tc>
        <w:tc>
          <w:tcPr>
            <w:tcW w:w="320" w:type="dxa"/>
            <w:vAlign w:val="bottom"/>
          </w:tcPr>
          <w:p>
            <w:pPr>
              <w:spacing w:after="0"/>
              <w:rPr>
                <w:sz w:val="15"/>
                <w:szCs w:val="15"/>
                <w:color w:val="auto"/>
              </w:rPr>
            </w:pPr>
          </w:p>
        </w:tc>
        <w:tc>
          <w:tcPr>
            <w:tcW w:w="1120" w:type="dxa"/>
            <w:vAlign w:val="bottom"/>
          </w:tcPr>
          <w:p>
            <w:pPr>
              <w:jc w:val="right"/>
              <w:spacing w:after="0" w:line="176" w:lineRule="exact"/>
              <w:rPr>
                <w:sz w:val="20"/>
                <w:szCs w:val="20"/>
                <w:color w:val="auto"/>
              </w:rPr>
            </w:pPr>
            <w:r>
              <w:rPr>
                <w:rFonts w:ascii="Arial" w:cs="Arial" w:eastAsia="Arial" w:hAnsi="Arial"/>
                <w:sz w:val="16"/>
                <w:szCs w:val="16"/>
                <w:color w:val="auto"/>
              </w:rPr>
              <w:t>277</w:t>
            </w:r>
          </w:p>
        </w:tc>
        <w:tc>
          <w:tcPr>
            <w:tcW w:w="0" w:type="dxa"/>
            <w:vAlign w:val="bottom"/>
          </w:tcPr>
          <w:p>
            <w:pPr>
              <w:spacing w:after="0"/>
              <w:rPr>
                <w:sz w:val="1"/>
                <w:szCs w:val="1"/>
                <w:color w:val="auto"/>
              </w:rPr>
            </w:pPr>
          </w:p>
        </w:tc>
      </w:tr>
      <w:tr>
        <w:trPr>
          <w:trHeight w:val="176"/>
        </w:trPr>
        <w:tc>
          <w:tcPr>
            <w:tcW w:w="4500" w:type="dxa"/>
            <w:vAlign w:val="bottom"/>
          </w:tcPr>
          <w:p>
            <w:pPr>
              <w:ind w:left="180"/>
              <w:spacing w:after="0" w:line="176" w:lineRule="exact"/>
              <w:rPr>
                <w:sz w:val="20"/>
                <w:szCs w:val="20"/>
                <w:color w:val="auto"/>
              </w:rPr>
            </w:pPr>
            <w:r>
              <w:rPr>
                <w:rFonts w:ascii="Arial" w:cs="Arial" w:eastAsia="Arial" w:hAnsi="Arial"/>
                <w:sz w:val="16"/>
                <w:szCs w:val="16"/>
                <w:color w:val="auto"/>
              </w:rPr>
              <w:t>Cost of natural gas</w:t>
            </w:r>
          </w:p>
        </w:tc>
        <w:tc>
          <w:tcPr>
            <w:tcW w:w="12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440" w:type="dxa"/>
            <w:vAlign w:val="bottom"/>
          </w:tcPr>
          <w:p>
            <w:pPr>
              <w:jc w:val="right"/>
              <w:spacing w:after="0" w:line="176" w:lineRule="exact"/>
              <w:rPr>
                <w:sz w:val="20"/>
                <w:szCs w:val="20"/>
                <w:color w:val="auto"/>
              </w:rPr>
            </w:pPr>
            <w:r>
              <w:rPr>
                <w:rFonts w:ascii="Arial" w:cs="Arial" w:eastAsia="Arial" w:hAnsi="Arial"/>
                <w:sz w:val="16"/>
                <w:szCs w:val="16"/>
                <w:color w:val="auto"/>
              </w:rPr>
              <w:t>52</w:t>
            </w:r>
          </w:p>
        </w:tc>
        <w:tc>
          <w:tcPr>
            <w:tcW w:w="1020" w:type="dxa"/>
            <w:vAlign w:val="bottom"/>
          </w:tcPr>
          <w:p>
            <w:pPr>
              <w:spacing w:after="0"/>
              <w:rPr>
                <w:sz w:val="15"/>
                <w:szCs w:val="15"/>
                <w:color w:val="auto"/>
              </w:rPr>
            </w:pPr>
          </w:p>
        </w:tc>
        <w:tc>
          <w:tcPr>
            <w:tcW w:w="400" w:type="dxa"/>
            <w:vAlign w:val="bottom"/>
          </w:tcPr>
          <w:p>
            <w:pPr>
              <w:jc w:val="right"/>
              <w:spacing w:after="0" w:line="176" w:lineRule="exact"/>
              <w:rPr>
                <w:sz w:val="20"/>
                <w:szCs w:val="20"/>
                <w:color w:val="auto"/>
              </w:rPr>
            </w:pPr>
            <w:r>
              <w:rPr>
                <w:rFonts w:ascii="Arial" w:cs="Arial" w:eastAsia="Arial" w:hAnsi="Arial"/>
                <w:sz w:val="16"/>
                <w:szCs w:val="16"/>
                <w:color w:val="auto"/>
              </w:rPr>
              <w:t>44</w:t>
            </w:r>
          </w:p>
        </w:tc>
        <w:tc>
          <w:tcPr>
            <w:tcW w:w="460" w:type="dxa"/>
            <w:vAlign w:val="bottom"/>
          </w:tcPr>
          <w:p>
            <w:pPr>
              <w:spacing w:after="0"/>
              <w:rPr>
                <w:sz w:val="15"/>
                <w:szCs w:val="15"/>
                <w:color w:val="auto"/>
              </w:rPr>
            </w:pPr>
          </w:p>
        </w:tc>
        <w:tc>
          <w:tcPr>
            <w:tcW w:w="960" w:type="dxa"/>
            <w:vAlign w:val="bottom"/>
          </w:tcPr>
          <w:p>
            <w:pPr>
              <w:jc w:val="right"/>
              <w:spacing w:after="0" w:line="176" w:lineRule="exact"/>
              <w:rPr>
                <w:sz w:val="20"/>
                <w:szCs w:val="20"/>
                <w:color w:val="auto"/>
              </w:rPr>
            </w:pPr>
            <w:r>
              <w:rPr>
                <w:rFonts w:ascii="Arial" w:cs="Arial" w:eastAsia="Arial" w:hAnsi="Arial"/>
                <w:sz w:val="16"/>
                <w:szCs w:val="16"/>
                <w:color w:val="auto"/>
              </w:rPr>
              <w:t>135</w:t>
            </w:r>
          </w:p>
        </w:tc>
        <w:tc>
          <w:tcPr>
            <w:tcW w:w="320" w:type="dxa"/>
            <w:vAlign w:val="bottom"/>
          </w:tcPr>
          <w:p>
            <w:pPr>
              <w:spacing w:after="0"/>
              <w:rPr>
                <w:sz w:val="15"/>
                <w:szCs w:val="15"/>
                <w:color w:val="auto"/>
              </w:rPr>
            </w:pPr>
          </w:p>
        </w:tc>
        <w:tc>
          <w:tcPr>
            <w:tcW w:w="1120" w:type="dxa"/>
            <w:vAlign w:val="bottom"/>
          </w:tcPr>
          <w:p>
            <w:pPr>
              <w:jc w:val="right"/>
              <w:spacing w:after="0" w:line="176" w:lineRule="exact"/>
              <w:rPr>
                <w:sz w:val="20"/>
                <w:szCs w:val="20"/>
                <w:color w:val="auto"/>
              </w:rPr>
            </w:pPr>
            <w:r>
              <w:rPr>
                <w:rFonts w:ascii="Arial" w:cs="Arial" w:eastAsia="Arial" w:hAnsi="Arial"/>
                <w:sz w:val="16"/>
                <w:szCs w:val="16"/>
                <w:color w:val="auto"/>
              </w:rPr>
              <w:t>133</w:t>
            </w:r>
          </w:p>
        </w:tc>
        <w:tc>
          <w:tcPr>
            <w:tcW w:w="0" w:type="dxa"/>
            <w:vAlign w:val="bottom"/>
          </w:tcPr>
          <w:p>
            <w:pPr>
              <w:spacing w:after="0"/>
              <w:rPr>
                <w:sz w:val="1"/>
                <w:szCs w:val="1"/>
                <w:color w:val="auto"/>
              </w:rPr>
            </w:pPr>
          </w:p>
        </w:tc>
      </w:tr>
      <w:tr>
        <w:trPr>
          <w:trHeight w:val="176"/>
        </w:trPr>
        <w:tc>
          <w:tcPr>
            <w:tcW w:w="4500" w:type="dxa"/>
            <w:vAlign w:val="bottom"/>
          </w:tcPr>
          <w:p>
            <w:pPr>
              <w:ind w:left="180"/>
              <w:spacing w:after="0" w:line="176" w:lineRule="exact"/>
              <w:rPr>
                <w:sz w:val="20"/>
                <w:szCs w:val="20"/>
                <w:color w:val="auto"/>
              </w:rPr>
            </w:pPr>
            <w:r>
              <w:rPr>
                <w:rFonts w:ascii="Arial" w:cs="Arial" w:eastAsia="Arial" w:hAnsi="Arial"/>
                <w:sz w:val="16"/>
                <w:szCs w:val="16"/>
                <w:color w:val="auto"/>
              </w:rPr>
              <w:t>Operation and maintenance</w:t>
            </w:r>
          </w:p>
        </w:tc>
        <w:tc>
          <w:tcPr>
            <w:tcW w:w="12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440" w:type="dxa"/>
            <w:vAlign w:val="bottom"/>
          </w:tcPr>
          <w:p>
            <w:pPr>
              <w:jc w:val="right"/>
              <w:spacing w:after="0" w:line="176" w:lineRule="exact"/>
              <w:rPr>
                <w:sz w:val="20"/>
                <w:szCs w:val="20"/>
                <w:color w:val="auto"/>
              </w:rPr>
            </w:pPr>
            <w:r>
              <w:rPr>
                <w:rFonts w:ascii="Arial" w:cs="Arial" w:eastAsia="Arial" w:hAnsi="Arial"/>
                <w:sz w:val="16"/>
                <w:szCs w:val="16"/>
                <w:color w:val="auto"/>
              </w:rPr>
              <w:t>228</w:t>
            </w:r>
          </w:p>
        </w:tc>
        <w:tc>
          <w:tcPr>
            <w:tcW w:w="1020" w:type="dxa"/>
            <w:vAlign w:val="bottom"/>
          </w:tcPr>
          <w:p>
            <w:pPr>
              <w:spacing w:after="0"/>
              <w:rPr>
                <w:sz w:val="15"/>
                <w:szCs w:val="15"/>
                <w:color w:val="auto"/>
              </w:rPr>
            </w:pPr>
          </w:p>
        </w:tc>
        <w:tc>
          <w:tcPr>
            <w:tcW w:w="400" w:type="dxa"/>
            <w:vAlign w:val="bottom"/>
          </w:tcPr>
          <w:p>
            <w:pPr>
              <w:jc w:val="right"/>
              <w:spacing w:after="0" w:line="176" w:lineRule="exact"/>
              <w:rPr>
                <w:sz w:val="20"/>
                <w:szCs w:val="20"/>
                <w:color w:val="auto"/>
              </w:rPr>
            </w:pPr>
            <w:r>
              <w:rPr>
                <w:rFonts w:ascii="Arial" w:cs="Arial" w:eastAsia="Arial" w:hAnsi="Arial"/>
                <w:sz w:val="16"/>
                <w:szCs w:val="16"/>
                <w:color w:val="auto"/>
              </w:rPr>
              <w:t>237</w:t>
            </w:r>
          </w:p>
        </w:tc>
        <w:tc>
          <w:tcPr>
            <w:tcW w:w="460" w:type="dxa"/>
            <w:vAlign w:val="bottom"/>
          </w:tcPr>
          <w:p>
            <w:pPr>
              <w:spacing w:after="0"/>
              <w:rPr>
                <w:sz w:val="15"/>
                <w:szCs w:val="15"/>
                <w:color w:val="auto"/>
              </w:rPr>
            </w:pPr>
          </w:p>
        </w:tc>
        <w:tc>
          <w:tcPr>
            <w:tcW w:w="960" w:type="dxa"/>
            <w:vAlign w:val="bottom"/>
          </w:tcPr>
          <w:p>
            <w:pPr>
              <w:jc w:val="right"/>
              <w:spacing w:after="0" w:line="176" w:lineRule="exact"/>
              <w:rPr>
                <w:sz w:val="20"/>
                <w:szCs w:val="20"/>
                <w:color w:val="auto"/>
              </w:rPr>
            </w:pPr>
            <w:r>
              <w:rPr>
                <w:rFonts w:ascii="Arial" w:cs="Arial" w:eastAsia="Arial" w:hAnsi="Arial"/>
                <w:sz w:val="16"/>
                <w:szCs w:val="16"/>
                <w:color w:val="auto"/>
              </w:rPr>
              <w:t>501</w:t>
            </w:r>
          </w:p>
        </w:tc>
        <w:tc>
          <w:tcPr>
            <w:tcW w:w="320" w:type="dxa"/>
            <w:vAlign w:val="bottom"/>
          </w:tcPr>
          <w:p>
            <w:pPr>
              <w:spacing w:after="0"/>
              <w:rPr>
                <w:sz w:val="15"/>
                <w:szCs w:val="15"/>
                <w:color w:val="auto"/>
              </w:rPr>
            </w:pPr>
          </w:p>
        </w:tc>
        <w:tc>
          <w:tcPr>
            <w:tcW w:w="1120" w:type="dxa"/>
            <w:vAlign w:val="bottom"/>
          </w:tcPr>
          <w:p>
            <w:pPr>
              <w:jc w:val="right"/>
              <w:spacing w:after="0" w:line="176" w:lineRule="exact"/>
              <w:rPr>
                <w:sz w:val="20"/>
                <w:szCs w:val="20"/>
                <w:color w:val="auto"/>
              </w:rPr>
            </w:pPr>
            <w:r>
              <w:rPr>
                <w:rFonts w:ascii="Arial" w:cs="Arial" w:eastAsia="Arial" w:hAnsi="Arial"/>
                <w:sz w:val="16"/>
                <w:szCs w:val="16"/>
                <w:color w:val="auto"/>
              </w:rPr>
              <w:t>469</w:t>
            </w:r>
          </w:p>
        </w:tc>
        <w:tc>
          <w:tcPr>
            <w:tcW w:w="0" w:type="dxa"/>
            <w:vAlign w:val="bottom"/>
          </w:tcPr>
          <w:p>
            <w:pPr>
              <w:spacing w:after="0"/>
              <w:rPr>
                <w:sz w:val="1"/>
                <w:szCs w:val="1"/>
                <w:color w:val="auto"/>
              </w:rPr>
            </w:pPr>
          </w:p>
        </w:tc>
      </w:tr>
      <w:tr>
        <w:trPr>
          <w:trHeight w:val="176"/>
        </w:trPr>
        <w:tc>
          <w:tcPr>
            <w:tcW w:w="4500" w:type="dxa"/>
            <w:vAlign w:val="bottom"/>
          </w:tcPr>
          <w:p>
            <w:pPr>
              <w:ind w:left="180"/>
              <w:spacing w:after="0" w:line="176" w:lineRule="exact"/>
              <w:rPr>
                <w:sz w:val="20"/>
                <w:szCs w:val="20"/>
                <w:color w:val="auto"/>
              </w:rPr>
            </w:pPr>
            <w:r>
              <w:rPr>
                <w:rFonts w:ascii="Arial" w:cs="Arial" w:eastAsia="Arial" w:hAnsi="Arial"/>
                <w:sz w:val="16"/>
                <w:szCs w:val="16"/>
                <w:color w:val="auto"/>
              </w:rPr>
              <w:t>Depreciation and amortization</w:t>
            </w:r>
          </w:p>
        </w:tc>
        <w:tc>
          <w:tcPr>
            <w:tcW w:w="12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440" w:type="dxa"/>
            <w:vAlign w:val="bottom"/>
          </w:tcPr>
          <w:p>
            <w:pPr>
              <w:jc w:val="right"/>
              <w:spacing w:after="0" w:line="176" w:lineRule="exact"/>
              <w:rPr>
                <w:sz w:val="20"/>
                <w:szCs w:val="20"/>
                <w:color w:val="auto"/>
              </w:rPr>
            </w:pPr>
            <w:r>
              <w:rPr>
                <w:rFonts w:ascii="Arial" w:cs="Arial" w:eastAsia="Arial" w:hAnsi="Arial"/>
                <w:sz w:val="16"/>
                <w:szCs w:val="16"/>
                <w:color w:val="auto"/>
              </w:rPr>
              <w:t>105</w:t>
            </w:r>
          </w:p>
        </w:tc>
        <w:tc>
          <w:tcPr>
            <w:tcW w:w="1020" w:type="dxa"/>
            <w:vAlign w:val="bottom"/>
          </w:tcPr>
          <w:p>
            <w:pPr>
              <w:spacing w:after="0"/>
              <w:rPr>
                <w:sz w:val="15"/>
                <w:szCs w:val="15"/>
                <w:color w:val="auto"/>
              </w:rPr>
            </w:pPr>
          </w:p>
        </w:tc>
        <w:tc>
          <w:tcPr>
            <w:tcW w:w="400" w:type="dxa"/>
            <w:vAlign w:val="bottom"/>
          </w:tcPr>
          <w:p>
            <w:pPr>
              <w:jc w:val="right"/>
              <w:spacing w:after="0" w:line="176" w:lineRule="exact"/>
              <w:rPr>
                <w:sz w:val="20"/>
                <w:szCs w:val="20"/>
                <w:color w:val="auto"/>
              </w:rPr>
            </w:pPr>
            <w:r>
              <w:rPr>
                <w:rFonts w:ascii="Arial" w:cs="Arial" w:eastAsia="Arial" w:hAnsi="Arial"/>
                <w:sz w:val="16"/>
                <w:szCs w:val="16"/>
                <w:color w:val="auto"/>
              </w:rPr>
              <w:t>95</w:t>
            </w:r>
          </w:p>
        </w:tc>
        <w:tc>
          <w:tcPr>
            <w:tcW w:w="460" w:type="dxa"/>
            <w:vAlign w:val="bottom"/>
          </w:tcPr>
          <w:p>
            <w:pPr>
              <w:spacing w:after="0"/>
              <w:rPr>
                <w:sz w:val="15"/>
                <w:szCs w:val="15"/>
                <w:color w:val="auto"/>
              </w:rPr>
            </w:pPr>
          </w:p>
        </w:tc>
        <w:tc>
          <w:tcPr>
            <w:tcW w:w="960" w:type="dxa"/>
            <w:vAlign w:val="bottom"/>
          </w:tcPr>
          <w:p>
            <w:pPr>
              <w:jc w:val="right"/>
              <w:spacing w:after="0" w:line="176" w:lineRule="exact"/>
              <w:rPr>
                <w:sz w:val="20"/>
                <w:szCs w:val="20"/>
                <w:color w:val="auto"/>
              </w:rPr>
            </w:pPr>
            <w:r>
              <w:rPr>
                <w:rFonts w:ascii="Arial" w:cs="Arial" w:eastAsia="Arial" w:hAnsi="Arial"/>
                <w:sz w:val="16"/>
                <w:szCs w:val="16"/>
                <w:color w:val="auto"/>
              </w:rPr>
              <w:t>208</w:t>
            </w:r>
          </w:p>
        </w:tc>
        <w:tc>
          <w:tcPr>
            <w:tcW w:w="320" w:type="dxa"/>
            <w:vAlign w:val="bottom"/>
          </w:tcPr>
          <w:p>
            <w:pPr>
              <w:spacing w:after="0"/>
              <w:rPr>
                <w:sz w:val="15"/>
                <w:szCs w:val="15"/>
                <w:color w:val="auto"/>
              </w:rPr>
            </w:pPr>
          </w:p>
        </w:tc>
        <w:tc>
          <w:tcPr>
            <w:tcW w:w="1120" w:type="dxa"/>
            <w:vAlign w:val="bottom"/>
          </w:tcPr>
          <w:p>
            <w:pPr>
              <w:jc w:val="right"/>
              <w:spacing w:after="0" w:line="176" w:lineRule="exact"/>
              <w:rPr>
                <w:sz w:val="20"/>
                <w:szCs w:val="20"/>
                <w:color w:val="auto"/>
              </w:rPr>
            </w:pPr>
            <w:r>
              <w:rPr>
                <w:rFonts w:ascii="Arial" w:cs="Arial" w:eastAsia="Arial" w:hAnsi="Arial"/>
                <w:sz w:val="16"/>
                <w:szCs w:val="16"/>
                <w:color w:val="auto"/>
              </w:rPr>
              <w:t>187</w:t>
            </w:r>
          </w:p>
        </w:tc>
        <w:tc>
          <w:tcPr>
            <w:tcW w:w="0" w:type="dxa"/>
            <w:vAlign w:val="bottom"/>
          </w:tcPr>
          <w:p>
            <w:pPr>
              <w:spacing w:after="0"/>
              <w:rPr>
                <w:sz w:val="1"/>
                <w:szCs w:val="1"/>
                <w:color w:val="auto"/>
              </w:rPr>
            </w:pPr>
          </w:p>
        </w:tc>
      </w:tr>
      <w:tr>
        <w:trPr>
          <w:trHeight w:val="194"/>
        </w:trPr>
        <w:tc>
          <w:tcPr>
            <w:tcW w:w="4500" w:type="dxa"/>
            <w:vAlign w:val="bottom"/>
          </w:tcPr>
          <w:p>
            <w:pPr>
              <w:ind w:left="180"/>
              <w:spacing w:after="0"/>
              <w:rPr>
                <w:sz w:val="20"/>
                <w:szCs w:val="20"/>
                <w:color w:val="auto"/>
              </w:rPr>
            </w:pPr>
            <w:r>
              <w:rPr>
                <w:rFonts w:ascii="Arial" w:cs="Arial" w:eastAsia="Arial" w:hAnsi="Arial"/>
                <w:sz w:val="16"/>
                <w:szCs w:val="16"/>
                <w:color w:val="auto"/>
              </w:rPr>
              <w:t>Franchise fees and other taxes</w:t>
            </w:r>
          </w:p>
        </w:tc>
        <w:tc>
          <w:tcPr>
            <w:tcW w:w="1240" w:type="dxa"/>
            <w:vAlign w:val="bottom"/>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43</w:t>
            </w:r>
          </w:p>
        </w:tc>
        <w:tc>
          <w:tcPr>
            <w:tcW w:w="102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w:t>
            </w:r>
          </w:p>
        </w:tc>
        <w:tc>
          <w:tcPr>
            <w:tcW w:w="4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90</w:t>
            </w:r>
          </w:p>
        </w:tc>
        <w:tc>
          <w:tcPr>
            <w:tcW w:w="3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84</w:t>
            </w:r>
          </w:p>
        </w:tc>
        <w:tc>
          <w:tcPr>
            <w:tcW w:w="0" w:type="dxa"/>
            <w:vAlign w:val="bottom"/>
          </w:tcPr>
          <w:p>
            <w:pPr>
              <w:spacing w:after="0"/>
              <w:rPr>
                <w:sz w:val="1"/>
                <w:szCs w:val="1"/>
                <w:color w:val="auto"/>
              </w:rPr>
            </w:pPr>
          </w:p>
        </w:tc>
      </w:tr>
      <w:tr>
        <w:trPr>
          <w:trHeight w:val="183"/>
        </w:trPr>
        <w:tc>
          <w:tcPr>
            <w:tcW w:w="4500" w:type="dxa"/>
            <w:vAlign w:val="bottom"/>
          </w:tcPr>
          <w:p>
            <w:pPr>
              <w:ind w:left="360"/>
              <w:spacing w:after="0" w:line="176" w:lineRule="exact"/>
              <w:rPr>
                <w:sz w:val="20"/>
                <w:szCs w:val="20"/>
                <w:color w:val="auto"/>
              </w:rPr>
            </w:pPr>
            <w:r>
              <w:rPr>
                <w:rFonts w:ascii="Arial" w:cs="Arial" w:eastAsia="Arial" w:hAnsi="Arial"/>
                <w:sz w:val="16"/>
                <w:szCs w:val="16"/>
                <w:color w:val="auto"/>
              </w:rPr>
              <w:t>Total operating expenses</w:t>
            </w:r>
          </w:p>
        </w:tc>
        <w:tc>
          <w:tcPr>
            <w:tcW w:w="1240" w:type="dxa"/>
            <w:vAlign w:val="bottom"/>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6"/>
                <w:szCs w:val="16"/>
                <w:color w:val="auto"/>
              </w:rPr>
              <w:t>584</w:t>
            </w:r>
          </w:p>
        </w:tc>
        <w:tc>
          <w:tcPr>
            <w:tcW w:w="102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6"/>
                <w:szCs w:val="16"/>
                <w:color w:val="auto"/>
              </w:rPr>
              <w:t>546</w:t>
            </w:r>
          </w:p>
        </w:tc>
        <w:tc>
          <w:tcPr>
            <w:tcW w:w="46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6"/>
                <w:szCs w:val="16"/>
                <w:color w:val="auto"/>
              </w:rPr>
              <w:t>1,261</w:t>
            </w:r>
          </w:p>
        </w:tc>
        <w:tc>
          <w:tcPr>
            <w:tcW w:w="32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6"/>
                <w:szCs w:val="16"/>
                <w:color w:val="auto"/>
              </w:rPr>
              <w:t>1,150</w:t>
            </w:r>
          </w:p>
        </w:tc>
        <w:tc>
          <w:tcPr>
            <w:tcW w:w="0" w:type="dxa"/>
            <w:vAlign w:val="bottom"/>
          </w:tcPr>
          <w:p>
            <w:pPr>
              <w:spacing w:after="0"/>
              <w:rPr>
                <w:sz w:val="1"/>
                <w:szCs w:val="1"/>
                <w:color w:val="auto"/>
              </w:rPr>
            </w:pPr>
          </w:p>
        </w:tc>
      </w:tr>
      <w:tr>
        <w:trPr>
          <w:trHeight w:val="164"/>
        </w:trPr>
        <w:tc>
          <w:tcPr>
            <w:tcW w:w="4500" w:type="dxa"/>
            <w:vAlign w:val="bottom"/>
          </w:tcPr>
          <w:p>
            <w:pPr>
              <w:spacing w:after="0" w:line="164" w:lineRule="exact"/>
              <w:rPr>
                <w:sz w:val="20"/>
                <w:szCs w:val="20"/>
                <w:color w:val="auto"/>
              </w:rPr>
            </w:pPr>
            <w:r>
              <w:rPr>
                <w:rFonts w:ascii="Arial" w:cs="Arial" w:eastAsia="Arial" w:hAnsi="Arial"/>
                <w:sz w:val="16"/>
                <w:szCs w:val="16"/>
                <w:color w:val="auto"/>
              </w:rPr>
              <w:t>Operating income</w:t>
            </w:r>
          </w:p>
        </w:tc>
        <w:tc>
          <w:tcPr>
            <w:tcW w:w="12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40" w:type="dxa"/>
            <w:vAlign w:val="bottom"/>
          </w:tcPr>
          <w:p>
            <w:pPr>
              <w:jc w:val="right"/>
              <w:spacing w:after="0" w:line="164" w:lineRule="exact"/>
              <w:rPr>
                <w:sz w:val="20"/>
                <w:szCs w:val="20"/>
                <w:color w:val="auto"/>
              </w:rPr>
            </w:pPr>
            <w:r>
              <w:rPr>
                <w:rFonts w:ascii="Arial" w:cs="Arial" w:eastAsia="Arial" w:hAnsi="Arial"/>
                <w:sz w:val="16"/>
                <w:szCs w:val="16"/>
                <w:color w:val="auto"/>
              </w:rPr>
              <w:t>113</w:t>
            </w:r>
          </w:p>
        </w:tc>
        <w:tc>
          <w:tcPr>
            <w:tcW w:w="1020" w:type="dxa"/>
            <w:vAlign w:val="bottom"/>
          </w:tcPr>
          <w:p>
            <w:pPr>
              <w:spacing w:after="0"/>
              <w:rPr>
                <w:sz w:val="14"/>
                <w:szCs w:val="14"/>
                <w:color w:val="auto"/>
              </w:rPr>
            </w:pPr>
          </w:p>
        </w:tc>
        <w:tc>
          <w:tcPr>
            <w:tcW w:w="400" w:type="dxa"/>
            <w:vAlign w:val="bottom"/>
          </w:tcPr>
          <w:p>
            <w:pPr>
              <w:jc w:val="right"/>
              <w:spacing w:after="0" w:line="164" w:lineRule="exact"/>
              <w:rPr>
                <w:sz w:val="20"/>
                <w:szCs w:val="20"/>
                <w:color w:val="auto"/>
              </w:rPr>
            </w:pPr>
            <w:r>
              <w:rPr>
                <w:rFonts w:ascii="Arial" w:cs="Arial" w:eastAsia="Arial" w:hAnsi="Arial"/>
                <w:sz w:val="16"/>
                <w:szCs w:val="16"/>
                <w:color w:val="auto"/>
              </w:rPr>
              <w:t>146</w:t>
            </w:r>
          </w:p>
        </w:tc>
        <w:tc>
          <w:tcPr>
            <w:tcW w:w="460" w:type="dxa"/>
            <w:vAlign w:val="bottom"/>
          </w:tcPr>
          <w:p>
            <w:pPr>
              <w:spacing w:after="0"/>
              <w:rPr>
                <w:sz w:val="14"/>
                <w:szCs w:val="14"/>
                <w:color w:val="auto"/>
              </w:rPr>
            </w:pPr>
          </w:p>
        </w:tc>
        <w:tc>
          <w:tcPr>
            <w:tcW w:w="960" w:type="dxa"/>
            <w:vAlign w:val="bottom"/>
          </w:tcPr>
          <w:p>
            <w:pPr>
              <w:jc w:val="right"/>
              <w:spacing w:after="0" w:line="164" w:lineRule="exact"/>
              <w:rPr>
                <w:sz w:val="20"/>
                <w:szCs w:val="20"/>
                <w:color w:val="auto"/>
              </w:rPr>
            </w:pPr>
            <w:r>
              <w:rPr>
                <w:rFonts w:ascii="Arial" w:cs="Arial" w:eastAsia="Arial" w:hAnsi="Arial"/>
                <w:sz w:val="16"/>
                <w:szCs w:val="16"/>
                <w:color w:val="auto"/>
              </w:rPr>
              <w:t>276</w:t>
            </w:r>
          </w:p>
        </w:tc>
        <w:tc>
          <w:tcPr>
            <w:tcW w:w="320" w:type="dxa"/>
            <w:vAlign w:val="bottom"/>
          </w:tcPr>
          <w:p>
            <w:pPr>
              <w:spacing w:after="0"/>
              <w:rPr>
                <w:sz w:val="14"/>
                <w:szCs w:val="14"/>
                <w:color w:val="auto"/>
              </w:rPr>
            </w:pPr>
          </w:p>
        </w:tc>
        <w:tc>
          <w:tcPr>
            <w:tcW w:w="1120" w:type="dxa"/>
            <w:vAlign w:val="bottom"/>
          </w:tcPr>
          <w:p>
            <w:pPr>
              <w:jc w:val="right"/>
              <w:spacing w:after="0" w:line="164" w:lineRule="exact"/>
              <w:rPr>
                <w:sz w:val="20"/>
                <w:szCs w:val="20"/>
                <w:color w:val="auto"/>
              </w:rPr>
            </w:pPr>
            <w:r>
              <w:rPr>
                <w:rFonts w:ascii="Arial" w:cs="Arial" w:eastAsia="Arial" w:hAnsi="Arial"/>
                <w:sz w:val="16"/>
                <w:szCs w:val="16"/>
                <w:color w:val="auto"/>
              </w:rPr>
              <w:t>284</w:t>
            </w:r>
          </w:p>
        </w:tc>
        <w:tc>
          <w:tcPr>
            <w:tcW w:w="0" w:type="dxa"/>
            <w:vAlign w:val="bottom"/>
          </w:tcPr>
          <w:p>
            <w:pPr>
              <w:spacing w:after="0"/>
              <w:rPr>
                <w:sz w:val="1"/>
                <w:szCs w:val="1"/>
                <w:color w:val="auto"/>
              </w:rPr>
            </w:pPr>
          </w:p>
        </w:tc>
      </w:tr>
      <w:tr>
        <w:trPr>
          <w:trHeight w:val="176"/>
        </w:trPr>
        <w:tc>
          <w:tcPr>
            <w:tcW w:w="4500" w:type="dxa"/>
            <w:vAlign w:val="bottom"/>
          </w:tcPr>
          <w:p>
            <w:pPr>
              <w:spacing w:after="0" w:line="176" w:lineRule="exact"/>
              <w:rPr>
                <w:sz w:val="20"/>
                <w:szCs w:val="20"/>
                <w:color w:val="auto"/>
              </w:rPr>
            </w:pPr>
            <w:r>
              <w:rPr>
                <w:rFonts w:ascii="Arial" w:cs="Arial" w:eastAsia="Arial" w:hAnsi="Arial"/>
                <w:sz w:val="16"/>
                <w:szCs w:val="16"/>
                <w:color w:val="auto"/>
              </w:rPr>
              <w:t>Other income (expense), net</w:t>
            </w:r>
          </w:p>
        </w:tc>
        <w:tc>
          <w:tcPr>
            <w:tcW w:w="12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440" w:type="dxa"/>
            <w:vAlign w:val="bottom"/>
          </w:tcPr>
          <w:p>
            <w:pPr>
              <w:jc w:val="right"/>
              <w:spacing w:after="0" w:line="176" w:lineRule="exact"/>
              <w:rPr>
                <w:sz w:val="20"/>
                <w:szCs w:val="20"/>
                <w:color w:val="auto"/>
              </w:rPr>
            </w:pPr>
            <w:r>
              <w:rPr>
                <w:rFonts w:ascii="Arial" w:cs="Arial" w:eastAsia="Arial" w:hAnsi="Arial"/>
                <w:sz w:val="16"/>
                <w:szCs w:val="16"/>
                <w:color w:val="auto"/>
              </w:rPr>
              <w:t>13</w:t>
            </w:r>
          </w:p>
        </w:tc>
        <w:tc>
          <w:tcPr>
            <w:tcW w:w="1020" w:type="dxa"/>
            <w:vAlign w:val="bottom"/>
          </w:tcPr>
          <w:p>
            <w:pPr>
              <w:spacing w:after="0"/>
              <w:rPr>
                <w:sz w:val="15"/>
                <w:szCs w:val="15"/>
                <w:color w:val="auto"/>
              </w:rPr>
            </w:pPr>
          </w:p>
        </w:tc>
        <w:tc>
          <w:tcPr>
            <w:tcW w:w="400" w:type="dxa"/>
            <w:vAlign w:val="bottom"/>
          </w:tcPr>
          <w:p>
            <w:pPr>
              <w:jc w:val="right"/>
              <w:spacing w:after="0" w:line="176" w:lineRule="exact"/>
              <w:rPr>
                <w:sz w:val="20"/>
                <w:szCs w:val="20"/>
                <w:color w:val="auto"/>
              </w:rPr>
            </w:pPr>
            <w:r>
              <w:rPr>
                <w:rFonts w:ascii="Arial" w:cs="Arial" w:eastAsia="Arial" w:hAnsi="Arial"/>
                <w:sz w:val="16"/>
                <w:szCs w:val="16"/>
                <w:color w:val="auto"/>
              </w:rPr>
              <w:t>(16)</w:t>
            </w:r>
          </w:p>
        </w:tc>
        <w:tc>
          <w:tcPr>
            <w:tcW w:w="460" w:type="dxa"/>
            <w:vAlign w:val="bottom"/>
          </w:tcPr>
          <w:p>
            <w:pPr>
              <w:spacing w:after="0"/>
              <w:rPr>
                <w:sz w:val="15"/>
                <w:szCs w:val="15"/>
                <w:color w:val="auto"/>
              </w:rPr>
            </w:pPr>
          </w:p>
        </w:tc>
        <w:tc>
          <w:tcPr>
            <w:tcW w:w="960" w:type="dxa"/>
            <w:vAlign w:val="bottom"/>
          </w:tcPr>
          <w:p>
            <w:pPr>
              <w:jc w:val="right"/>
              <w:spacing w:after="0" w:line="176" w:lineRule="exact"/>
              <w:rPr>
                <w:sz w:val="20"/>
                <w:szCs w:val="20"/>
                <w:color w:val="auto"/>
              </w:rPr>
            </w:pPr>
            <w:r>
              <w:rPr>
                <w:rFonts w:ascii="Arial" w:cs="Arial" w:eastAsia="Arial" w:hAnsi="Arial"/>
                <w:sz w:val="16"/>
                <w:szCs w:val="16"/>
                <w:color w:val="auto"/>
              </w:rPr>
              <w:t>29</w:t>
            </w:r>
          </w:p>
        </w:tc>
        <w:tc>
          <w:tcPr>
            <w:tcW w:w="320" w:type="dxa"/>
            <w:vAlign w:val="bottom"/>
          </w:tcPr>
          <w:p>
            <w:pPr>
              <w:spacing w:after="0"/>
              <w:rPr>
                <w:sz w:val="15"/>
                <w:szCs w:val="15"/>
                <w:color w:val="auto"/>
              </w:rPr>
            </w:pPr>
          </w:p>
        </w:tc>
        <w:tc>
          <w:tcPr>
            <w:tcW w:w="1120" w:type="dxa"/>
            <w:vAlign w:val="bottom"/>
          </w:tcPr>
          <w:p>
            <w:pPr>
              <w:jc w:val="right"/>
              <w:spacing w:after="0" w:line="176" w:lineRule="exact"/>
              <w:rPr>
                <w:sz w:val="20"/>
                <w:szCs w:val="20"/>
                <w:color w:val="auto"/>
              </w:rPr>
            </w:pPr>
            <w:r>
              <w:rPr>
                <w:rFonts w:ascii="Arial" w:cs="Arial" w:eastAsia="Arial" w:hAnsi="Arial"/>
                <w:sz w:val="16"/>
                <w:szCs w:val="16"/>
                <w:color w:val="auto"/>
              </w:rPr>
              <w:t>(16)</w:t>
            </w:r>
          </w:p>
        </w:tc>
        <w:tc>
          <w:tcPr>
            <w:tcW w:w="0" w:type="dxa"/>
            <w:vAlign w:val="bottom"/>
          </w:tcPr>
          <w:p>
            <w:pPr>
              <w:spacing w:after="0"/>
              <w:rPr>
                <w:sz w:val="1"/>
                <w:szCs w:val="1"/>
                <w:color w:val="auto"/>
              </w:rPr>
            </w:pPr>
          </w:p>
        </w:tc>
      </w:tr>
      <w:tr>
        <w:trPr>
          <w:trHeight w:val="194"/>
        </w:trPr>
        <w:tc>
          <w:tcPr>
            <w:tcW w:w="4500" w:type="dxa"/>
            <w:vAlign w:val="bottom"/>
          </w:tcPr>
          <w:p>
            <w:pPr>
              <w:spacing w:after="0"/>
              <w:rPr>
                <w:sz w:val="20"/>
                <w:szCs w:val="20"/>
                <w:color w:val="auto"/>
              </w:rPr>
            </w:pPr>
            <w:r>
              <w:rPr>
                <w:rFonts w:ascii="Arial" w:cs="Arial" w:eastAsia="Arial" w:hAnsi="Arial"/>
                <w:sz w:val="16"/>
                <w:szCs w:val="16"/>
                <w:color w:val="auto"/>
              </w:rPr>
              <w:t>Interest expense</w:t>
            </w:r>
          </w:p>
        </w:tc>
        <w:tc>
          <w:tcPr>
            <w:tcW w:w="1240" w:type="dxa"/>
            <w:vAlign w:val="bottom"/>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w:t>
            </w:r>
          </w:p>
        </w:tc>
        <w:tc>
          <w:tcPr>
            <w:tcW w:w="102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w:t>
            </w:r>
          </w:p>
        </w:tc>
        <w:tc>
          <w:tcPr>
            <w:tcW w:w="4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(67)</w:t>
            </w:r>
          </w:p>
        </w:tc>
        <w:tc>
          <w:tcPr>
            <w:tcW w:w="3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(62)</w:t>
            </w:r>
          </w:p>
        </w:tc>
        <w:tc>
          <w:tcPr>
            <w:tcW w:w="0" w:type="dxa"/>
            <w:vAlign w:val="bottom"/>
          </w:tcPr>
          <w:p>
            <w:pPr>
              <w:spacing w:after="0"/>
              <w:rPr>
                <w:sz w:val="1"/>
                <w:szCs w:val="1"/>
                <w:color w:val="auto"/>
              </w:rPr>
            </w:pPr>
          </w:p>
        </w:tc>
      </w:tr>
      <w:tr>
        <w:trPr>
          <w:trHeight w:val="164"/>
        </w:trPr>
        <w:tc>
          <w:tcPr>
            <w:tcW w:w="4500" w:type="dxa"/>
            <w:vAlign w:val="bottom"/>
          </w:tcPr>
          <w:p>
            <w:pPr>
              <w:spacing w:after="0" w:line="164" w:lineRule="exact"/>
              <w:rPr>
                <w:sz w:val="20"/>
                <w:szCs w:val="20"/>
                <w:color w:val="auto"/>
              </w:rPr>
            </w:pPr>
            <w:r>
              <w:rPr>
                <w:rFonts w:ascii="Arial" w:cs="Arial" w:eastAsia="Arial" w:hAnsi="Arial"/>
                <w:sz w:val="16"/>
                <w:szCs w:val="16"/>
                <w:color w:val="auto"/>
              </w:rPr>
              <w:t>Income before income taxes</w:t>
            </w:r>
          </w:p>
        </w:tc>
        <w:tc>
          <w:tcPr>
            <w:tcW w:w="12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40" w:type="dxa"/>
            <w:vAlign w:val="bottom"/>
          </w:tcPr>
          <w:p>
            <w:pPr>
              <w:jc w:val="right"/>
              <w:spacing w:after="0" w:line="164" w:lineRule="exact"/>
              <w:rPr>
                <w:sz w:val="20"/>
                <w:szCs w:val="20"/>
                <w:color w:val="auto"/>
              </w:rPr>
            </w:pPr>
            <w:r>
              <w:rPr>
                <w:rFonts w:ascii="Arial" w:cs="Arial" w:eastAsia="Arial" w:hAnsi="Arial"/>
                <w:sz w:val="16"/>
                <w:szCs w:val="16"/>
                <w:color w:val="auto"/>
              </w:rPr>
              <w:t>95</w:t>
            </w:r>
          </w:p>
        </w:tc>
        <w:tc>
          <w:tcPr>
            <w:tcW w:w="1020" w:type="dxa"/>
            <w:vAlign w:val="bottom"/>
          </w:tcPr>
          <w:p>
            <w:pPr>
              <w:spacing w:after="0"/>
              <w:rPr>
                <w:sz w:val="14"/>
                <w:szCs w:val="14"/>
                <w:color w:val="auto"/>
              </w:rPr>
            </w:pPr>
          </w:p>
        </w:tc>
        <w:tc>
          <w:tcPr>
            <w:tcW w:w="400" w:type="dxa"/>
            <w:vAlign w:val="bottom"/>
          </w:tcPr>
          <w:p>
            <w:pPr>
              <w:jc w:val="right"/>
              <w:spacing w:after="0" w:line="164" w:lineRule="exact"/>
              <w:rPr>
                <w:sz w:val="20"/>
                <w:szCs w:val="20"/>
                <w:color w:val="auto"/>
              </w:rPr>
            </w:pPr>
            <w:r>
              <w:rPr>
                <w:rFonts w:ascii="Arial" w:cs="Arial" w:eastAsia="Arial" w:hAnsi="Arial"/>
                <w:sz w:val="16"/>
                <w:szCs w:val="16"/>
                <w:color w:val="auto"/>
              </w:rPr>
              <w:t>99</w:t>
            </w:r>
          </w:p>
        </w:tc>
        <w:tc>
          <w:tcPr>
            <w:tcW w:w="460" w:type="dxa"/>
            <w:vAlign w:val="bottom"/>
          </w:tcPr>
          <w:p>
            <w:pPr>
              <w:spacing w:after="0"/>
              <w:rPr>
                <w:sz w:val="14"/>
                <w:szCs w:val="14"/>
                <w:color w:val="auto"/>
              </w:rPr>
            </w:pPr>
          </w:p>
        </w:tc>
        <w:tc>
          <w:tcPr>
            <w:tcW w:w="960" w:type="dxa"/>
            <w:vAlign w:val="bottom"/>
          </w:tcPr>
          <w:p>
            <w:pPr>
              <w:jc w:val="right"/>
              <w:spacing w:after="0" w:line="164" w:lineRule="exact"/>
              <w:rPr>
                <w:sz w:val="20"/>
                <w:szCs w:val="20"/>
                <w:color w:val="auto"/>
              </w:rPr>
            </w:pPr>
            <w:r>
              <w:rPr>
                <w:rFonts w:ascii="Arial" w:cs="Arial" w:eastAsia="Arial" w:hAnsi="Arial"/>
                <w:sz w:val="16"/>
                <w:szCs w:val="16"/>
                <w:color w:val="auto"/>
              </w:rPr>
              <w:t>238</w:t>
            </w:r>
          </w:p>
        </w:tc>
        <w:tc>
          <w:tcPr>
            <w:tcW w:w="320" w:type="dxa"/>
            <w:vAlign w:val="bottom"/>
          </w:tcPr>
          <w:p>
            <w:pPr>
              <w:spacing w:after="0"/>
              <w:rPr>
                <w:sz w:val="14"/>
                <w:szCs w:val="14"/>
                <w:color w:val="auto"/>
              </w:rPr>
            </w:pPr>
          </w:p>
        </w:tc>
        <w:tc>
          <w:tcPr>
            <w:tcW w:w="1120" w:type="dxa"/>
            <w:vAlign w:val="bottom"/>
          </w:tcPr>
          <w:p>
            <w:pPr>
              <w:jc w:val="right"/>
              <w:spacing w:after="0" w:line="164" w:lineRule="exact"/>
              <w:rPr>
                <w:sz w:val="20"/>
                <w:szCs w:val="20"/>
                <w:color w:val="auto"/>
              </w:rPr>
            </w:pPr>
            <w:r>
              <w:rPr>
                <w:rFonts w:ascii="Arial" w:cs="Arial" w:eastAsia="Arial" w:hAnsi="Arial"/>
                <w:sz w:val="16"/>
                <w:szCs w:val="16"/>
                <w:color w:val="auto"/>
              </w:rPr>
              <w:t>206</w:t>
            </w:r>
          </w:p>
        </w:tc>
        <w:tc>
          <w:tcPr>
            <w:tcW w:w="0" w:type="dxa"/>
            <w:vAlign w:val="bottom"/>
          </w:tcPr>
          <w:p>
            <w:pPr>
              <w:spacing w:after="0"/>
              <w:rPr>
                <w:sz w:val="1"/>
                <w:szCs w:val="1"/>
                <w:color w:val="auto"/>
              </w:rPr>
            </w:pPr>
          </w:p>
        </w:tc>
      </w:tr>
      <w:tr>
        <w:trPr>
          <w:trHeight w:val="194"/>
        </w:trPr>
        <w:tc>
          <w:tcPr>
            <w:tcW w:w="4500" w:type="dxa"/>
            <w:vAlign w:val="bottom"/>
          </w:tcPr>
          <w:p>
            <w:pPr>
              <w:spacing w:after="0"/>
              <w:rPr>
                <w:sz w:val="20"/>
                <w:szCs w:val="20"/>
                <w:color w:val="auto"/>
              </w:rPr>
            </w:pPr>
            <w:r>
              <w:rPr>
                <w:rFonts w:ascii="Arial" w:cs="Arial" w:eastAsia="Arial" w:hAnsi="Arial"/>
                <w:sz w:val="16"/>
                <w:szCs w:val="16"/>
                <w:color w:val="auto"/>
              </w:rPr>
              <w:t>Income tax expense</w:t>
            </w:r>
          </w:p>
        </w:tc>
        <w:tc>
          <w:tcPr>
            <w:tcW w:w="1240" w:type="dxa"/>
            <w:vAlign w:val="bottom"/>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w:t>
            </w:r>
          </w:p>
        </w:tc>
        <w:tc>
          <w:tcPr>
            <w:tcW w:w="102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(44)</w:t>
            </w:r>
          </w:p>
        </w:tc>
        <w:tc>
          <w:tcPr>
            <w:tcW w:w="4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(91)</w:t>
            </w:r>
          </w:p>
        </w:tc>
        <w:tc>
          <w:tcPr>
            <w:tcW w:w="3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(75)</w:t>
            </w:r>
          </w:p>
        </w:tc>
        <w:tc>
          <w:tcPr>
            <w:tcW w:w="0" w:type="dxa"/>
            <w:vAlign w:val="bottom"/>
          </w:tcPr>
          <w:p>
            <w:pPr>
              <w:spacing w:after="0"/>
              <w:rPr>
                <w:sz w:val="1"/>
                <w:szCs w:val="1"/>
                <w:color w:val="auto"/>
              </w:rPr>
            </w:pPr>
          </w:p>
        </w:tc>
      </w:tr>
      <w:tr>
        <w:trPr>
          <w:trHeight w:val="164"/>
        </w:trPr>
        <w:tc>
          <w:tcPr>
            <w:tcW w:w="4500" w:type="dxa"/>
            <w:vAlign w:val="bottom"/>
          </w:tcPr>
          <w:p>
            <w:pPr>
              <w:spacing w:after="0" w:line="164" w:lineRule="exact"/>
              <w:rPr>
                <w:sz w:val="20"/>
                <w:szCs w:val="20"/>
                <w:color w:val="auto"/>
              </w:rPr>
            </w:pPr>
            <w:r>
              <w:rPr>
                <w:rFonts w:ascii="Arial" w:cs="Arial" w:eastAsia="Arial" w:hAnsi="Arial"/>
                <w:sz w:val="16"/>
                <w:szCs w:val="16"/>
                <w:color w:val="auto"/>
              </w:rPr>
              <w:t>Net income</w:t>
            </w:r>
          </w:p>
        </w:tc>
        <w:tc>
          <w:tcPr>
            <w:tcW w:w="12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40" w:type="dxa"/>
            <w:vAlign w:val="bottom"/>
          </w:tcPr>
          <w:p>
            <w:pPr>
              <w:jc w:val="right"/>
              <w:spacing w:after="0" w:line="164" w:lineRule="exact"/>
              <w:rPr>
                <w:sz w:val="20"/>
                <w:szCs w:val="20"/>
                <w:color w:val="auto"/>
              </w:rPr>
            </w:pPr>
            <w:r>
              <w:rPr>
                <w:rFonts w:ascii="Arial" w:cs="Arial" w:eastAsia="Arial" w:hAnsi="Arial"/>
                <w:sz w:val="16"/>
                <w:szCs w:val="16"/>
                <w:color w:val="auto"/>
              </w:rPr>
              <w:t>53</w:t>
            </w:r>
          </w:p>
        </w:tc>
        <w:tc>
          <w:tcPr>
            <w:tcW w:w="1020" w:type="dxa"/>
            <w:vAlign w:val="bottom"/>
          </w:tcPr>
          <w:p>
            <w:pPr>
              <w:spacing w:after="0"/>
              <w:rPr>
                <w:sz w:val="14"/>
                <w:szCs w:val="14"/>
                <w:color w:val="auto"/>
              </w:rPr>
            </w:pPr>
          </w:p>
        </w:tc>
        <w:tc>
          <w:tcPr>
            <w:tcW w:w="400" w:type="dxa"/>
            <w:vAlign w:val="bottom"/>
          </w:tcPr>
          <w:p>
            <w:pPr>
              <w:jc w:val="right"/>
              <w:spacing w:after="0" w:line="164" w:lineRule="exact"/>
              <w:rPr>
                <w:sz w:val="20"/>
                <w:szCs w:val="20"/>
                <w:color w:val="auto"/>
              </w:rPr>
            </w:pPr>
            <w:r>
              <w:rPr>
                <w:rFonts w:ascii="Arial" w:cs="Arial" w:eastAsia="Arial" w:hAnsi="Arial"/>
                <w:sz w:val="16"/>
                <w:szCs w:val="16"/>
                <w:color w:val="auto"/>
              </w:rPr>
              <w:t>55</w:t>
            </w:r>
          </w:p>
        </w:tc>
        <w:tc>
          <w:tcPr>
            <w:tcW w:w="460" w:type="dxa"/>
            <w:vAlign w:val="bottom"/>
          </w:tcPr>
          <w:p>
            <w:pPr>
              <w:spacing w:after="0"/>
              <w:rPr>
                <w:sz w:val="14"/>
                <w:szCs w:val="14"/>
                <w:color w:val="auto"/>
              </w:rPr>
            </w:pPr>
          </w:p>
        </w:tc>
        <w:tc>
          <w:tcPr>
            <w:tcW w:w="960" w:type="dxa"/>
            <w:vAlign w:val="bottom"/>
          </w:tcPr>
          <w:p>
            <w:pPr>
              <w:jc w:val="right"/>
              <w:spacing w:after="0" w:line="164" w:lineRule="exact"/>
              <w:rPr>
                <w:sz w:val="20"/>
                <w:szCs w:val="20"/>
                <w:color w:val="auto"/>
              </w:rPr>
            </w:pPr>
            <w:r>
              <w:rPr>
                <w:rFonts w:ascii="Arial" w:cs="Arial" w:eastAsia="Arial" w:hAnsi="Arial"/>
                <w:sz w:val="16"/>
                <w:szCs w:val="16"/>
                <w:color w:val="auto"/>
              </w:rPr>
              <w:t>147</w:t>
            </w:r>
          </w:p>
        </w:tc>
        <w:tc>
          <w:tcPr>
            <w:tcW w:w="320" w:type="dxa"/>
            <w:vAlign w:val="bottom"/>
          </w:tcPr>
          <w:p>
            <w:pPr>
              <w:spacing w:after="0"/>
              <w:rPr>
                <w:sz w:val="14"/>
                <w:szCs w:val="14"/>
                <w:color w:val="auto"/>
              </w:rPr>
            </w:pPr>
          </w:p>
        </w:tc>
        <w:tc>
          <w:tcPr>
            <w:tcW w:w="1120" w:type="dxa"/>
            <w:vAlign w:val="bottom"/>
          </w:tcPr>
          <w:p>
            <w:pPr>
              <w:jc w:val="right"/>
              <w:spacing w:after="0" w:line="164" w:lineRule="exact"/>
              <w:rPr>
                <w:sz w:val="20"/>
                <w:szCs w:val="20"/>
                <w:color w:val="auto"/>
              </w:rPr>
            </w:pPr>
            <w:r>
              <w:rPr>
                <w:rFonts w:ascii="Arial" w:cs="Arial" w:eastAsia="Arial" w:hAnsi="Arial"/>
                <w:sz w:val="16"/>
                <w:szCs w:val="16"/>
                <w:color w:val="auto"/>
              </w:rPr>
              <w:t>131</w:t>
            </w:r>
          </w:p>
        </w:tc>
        <w:tc>
          <w:tcPr>
            <w:tcW w:w="0" w:type="dxa"/>
            <w:vAlign w:val="bottom"/>
          </w:tcPr>
          <w:p>
            <w:pPr>
              <w:spacing w:after="0"/>
              <w:rPr>
                <w:sz w:val="1"/>
                <w:szCs w:val="1"/>
                <w:color w:val="auto"/>
              </w:rPr>
            </w:pPr>
          </w:p>
        </w:tc>
      </w:tr>
      <w:tr>
        <w:trPr>
          <w:trHeight w:val="194"/>
        </w:trPr>
        <w:tc>
          <w:tcPr>
            <w:tcW w:w="4500" w:type="dxa"/>
            <w:vAlign w:val="bottom"/>
          </w:tcPr>
          <w:p>
            <w:pPr>
              <w:spacing w:after="0"/>
              <w:rPr>
                <w:sz w:val="20"/>
                <w:szCs w:val="20"/>
                <w:color w:val="auto"/>
              </w:rPr>
            </w:pPr>
            <w:r>
              <w:rPr>
                <w:rFonts w:ascii="Arial" w:cs="Arial" w:eastAsia="Arial" w:hAnsi="Arial"/>
                <w:sz w:val="16"/>
                <w:szCs w:val="16"/>
                <w:color w:val="auto"/>
              </w:rPr>
              <w:t>Losses attributable to noncontrolling interests</w:t>
            </w:r>
          </w:p>
        </w:tc>
        <w:tc>
          <w:tcPr>
            <w:tcW w:w="1240" w:type="dxa"/>
            <w:vAlign w:val="bottom"/>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w:t>
            </w:r>
          </w:p>
        </w:tc>
        <w:tc>
          <w:tcPr>
            <w:tcW w:w="102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w:t>
            </w:r>
          </w:p>
        </w:tc>
        <w:tc>
          <w:tcPr>
            <w:tcW w:w="4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w:t>
            </w:r>
          </w:p>
        </w:tc>
        <w:tc>
          <w:tcPr>
            <w:tcW w:w="3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w:t>
            </w:r>
          </w:p>
        </w:tc>
        <w:tc>
          <w:tcPr>
            <w:tcW w:w="0" w:type="dxa"/>
            <w:vAlign w:val="bottom"/>
          </w:tcPr>
          <w:p>
            <w:pPr>
              <w:spacing w:after="0"/>
              <w:rPr>
                <w:sz w:val="1"/>
                <w:szCs w:val="1"/>
                <w:color w:val="auto"/>
              </w:rPr>
            </w:pPr>
          </w:p>
        </w:tc>
      </w:tr>
      <w:tr>
        <w:trPr>
          <w:trHeight w:val="164"/>
        </w:trPr>
        <w:tc>
          <w:tcPr>
            <w:tcW w:w="4500" w:type="dxa"/>
            <w:vAlign w:val="bottom"/>
          </w:tcPr>
          <w:p>
            <w:pPr>
              <w:spacing w:after="0" w:line="164" w:lineRule="exact"/>
              <w:rPr>
                <w:sz w:val="20"/>
                <w:szCs w:val="20"/>
                <w:color w:val="auto"/>
              </w:rPr>
            </w:pPr>
            <w:r>
              <w:rPr>
                <w:rFonts w:ascii="Arial" w:cs="Arial" w:eastAsia="Arial" w:hAnsi="Arial"/>
                <w:sz w:val="16"/>
                <w:szCs w:val="16"/>
                <w:color w:val="auto"/>
              </w:rPr>
              <w:t>Earnings</w:t>
            </w:r>
          </w:p>
        </w:tc>
        <w:tc>
          <w:tcPr>
            <w:tcW w:w="12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40" w:type="dxa"/>
            <w:vAlign w:val="bottom"/>
          </w:tcPr>
          <w:p>
            <w:pPr>
              <w:jc w:val="right"/>
              <w:spacing w:after="0" w:line="164" w:lineRule="exact"/>
              <w:rPr>
                <w:sz w:val="20"/>
                <w:szCs w:val="20"/>
                <w:color w:val="auto"/>
              </w:rPr>
            </w:pPr>
            <w:r>
              <w:rPr>
                <w:rFonts w:ascii="Arial" w:cs="Arial" w:eastAsia="Arial" w:hAnsi="Arial"/>
                <w:sz w:val="16"/>
                <w:szCs w:val="16"/>
                <w:color w:val="auto"/>
              </w:rPr>
              <w:t>72</w:t>
            </w:r>
          </w:p>
        </w:tc>
        <w:tc>
          <w:tcPr>
            <w:tcW w:w="1020" w:type="dxa"/>
            <w:vAlign w:val="bottom"/>
          </w:tcPr>
          <w:p>
            <w:pPr>
              <w:spacing w:after="0"/>
              <w:rPr>
                <w:sz w:val="14"/>
                <w:szCs w:val="14"/>
                <w:color w:val="auto"/>
              </w:rPr>
            </w:pPr>
          </w:p>
        </w:tc>
        <w:tc>
          <w:tcPr>
            <w:tcW w:w="400" w:type="dxa"/>
            <w:vAlign w:val="bottom"/>
          </w:tcPr>
          <w:p>
            <w:pPr>
              <w:jc w:val="right"/>
              <w:spacing w:after="0" w:line="164" w:lineRule="exact"/>
              <w:rPr>
                <w:sz w:val="20"/>
                <w:szCs w:val="20"/>
                <w:color w:val="auto"/>
              </w:rPr>
            </w:pPr>
            <w:r>
              <w:rPr>
                <w:rFonts w:ascii="Arial" w:cs="Arial" w:eastAsia="Arial" w:hAnsi="Arial"/>
                <w:sz w:val="16"/>
                <w:szCs w:val="16"/>
                <w:color w:val="auto"/>
              </w:rPr>
              <w:t>76</w:t>
            </w:r>
          </w:p>
        </w:tc>
        <w:tc>
          <w:tcPr>
            <w:tcW w:w="460" w:type="dxa"/>
            <w:vAlign w:val="bottom"/>
          </w:tcPr>
          <w:p>
            <w:pPr>
              <w:spacing w:after="0"/>
              <w:rPr>
                <w:sz w:val="14"/>
                <w:szCs w:val="14"/>
                <w:color w:val="auto"/>
              </w:rPr>
            </w:pPr>
          </w:p>
        </w:tc>
        <w:tc>
          <w:tcPr>
            <w:tcW w:w="960" w:type="dxa"/>
            <w:vAlign w:val="bottom"/>
          </w:tcPr>
          <w:p>
            <w:pPr>
              <w:jc w:val="right"/>
              <w:spacing w:after="0" w:line="164" w:lineRule="exact"/>
              <w:rPr>
                <w:sz w:val="20"/>
                <w:szCs w:val="20"/>
                <w:color w:val="auto"/>
              </w:rPr>
            </w:pPr>
            <w:r>
              <w:rPr>
                <w:rFonts w:ascii="Arial" w:cs="Arial" w:eastAsia="Arial" w:hAnsi="Arial"/>
                <w:sz w:val="16"/>
                <w:szCs w:val="16"/>
                <w:color w:val="auto"/>
              </w:rPr>
              <w:t>162</w:t>
            </w:r>
          </w:p>
        </w:tc>
        <w:tc>
          <w:tcPr>
            <w:tcW w:w="320" w:type="dxa"/>
            <w:vAlign w:val="bottom"/>
          </w:tcPr>
          <w:p>
            <w:pPr>
              <w:spacing w:after="0"/>
              <w:rPr>
                <w:sz w:val="14"/>
                <w:szCs w:val="14"/>
                <w:color w:val="auto"/>
              </w:rPr>
            </w:pPr>
          </w:p>
        </w:tc>
        <w:tc>
          <w:tcPr>
            <w:tcW w:w="1120" w:type="dxa"/>
            <w:vAlign w:val="bottom"/>
          </w:tcPr>
          <w:p>
            <w:pPr>
              <w:jc w:val="right"/>
              <w:spacing w:after="0" w:line="164" w:lineRule="exact"/>
              <w:rPr>
                <w:sz w:val="20"/>
                <w:szCs w:val="20"/>
                <w:color w:val="auto"/>
              </w:rPr>
            </w:pPr>
            <w:r>
              <w:rPr>
                <w:rFonts w:ascii="Arial" w:cs="Arial" w:eastAsia="Arial" w:hAnsi="Arial"/>
                <w:sz w:val="16"/>
                <w:szCs w:val="16"/>
                <w:color w:val="auto"/>
              </w:rPr>
              <w:t>160</w:t>
            </w:r>
          </w:p>
        </w:tc>
        <w:tc>
          <w:tcPr>
            <w:tcW w:w="0" w:type="dxa"/>
            <w:vAlign w:val="bottom"/>
          </w:tcPr>
          <w:p>
            <w:pPr>
              <w:spacing w:after="0"/>
              <w:rPr>
                <w:sz w:val="1"/>
                <w:szCs w:val="1"/>
                <w:color w:val="auto"/>
              </w:rPr>
            </w:pPr>
          </w:p>
        </w:tc>
      </w:tr>
      <w:tr>
        <w:trPr>
          <w:trHeight w:val="194"/>
        </w:trPr>
        <w:tc>
          <w:tcPr>
            <w:tcW w:w="4500" w:type="dxa"/>
            <w:vAlign w:val="bottom"/>
          </w:tcPr>
          <w:p>
            <w:pPr>
              <w:spacing w:after="0"/>
              <w:rPr>
                <w:sz w:val="20"/>
                <w:szCs w:val="20"/>
                <w:color w:val="auto"/>
              </w:rPr>
            </w:pPr>
            <w:r>
              <w:rPr>
                <w:rFonts w:ascii="Arial" w:cs="Arial" w:eastAsia="Arial" w:hAnsi="Arial"/>
                <w:sz w:val="16"/>
                <w:szCs w:val="16"/>
                <w:color w:val="auto"/>
              </w:rPr>
              <w:t>Preferred dividend requirements</w:t>
            </w:r>
          </w:p>
        </w:tc>
        <w:tc>
          <w:tcPr>
            <w:tcW w:w="1240" w:type="dxa"/>
            <w:vAlign w:val="bottom"/>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102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4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w:t>
            </w:r>
          </w:p>
        </w:tc>
        <w:tc>
          <w:tcPr>
            <w:tcW w:w="3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195"/>
        </w:trPr>
        <w:tc>
          <w:tcPr>
            <w:tcW w:w="4500" w:type="dxa"/>
            <w:vAlign w:val="bottom"/>
          </w:tcPr>
          <w:p>
            <w:pPr>
              <w:spacing w:after="0"/>
              <w:rPr>
                <w:sz w:val="20"/>
                <w:szCs w:val="20"/>
                <w:color w:val="auto"/>
              </w:rPr>
            </w:pPr>
            <w:r>
              <w:rPr>
                <w:rFonts w:ascii="Arial" w:cs="Arial" w:eastAsia="Arial" w:hAnsi="Arial"/>
                <w:sz w:val="16"/>
                <w:szCs w:val="16"/>
                <w:color w:val="auto"/>
              </w:rPr>
              <w:t>Earnings attributable to common shares</w:t>
            </w:r>
          </w:p>
        </w:tc>
        <w:tc>
          <w:tcPr>
            <w:tcW w:w="1240" w:type="dxa"/>
            <w:vAlign w:val="bottom"/>
          </w:tcPr>
          <w:p>
            <w:pPr>
              <w:spacing w:after="0"/>
              <w:rPr>
                <w:sz w:val="16"/>
                <w:szCs w:val="16"/>
                <w:color w:val="auto"/>
              </w:rPr>
            </w:pPr>
          </w:p>
        </w:tc>
        <w:tc>
          <w:tcPr>
            <w:tcW w:w="960" w:type="dxa"/>
            <w:vAlign w:val="bottom"/>
          </w:tcPr>
          <w:p>
            <w:pPr>
              <w:jc w:val="right"/>
              <w:ind w:right="806"/>
              <w:spacing w:after="0"/>
              <w:rPr>
                <w:sz w:val="20"/>
                <w:szCs w:val="20"/>
                <w:color w:val="auto"/>
              </w:rPr>
            </w:pPr>
            <w:r>
              <w:rPr>
                <w:rFonts w:ascii="Arial" w:cs="Arial" w:eastAsia="Arial" w:hAnsi="Arial"/>
                <w:sz w:val="15"/>
                <w:szCs w:val="15"/>
                <w:color w:val="auto"/>
                <w:w w:val="71"/>
              </w:rPr>
              <w:t>$</w:t>
            </w:r>
          </w:p>
        </w:tc>
        <w:tc>
          <w:tcPr>
            <w:tcW w:w="440" w:type="dxa"/>
            <w:vAlign w:val="bottom"/>
          </w:tcPr>
          <w:p>
            <w:pPr>
              <w:jc w:val="right"/>
              <w:spacing w:after="0"/>
              <w:rPr>
                <w:sz w:val="20"/>
                <w:szCs w:val="20"/>
                <w:color w:val="auto"/>
              </w:rPr>
            </w:pPr>
            <w:r>
              <w:rPr>
                <w:rFonts w:ascii="Arial" w:cs="Arial" w:eastAsia="Arial" w:hAnsi="Arial"/>
                <w:sz w:val="16"/>
                <w:szCs w:val="16"/>
                <w:color w:val="auto"/>
              </w:rPr>
              <w:t>71</w:t>
            </w:r>
          </w:p>
        </w:tc>
        <w:tc>
          <w:tcPr>
            <w:tcW w:w="1020" w:type="dxa"/>
            <w:vAlign w:val="bottom"/>
          </w:tcPr>
          <w:p>
            <w:pPr>
              <w:jc w:val="right"/>
              <w:ind w:right="865"/>
              <w:spacing w:after="0"/>
              <w:rPr>
                <w:sz w:val="20"/>
                <w:szCs w:val="20"/>
                <w:color w:val="auto"/>
              </w:rPr>
            </w:pPr>
            <w:r>
              <w:rPr>
                <w:rFonts w:ascii="Arial" w:cs="Arial" w:eastAsia="Arial" w:hAnsi="Arial"/>
                <w:sz w:val="15"/>
                <w:szCs w:val="15"/>
                <w:color w:val="auto"/>
                <w:w w:val="71"/>
              </w:rPr>
              <w:t>$</w:t>
            </w:r>
          </w:p>
        </w:tc>
        <w:tc>
          <w:tcPr>
            <w:tcW w:w="400" w:type="dxa"/>
            <w:vAlign w:val="bottom"/>
          </w:tcPr>
          <w:p>
            <w:pPr>
              <w:jc w:val="right"/>
              <w:spacing w:after="0"/>
              <w:rPr>
                <w:sz w:val="20"/>
                <w:szCs w:val="20"/>
                <w:color w:val="auto"/>
              </w:rPr>
            </w:pPr>
            <w:r>
              <w:rPr>
                <w:rFonts w:ascii="Arial" w:cs="Arial" w:eastAsia="Arial" w:hAnsi="Arial"/>
                <w:sz w:val="16"/>
                <w:szCs w:val="16"/>
                <w:color w:val="auto"/>
              </w:rPr>
              <w:t>75</w:t>
            </w:r>
          </w:p>
        </w:tc>
        <w:tc>
          <w:tcPr>
            <w:tcW w:w="460" w:type="dxa"/>
            <w:vAlign w:val="bottom"/>
          </w:tcPr>
          <w:p>
            <w:pPr>
              <w:jc w:val="right"/>
              <w:ind w:right="304"/>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160</w:t>
            </w:r>
          </w:p>
        </w:tc>
        <w:tc>
          <w:tcPr>
            <w:tcW w:w="320" w:type="dxa"/>
            <w:vAlign w:val="bottom"/>
          </w:tcPr>
          <w:p>
            <w:pPr>
              <w:jc w:val="right"/>
              <w:ind w:right="164"/>
              <w:spacing w:after="0"/>
              <w:rPr>
                <w:sz w:val="20"/>
                <w:szCs w:val="20"/>
                <w:color w:val="auto"/>
              </w:rPr>
            </w:pPr>
            <w:r>
              <w:rPr>
                <w:rFonts w:ascii="Arial" w:cs="Arial" w:eastAsia="Arial" w:hAnsi="Arial"/>
                <w:sz w:val="15"/>
                <w:szCs w:val="15"/>
                <w:color w:val="auto"/>
                <w:w w:val="71"/>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158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2466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rPr>
          <w:sz w:val="20"/>
          <w:szCs w:val="20"/>
          <w:color w:val="auto"/>
        </w:rPr>
      </w:pPr>
      <w:r>
        <w:rPr>
          <w:rFonts w:ascii="Arial" w:cs="Arial" w:eastAsia="Arial" w:hAnsi="Arial"/>
          <w:sz w:val="14"/>
          <w:szCs w:val="14"/>
          <w:i w:val="1"/>
          <w:iCs w:val="1"/>
          <w:color w:val="auto"/>
        </w:rPr>
        <w:t>See Notes to Condensed Consolidated Financial Statements.</w:t>
      </w:r>
    </w:p>
    <w:p>
      <w:pPr>
        <w:sectPr>
          <w:pgSz w:w="11900" w:h="16838" w:orient="portrait"/>
          <w:cols w:equalWidth="0" w:num="1">
            <w:col w:w="11420"/>
          </w:cols>
          <w:pgMar w:left="240" w:top="513" w:right="239" w:bottom="1440" w:gutter="0" w:footer="0" w:header="0"/>
        </w:sectPr>
      </w:pPr>
    </w:p>
    <w:bookmarkStart w:id="12" w:name="page13"/>
    <w:bookmarkEnd w:id="12"/>
    <w:p>
      <w:pPr>
        <w:spacing w:after="0"/>
        <w:rPr>
          <w:sz w:val="20"/>
          <w:szCs w:val="20"/>
          <w:color w:val="auto"/>
        </w:rPr>
      </w:pPr>
      <w:r>
        <w:rPr>
          <w:rFonts w:ascii="Arial" w:cs="Arial" w:eastAsia="Arial" w:hAnsi="Arial"/>
          <w:sz w:val="16"/>
          <w:szCs w:val="16"/>
          <w:b w:val="1"/>
          <w:bCs w:val="1"/>
          <w:color w:val="auto"/>
        </w:rPr>
        <w:t>SAN DIEGO GAS &amp; ELECTRIC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-104775</wp:posOffset>
            </wp:positionV>
            <wp:extent cx="7246620" cy="3346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334645"/>
                    </a:xfrm>
                    <a:prstGeom prst="rect">
                      <a:avLst/>
                    </a:prstGeom>
                    <a:noFill/>
                  </pic:spPr>
                </pic:pic>
              </a:graphicData>
            </a:graphic>
          </wp:anchor>
        </w:drawing>
      </w:r>
    </w:p>
    <w:p>
      <w:pPr>
        <w:spacing w:after="0"/>
        <w:rPr>
          <w:sz w:val="20"/>
          <w:szCs w:val="20"/>
          <w:color w:val="auto"/>
        </w:rPr>
      </w:pPr>
      <w:r>
        <w:rPr>
          <w:rFonts w:ascii="Arial" w:cs="Arial" w:eastAsia="Arial" w:hAnsi="Arial"/>
          <w:sz w:val="16"/>
          <w:szCs w:val="16"/>
          <w:b w:val="1"/>
          <w:bCs w:val="1"/>
          <w:color w:val="auto"/>
        </w:rPr>
        <w:t>CONDENSED CONSOLIDATED BALANCE SHEETS</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8580" w:type="dxa"/>
            <w:vAlign w:val="bottom"/>
            <w:gridSpan w:val="2"/>
          </w:tcPr>
          <w:p>
            <w:pPr>
              <w:spacing w:after="0"/>
              <w:rPr>
                <w:sz w:val="20"/>
                <w:szCs w:val="20"/>
                <w:color w:val="auto"/>
              </w:rPr>
            </w:pPr>
            <w:r>
              <w:rPr>
                <w:rFonts w:ascii="Arial" w:cs="Arial" w:eastAsia="Arial" w:hAnsi="Arial"/>
                <w:sz w:val="14"/>
                <w:szCs w:val="14"/>
                <w:i w:val="1"/>
                <w:iCs w:val="1"/>
                <w:color w:val="auto"/>
              </w:rPr>
              <w:t>(Dollars in millions)</w:t>
            </w:r>
          </w:p>
        </w:tc>
        <w:tc>
          <w:tcPr>
            <w:tcW w:w="2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2"/>
        </w:trPr>
        <w:tc>
          <w:tcPr>
            <w:tcW w:w="180" w:type="dxa"/>
            <w:vAlign w:val="bottom"/>
          </w:tcPr>
          <w:p>
            <w:pPr>
              <w:spacing w:after="0"/>
              <w:rPr>
                <w:sz w:val="14"/>
                <w:szCs w:val="14"/>
                <w:color w:val="auto"/>
              </w:rPr>
            </w:pPr>
          </w:p>
        </w:tc>
        <w:tc>
          <w:tcPr>
            <w:tcW w:w="8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0" w:type="dxa"/>
            <w:vAlign w:val="bottom"/>
          </w:tcPr>
          <w:p>
            <w:pPr>
              <w:jc w:val="center"/>
              <w:ind w:right="120"/>
              <w:spacing w:after="0"/>
              <w:rPr>
                <w:sz w:val="20"/>
                <w:szCs w:val="20"/>
                <w:color w:val="auto"/>
              </w:rPr>
            </w:pPr>
            <w:r>
              <w:rPr>
                <w:rFonts w:ascii="Arial" w:cs="Arial" w:eastAsia="Arial" w:hAnsi="Arial"/>
                <w:sz w:val="14"/>
                <w:szCs w:val="14"/>
                <w:color w:val="auto"/>
              </w:rPr>
              <w:t>June 30,</w:t>
            </w:r>
          </w:p>
        </w:tc>
        <w:tc>
          <w:tcPr>
            <w:tcW w:w="180" w:type="dxa"/>
            <w:vAlign w:val="bottom"/>
          </w:tcPr>
          <w:p>
            <w:pPr>
              <w:spacing w:after="0"/>
              <w:rPr>
                <w:sz w:val="14"/>
                <w:szCs w:val="14"/>
                <w:color w:val="auto"/>
              </w:rPr>
            </w:pPr>
          </w:p>
        </w:tc>
        <w:tc>
          <w:tcPr>
            <w:tcW w:w="1260" w:type="dxa"/>
            <w:vAlign w:val="bottom"/>
          </w:tcPr>
          <w:p>
            <w:pPr>
              <w:jc w:val="right"/>
              <w:ind w:right="180"/>
              <w:spacing w:after="0"/>
              <w:rPr>
                <w:sz w:val="20"/>
                <w:szCs w:val="20"/>
                <w:color w:val="auto"/>
              </w:rPr>
            </w:pPr>
            <w:r>
              <w:rPr>
                <w:rFonts w:ascii="Arial" w:cs="Arial" w:eastAsia="Arial" w:hAnsi="Arial"/>
                <w:sz w:val="14"/>
                <w:szCs w:val="14"/>
                <w:color w:val="auto"/>
              </w:rPr>
              <w:t>December 31,</w:t>
            </w:r>
          </w:p>
        </w:tc>
        <w:tc>
          <w:tcPr>
            <w:tcW w:w="0" w:type="dxa"/>
            <w:vAlign w:val="bottom"/>
          </w:tcPr>
          <w:p>
            <w:pPr>
              <w:spacing w:after="0"/>
              <w:rPr>
                <w:sz w:val="1"/>
                <w:szCs w:val="1"/>
                <w:color w:val="auto"/>
              </w:rPr>
            </w:pPr>
          </w:p>
        </w:tc>
      </w:tr>
      <w:tr>
        <w:trPr>
          <w:trHeight w:val="168"/>
        </w:trPr>
        <w:tc>
          <w:tcPr>
            <w:tcW w:w="180" w:type="dxa"/>
            <w:vAlign w:val="bottom"/>
            <w:tcBorders>
              <w:bottom w:val="single" w:sz="8" w:color="auto"/>
            </w:tcBorders>
          </w:tcPr>
          <w:p>
            <w:pPr>
              <w:spacing w:after="0"/>
              <w:rPr>
                <w:sz w:val="14"/>
                <w:szCs w:val="14"/>
                <w:color w:val="auto"/>
              </w:rPr>
            </w:pPr>
          </w:p>
        </w:tc>
        <w:tc>
          <w:tcPr>
            <w:tcW w:w="84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center"/>
              <w:ind w:right="160"/>
              <w:spacing w:after="0"/>
              <w:rPr>
                <w:sz w:val="20"/>
                <w:szCs w:val="20"/>
                <w:color w:val="auto"/>
              </w:rPr>
            </w:pPr>
            <w:r>
              <w:rPr>
                <w:rFonts w:ascii="Arial" w:cs="Arial" w:eastAsia="Arial" w:hAnsi="Arial"/>
                <w:sz w:val="14"/>
                <w:szCs w:val="14"/>
                <w:color w:val="auto"/>
              </w:rPr>
              <w:t>2011</w:t>
            </w:r>
          </w:p>
        </w:tc>
        <w:tc>
          <w:tcPr>
            <w:tcW w:w="18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right"/>
              <w:ind w:right="380"/>
              <w:spacing w:after="0"/>
              <w:rPr>
                <w:sz w:val="20"/>
                <w:szCs w:val="20"/>
                <w:color w:val="auto"/>
              </w:rPr>
            </w:pPr>
            <w:r>
              <w:rPr>
                <w:rFonts w:ascii="Arial" w:cs="Arial" w:eastAsia="Arial" w:hAnsi="Arial"/>
                <w:sz w:val="14"/>
                <w:szCs w:val="14"/>
                <w:color w:val="auto"/>
              </w:rPr>
              <w:t>2010(1)</w:t>
            </w:r>
          </w:p>
        </w:tc>
        <w:tc>
          <w:tcPr>
            <w:tcW w:w="0" w:type="dxa"/>
            <w:vAlign w:val="bottom"/>
          </w:tcPr>
          <w:p>
            <w:pPr>
              <w:spacing w:after="0"/>
              <w:rPr>
                <w:sz w:val="1"/>
                <w:szCs w:val="1"/>
                <w:color w:val="auto"/>
              </w:rPr>
            </w:pPr>
          </w:p>
        </w:tc>
      </w:tr>
      <w:tr>
        <w:trPr>
          <w:trHeight w:val="191"/>
        </w:trPr>
        <w:tc>
          <w:tcPr>
            <w:tcW w:w="8580" w:type="dxa"/>
            <w:vAlign w:val="bottom"/>
            <w:gridSpan w:val="2"/>
            <w:vMerge w:val="restart"/>
          </w:tcPr>
          <w:p>
            <w:pPr>
              <w:spacing w:after="0"/>
              <w:rPr>
                <w:sz w:val="20"/>
                <w:szCs w:val="20"/>
                <w:color w:val="auto"/>
              </w:rPr>
            </w:pPr>
            <w:r>
              <w:rPr>
                <w:rFonts w:ascii="Arial" w:cs="Arial" w:eastAsia="Arial" w:hAnsi="Arial"/>
                <w:sz w:val="16"/>
                <w:szCs w:val="16"/>
                <w:color w:val="auto"/>
              </w:rPr>
              <w:t>ASSETS</w:t>
            </w:r>
          </w:p>
        </w:tc>
        <w:tc>
          <w:tcPr>
            <w:tcW w:w="200" w:type="dxa"/>
            <w:vAlign w:val="bottom"/>
          </w:tcPr>
          <w:p>
            <w:pPr>
              <w:spacing w:after="0"/>
              <w:rPr>
                <w:sz w:val="16"/>
                <w:szCs w:val="16"/>
                <w:color w:val="auto"/>
              </w:rPr>
            </w:pPr>
          </w:p>
        </w:tc>
        <w:tc>
          <w:tcPr>
            <w:tcW w:w="1200" w:type="dxa"/>
            <w:vAlign w:val="bottom"/>
          </w:tcPr>
          <w:p>
            <w:pPr>
              <w:jc w:val="center"/>
              <w:ind w:right="120"/>
              <w:spacing w:after="0"/>
              <w:rPr>
                <w:sz w:val="20"/>
                <w:szCs w:val="20"/>
                <w:color w:val="auto"/>
              </w:rPr>
            </w:pPr>
            <w:r>
              <w:rPr>
                <w:rFonts w:ascii="Arial" w:cs="Arial" w:eastAsia="Arial" w:hAnsi="Arial"/>
                <w:sz w:val="14"/>
                <w:szCs w:val="14"/>
                <w:color w:val="auto"/>
              </w:rPr>
              <w:t>(unaudited)</w:t>
            </w:r>
          </w:p>
        </w:tc>
        <w:tc>
          <w:tcPr>
            <w:tcW w:w="1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858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8580" w:type="dxa"/>
            <w:vAlign w:val="bottom"/>
            <w:gridSpan w:val="2"/>
          </w:tcPr>
          <w:p>
            <w:pPr>
              <w:spacing w:after="0" w:line="176" w:lineRule="exact"/>
              <w:rPr>
                <w:sz w:val="20"/>
                <w:szCs w:val="20"/>
                <w:color w:val="auto"/>
              </w:rPr>
            </w:pPr>
            <w:r>
              <w:rPr>
                <w:rFonts w:ascii="Arial" w:cs="Arial" w:eastAsia="Arial" w:hAnsi="Arial"/>
                <w:sz w:val="16"/>
                <w:szCs w:val="16"/>
                <w:color w:val="auto"/>
              </w:rPr>
              <w:t>Current assets:</w:t>
            </w:r>
          </w:p>
        </w:tc>
        <w:tc>
          <w:tcPr>
            <w:tcW w:w="2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80" w:type="dxa"/>
            <w:vAlign w:val="bottom"/>
          </w:tcPr>
          <w:p>
            <w:pPr>
              <w:spacing w:after="0"/>
              <w:rPr>
                <w:sz w:val="15"/>
                <w:szCs w:val="15"/>
                <w:color w:val="auto"/>
              </w:rPr>
            </w:pPr>
          </w:p>
        </w:tc>
        <w:tc>
          <w:tcPr>
            <w:tcW w:w="8400" w:type="dxa"/>
            <w:vAlign w:val="bottom"/>
          </w:tcPr>
          <w:p>
            <w:pPr>
              <w:spacing w:after="0" w:line="176" w:lineRule="exact"/>
              <w:rPr>
                <w:sz w:val="20"/>
                <w:szCs w:val="20"/>
                <w:color w:val="auto"/>
              </w:rPr>
            </w:pPr>
            <w:r>
              <w:rPr>
                <w:rFonts w:ascii="Arial" w:cs="Arial" w:eastAsia="Arial" w:hAnsi="Arial"/>
                <w:sz w:val="16"/>
                <w:szCs w:val="16"/>
                <w:color w:val="auto"/>
              </w:rPr>
              <w:t>Cash and cash equivalents</w:t>
            </w:r>
          </w:p>
        </w:tc>
        <w:tc>
          <w:tcPr>
            <w:tcW w:w="200" w:type="dxa"/>
            <w:vAlign w:val="bottom"/>
          </w:tcPr>
          <w:p>
            <w:pPr>
              <w:jc w:val="right"/>
              <w:ind w:right="44"/>
              <w:spacing w:after="0"/>
              <w:rPr>
                <w:sz w:val="20"/>
                <w:szCs w:val="20"/>
                <w:color w:val="auto"/>
              </w:rPr>
            </w:pPr>
            <w:r>
              <w:rPr>
                <w:rFonts w:ascii="Arial" w:cs="Arial" w:eastAsia="Arial" w:hAnsi="Arial"/>
                <w:sz w:val="15"/>
                <w:szCs w:val="15"/>
                <w:color w:val="auto"/>
                <w:w w:val="71"/>
              </w:rPr>
              <w:t>$</w:t>
            </w:r>
          </w:p>
        </w:tc>
        <w:tc>
          <w:tcPr>
            <w:tcW w:w="1200" w:type="dxa"/>
            <w:vAlign w:val="bottom"/>
          </w:tcPr>
          <w:p>
            <w:pPr>
              <w:jc w:val="right"/>
              <w:spacing w:after="0" w:line="176" w:lineRule="exact"/>
              <w:rPr>
                <w:sz w:val="20"/>
                <w:szCs w:val="20"/>
                <w:color w:val="auto"/>
              </w:rPr>
            </w:pPr>
            <w:r>
              <w:rPr>
                <w:rFonts w:ascii="Arial" w:cs="Arial" w:eastAsia="Arial" w:hAnsi="Arial"/>
                <w:sz w:val="16"/>
                <w:szCs w:val="16"/>
                <w:color w:val="auto"/>
              </w:rPr>
              <w:t>85</w:t>
            </w:r>
          </w:p>
        </w:tc>
        <w:tc>
          <w:tcPr>
            <w:tcW w:w="180" w:type="dxa"/>
            <w:vAlign w:val="bottom"/>
          </w:tcPr>
          <w:p>
            <w:pPr>
              <w:jc w:val="right"/>
              <w:spacing w:after="0" w:line="176" w:lineRule="exact"/>
              <w:rPr>
                <w:sz w:val="20"/>
                <w:szCs w:val="20"/>
                <w:color w:val="auto"/>
              </w:rPr>
            </w:pPr>
            <w:r>
              <w:rPr>
                <w:rFonts w:ascii="Arial" w:cs="Arial" w:eastAsia="Arial" w:hAnsi="Arial"/>
                <w:sz w:val="16"/>
                <w:szCs w:val="16"/>
                <w:color w:val="auto"/>
                <w:w w:val="89"/>
              </w:rPr>
              <w:t>$</w:t>
            </w:r>
          </w:p>
        </w:tc>
        <w:tc>
          <w:tcPr>
            <w:tcW w:w="1260" w:type="dxa"/>
            <w:vAlign w:val="bottom"/>
          </w:tcPr>
          <w:p>
            <w:pPr>
              <w:jc w:val="right"/>
              <w:spacing w:after="0" w:line="176" w:lineRule="exact"/>
              <w:rPr>
                <w:sz w:val="20"/>
                <w:szCs w:val="20"/>
                <w:color w:val="auto"/>
              </w:rPr>
            </w:pPr>
            <w:r>
              <w:rPr>
                <w:rFonts w:ascii="Arial" w:cs="Arial" w:eastAsia="Arial" w:hAnsi="Arial"/>
                <w:sz w:val="16"/>
                <w:szCs w:val="16"/>
                <w:color w:val="auto"/>
              </w:rPr>
              <w:t>127</w:t>
            </w:r>
          </w:p>
        </w:tc>
        <w:tc>
          <w:tcPr>
            <w:tcW w:w="0" w:type="dxa"/>
            <w:vAlign w:val="bottom"/>
          </w:tcPr>
          <w:p>
            <w:pPr>
              <w:spacing w:after="0"/>
              <w:rPr>
                <w:sz w:val="1"/>
                <w:szCs w:val="1"/>
                <w:color w:val="auto"/>
              </w:rPr>
            </w:pPr>
          </w:p>
        </w:tc>
      </w:tr>
      <w:tr>
        <w:trPr>
          <w:trHeight w:val="176"/>
        </w:trPr>
        <w:tc>
          <w:tcPr>
            <w:tcW w:w="180" w:type="dxa"/>
            <w:vAlign w:val="bottom"/>
          </w:tcPr>
          <w:p>
            <w:pPr>
              <w:spacing w:after="0"/>
              <w:rPr>
                <w:sz w:val="15"/>
                <w:szCs w:val="15"/>
                <w:color w:val="auto"/>
              </w:rPr>
            </w:pPr>
          </w:p>
        </w:tc>
        <w:tc>
          <w:tcPr>
            <w:tcW w:w="8400" w:type="dxa"/>
            <w:vAlign w:val="bottom"/>
          </w:tcPr>
          <w:p>
            <w:pPr>
              <w:spacing w:after="0" w:line="176" w:lineRule="exact"/>
              <w:rPr>
                <w:sz w:val="20"/>
                <w:szCs w:val="20"/>
                <w:color w:val="auto"/>
              </w:rPr>
            </w:pPr>
            <w:r>
              <w:rPr>
                <w:rFonts w:ascii="Arial" w:cs="Arial" w:eastAsia="Arial" w:hAnsi="Arial"/>
                <w:sz w:val="16"/>
                <w:szCs w:val="16"/>
                <w:color w:val="auto"/>
              </w:rPr>
              <w:t>Restricted cash</w:t>
            </w:r>
          </w:p>
        </w:tc>
        <w:tc>
          <w:tcPr>
            <w:tcW w:w="200" w:type="dxa"/>
            <w:vAlign w:val="bottom"/>
          </w:tcPr>
          <w:p>
            <w:pPr>
              <w:spacing w:after="0"/>
              <w:rPr>
                <w:sz w:val="15"/>
                <w:szCs w:val="15"/>
                <w:color w:val="auto"/>
              </w:rPr>
            </w:pPr>
          </w:p>
        </w:tc>
        <w:tc>
          <w:tcPr>
            <w:tcW w:w="1200" w:type="dxa"/>
            <w:vAlign w:val="bottom"/>
          </w:tcPr>
          <w:p>
            <w:pPr>
              <w:jc w:val="right"/>
              <w:spacing w:after="0" w:line="176" w:lineRule="exact"/>
              <w:rPr>
                <w:sz w:val="20"/>
                <w:szCs w:val="20"/>
                <w:color w:val="auto"/>
              </w:rPr>
            </w:pPr>
            <w:r>
              <w:rPr>
                <w:rFonts w:ascii="Arial" w:cs="Arial" w:eastAsia="Arial" w:hAnsi="Arial"/>
                <w:sz w:val="16"/>
                <w:szCs w:val="16"/>
                <w:color w:val="auto"/>
              </w:rPr>
              <w:t>186</w:t>
            </w:r>
          </w:p>
        </w:tc>
        <w:tc>
          <w:tcPr>
            <w:tcW w:w="180" w:type="dxa"/>
            <w:vAlign w:val="bottom"/>
          </w:tcPr>
          <w:p>
            <w:pPr>
              <w:spacing w:after="0"/>
              <w:rPr>
                <w:sz w:val="15"/>
                <w:szCs w:val="15"/>
                <w:color w:val="auto"/>
              </w:rPr>
            </w:pPr>
          </w:p>
        </w:tc>
        <w:tc>
          <w:tcPr>
            <w:tcW w:w="1260" w:type="dxa"/>
            <w:vAlign w:val="bottom"/>
          </w:tcPr>
          <w:p>
            <w:pPr>
              <w:jc w:val="right"/>
              <w:spacing w:after="0" w:line="176" w:lineRule="exact"/>
              <w:rPr>
                <w:sz w:val="20"/>
                <w:szCs w:val="20"/>
                <w:color w:val="auto"/>
              </w:rPr>
            </w:pPr>
            <w:r>
              <w:rPr>
                <w:rFonts w:ascii="Arial" w:cs="Arial" w:eastAsia="Arial" w:hAnsi="Arial"/>
                <w:sz w:val="16"/>
                <w:szCs w:val="16"/>
                <w:color w:val="auto"/>
              </w:rPr>
              <w:t>116</w:t>
            </w:r>
          </w:p>
        </w:tc>
        <w:tc>
          <w:tcPr>
            <w:tcW w:w="0" w:type="dxa"/>
            <w:vAlign w:val="bottom"/>
          </w:tcPr>
          <w:p>
            <w:pPr>
              <w:spacing w:after="0"/>
              <w:rPr>
                <w:sz w:val="1"/>
                <w:szCs w:val="1"/>
                <w:color w:val="auto"/>
              </w:rPr>
            </w:pPr>
          </w:p>
        </w:tc>
      </w:tr>
      <w:tr>
        <w:trPr>
          <w:trHeight w:val="176"/>
        </w:trPr>
        <w:tc>
          <w:tcPr>
            <w:tcW w:w="8580" w:type="dxa"/>
            <w:vAlign w:val="bottom"/>
            <w:gridSpan w:val="2"/>
          </w:tcPr>
          <w:p>
            <w:pPr>
              <w:ind w:left="180"/>
              <w:spacing w:after="0" w:line="176" w:lineRule="exact"/>
              <w:rPr>
                <w:sz w:val="20"/>
                <w:szCs w:val="20"/>
                <w:color w:val="auto"/>
              </w:rPr>
            </w:pPr>
            <w:r>
              <w:rPr>
                <w:rFonts w:ascii="Arial" w:cs="Arial" w:eastAsia="Arial" w:hAnsi="Arial"/>
                <w:sz w:val="16"/>
                <w:szCs w:val="16"/>
                <w:color w:val="auto"/>
              </w:rPr>
              <w:t>Accounts receivable - trade</w:t>
            </w:r>
          </w:p>
        </w:tc>
        <w:tc>
          <w:tcPr>
            <w:tcW w:w="200" w:type="dxa"/>
            <w:vAlign w:val="bottom"/>
          </w:tcPr>
          <w:p>
            <w:pPr>
              <w:spacing w:after="0"/>
              <w:rPr>
                <w:sz w:val="15"/>
                <w:szCs w:val="15"/>
                <w:color w:val="auto"/>
              </w:rPr>
            </w:pPr>
          </w:p>
        </w:tc>
        <w:tc>
          <w:tcPr>
            <w:tcW w:w="1200" w:type="dxa"/>
            <w:vAlign w:val="bottom"/>
          </w:tcPr>
          <w:p>
            <w:pPr>
              <w:jc w:val="right"/>
              <w:spacing w:after="0" w:line="176" w:lineRule="exact"/>
              <w:rPr>
                <w:sz w:val="20"/>
                <w:szCs w:val="20"/>
                <w:color w:val="auto"/>
              </w:rPr>
            </w:pPr>
            <w:r>
              <w:rPr>
                <w:rFonts w:ascii="Arial" w:cs="Arial" w:eastAsia="Arial" w:hAnsi="Arial"/>
                <w:sz w:val="16"/>
                <w:szCs w:val="16"/>
                <w:color w:val="auto"/>
              </w:rPr>
              <w:t>254</w:t>
            </w:r>
          </w:p>
        </w:tc>
        <w:tc>
          <w:tcPr>
            <w:tcW w:w="180" w:type="dxa"/>
            <w:vAlign w:val="bottom"/>
          </w:tcPr>
          <w:p>
            <w:pPr>
              <w:spacing w:after="0"/>
              <w:rPr>
                <w:sz w:val="15"/>
                <w:szCs w:val="15"/>
                <w:color w:val="auto"/>
              </w:rPr>
            </w:pPr>
          </w:p>
        </w:tc>
        <w:tc>
          <w:tcPr>
            <w:tcW w:w="1260" w:type="dxa"/>
            <w:vAlign w:val="bottom"/>
          </w:tcPr>
          <w:p>
            <w:pPr>
              <w:jc w:val="right"/>
              <w:spacing w:after="0" w:line="176" w:lineRule="exact"/>
              <w:rPr>
                <w:sz w:val="20"/>
                <w:szCs w:val="20"/>
                <w:color w:val="auto"/>
              </w:rPr>
            </w:pPr>
            <w:r>
              <w:rPr>
                <w:rFonts w:ascii="Arial" w:cs="Arial" w:eastAsia="Arial" w:hAnsi="Arial"/>
                <w:sz w:val="16"/>
                <w:szCs w:val="16"/>
                <w:color w:val="auto"/>
              </w:rPr>
              <w:t>248</w:t>
            </w:r>
          </w:p>
        </w:tc>
        <w:tc>
          <w:tcPr>
            <w:tcW w:w="0" w:type="dxa"/>
            <w:vAlign w:val="bottom"/>
          </w:tcPr>
          <w:p>
            <w:pPr>
              <w:spacing w:after="0"/>
              <w:rPr>
                <w:sz w:val="1"/>
                <w:szCs w:val="1"/>
                <w:color w:val="auto"/>
              </w:rPr>
            </w:pPr>
          </w:p>
        </w:tc>
      </w:tr>
      <w:tr>
        <w:trPr>
          <w:trHeight w:val="176"/>
        </w:trPr>
        <w:tc>
          <w:tcPr>
            <w:tcW w:w="8580" w:type="dxa"/>
            <w:vAlign w:val="bottom"/>
            <w:gridSpan w:val="2"/>
          </w:tcPr>
          <w:p>
            <w:pPr>
              <w:ind w:left="180"/>
              <w:spacing w:after="0" w:line="176" w:lineRule="exact"/>
              <w:rPr>
                <w:sz w:val="20"/>
                <w:szCs w:val="20"/>
                <w:color w:val="auto"/>
              </w:rPr>
            </w:pPr>
            <w:r>
              <w:rPr>
                <w:rFonts w:ascii="Arial" w:cs="Arial" w:eastAsia="Arial" w:hAnsi="Arial"/>
                <w:sz w:val="16"/>
                <w:szCs w:val="16"/>
                <w:color w:val="auto"/>
              </w:rPr>
              <w:t>Accounts receivable - other</w:t>
            </w:r>
          </w:p>
        </w:tc>
        <w:tc>
          <w:tcPr>
            <w:tcW w:w="200" w:type="dxa"/>
            <w:vAlign w:val="bottom"/>
          </w:tcPr>
          <w:p>
            <w:pPr>
              <w:spacing w:after="0"/>
              <w:rPr>
                <w:sz w:val="15"/>
                <w:szCs w:val="15"/>
                <w:color w:val="auto"/>
              </w:rPr>
            </w:pPr>
          </w:p>
        </w:tc>
        <w:tc>
          <w:tcPr>
            <w:tcW w:w="1200" w:type="dxa"/>
            <w:vAlign w:val="bottom"/>
          </w:tcPr>
          <w:p>
            <w:pPr>
              <w:jc w:val="right"/>
              <w:spacing w:after="0" w:line="176" w:lineRule="exact"/>
              <w:rPr>
                <w:sz w:val="20"/>
                <w:szCs w:val="20"/>
                <w:color w:val="auto"/>
              </w:rPr>
            </w:pPr>
            <w:r>
              <w:rPr>
                <w:rFonts w:ascii="Arial" w:cs="Arial" w:eastAsia="Arial" w:hAnsi="Arial"/>
                <w:sz w:val="16"/>
                <w:szCs w:val="16"/>
                <w:color w:val="auto"/>
              </w:rPr>
              <w:t>38</w:t>
            </w:r>
          </w:p>
        </w:tc>
        <w:tc>
          <w:tcPr>
            <w:tcW w:w="180" w:type="dxa"/>
            <w:vAlign w:val="bottom"/>
          </w:tcPr>
          <w:p>
            <w:pPr>
              <w:spacing w:after="0"/>
              <w:rPr>
                <w:sz w:val="15"/>
                <w:szCs w:val="15"/>
                <w:color w:val="auto"/>
              </w:rPr>
            </w:pPr>
          </w:p>
        </w:tc>
        <w:tc>
          <w:tcPr>
            <w:tcW w:w="1260" w:type="dxa"/>
            <w:vAlign w:val="bottom"/>
          </w:tcPr>
          <w:p>
            <w:pPr>
              <w:jc w:val="right"/>
              <w:spacing w:after="0" w:line="176" w:lineRule="exact"/>
              <w:rPr>
                <w:sz w:val="20"/>
                <w:szCs w:val="20"/>
                <w:color w:val="auto"/>
              </w:rPr>
            </w:pPr>
            <w:r>
              <w:rPr>
                <w:rFonts w:ascii="Arial" w:cs="Arial" w:eastAsia="Arial" w:hAnsi="Arial"/>
                <w:sz w:val="16"/>
                <w:szCs w:val="16"/>
                <w:color w:val="auto"/>
              </w:rPr>
              <w:t>59</w:t>
            </w:r>
          </w:p>
        </w:tc>
        <w:tc>
          <w:tcPr>
            <w:tcW w:w="0" w:type="dxa"/>
            <w:vAlign w:val="bottom"/>
          </w:tcPr>
          <w:p>
            <w:pPr>
              <w:spacing w:after="0"/>
              <w:rPr>
                <w:sz w:val="1"/>
                <w:szCs w:val="1"/>
                <w:color w:val="auto"/>
              </w:rPr>
            </w:pPr>
          </w:p>
        </w:tc>
      </w:tr>
      <w:tr>
        <w:trPr>
          <w:trHeight w:val="176"/>
        </w:trPr>
        <w:tc>
          <w:tcPr>
            <w:tcW w:w="180" w:type="dxa"/>
            <w:vAlign w:val="bottom"/>
          </w:tcPr>
          <w:p>
            <w:pPr>
              <w:spacing w:after="0"/>
              <w:rPr>
                <w:sz w:val="15"/>
                <w:szCs w:val="15"/>
                <w:color w:val="auto"/>
              </w:rPr>
            </w:pPr>
          </w:p>
        </w:tc>
        <w:tc>
          <w:tcPr>
            <w:tcW w:w="8400" w:type="dxa"/>
            <w:vAlign w:val="bottom"/>
          </w:tcPr>
          <w:p>
            <w:pPr>
              <w:spacing w:after="0" w:line="176" w:lineRule="exact"/>
              <w:rPr>
                <w:sz w:val="20"/>
                <w:szCs w:val="20"/>
                <w:color w:val="auto"/>
              </w:rPr>
            </w:pPr>
            <w:r>
              <w:rPr>
                <w:rFonts w:ascii="Arial" w:cs="Arial" w:eastAsia="Arial" w:hAnsi="Arial"/>
                <w:sz w:val="16"/>
                <w:szCs w:val="16"/>
                <w:color w:val="auto"/>
              </w:rPr>
              <w:t>Due from unconsolidated affiliates</w:t>
            </w:r>
          </w:p>
        </w:tc>
        <w:tc>
          <w:tcPr>
            <w:tcW w:w="200" w:type="dxa"/>
            <w:vAlign w:val="bottom"/>
          </w:tcPr>
          <w:p>
            <w:pPr>
              <w:spacing w:after="0"/>
              <w:rPr>
                <w:sz w:val="15"/>
                <w:szCs w:val="15"/>
                <w:color w:val="auto"/>
              </w:rPr>
            </w:pPr>
          </w:p>
        </w:tc>
        <w:tc>
          <w:tcPr>
            <w:tcW w:w="1200" w:type="dxa"/>
            <w:vAlign w:val="bottom"/>
          </w:tcPr>
          <w:p>
            <w:pPr>
              <w:jc w:val="right"/>
              <w:spacing w:after="0" w:line="176" w:lineRule="exact"/>
              <w:rPr>
                <w:sz w:val="20"/>
                <w:szCs w:val="20"/>
                <w:color w:val="auto"/>
              </w:rPr>
            </w:pPr>
            <w:r>
              <w:rPr>
                <w:rFonts w:ascii="Arial" w:cs="Arial" w:eastAsia="Arial" w:hAnsi="Arial"/>
                <w:sz w:val="16"/>
                <w:szCs w:val="16"/>
                <w:color w:val="auto"/>
              </w:rPr>
              <w:t>1</w:t>
            </w:r>
          </w:p>
        </w:tc>
        <w:tc>
          <w:tcPr>
            <w:tcW w:w="180" w:type="dxa"/>
            <w:vAlign w:val="bottom"/>
          </w:tcPr>
          <w:p>
            <w:pPr>
              <w:spacing w:after="0"/>
              <w:rPr>
                <w:sz w:val="15"/>
                <w:szCs w:val="15"/>
                <w:color w:val="auto"/>
              </w:rPr>
            </w:pPr>
          </w:p>
        </w:tc>
        <w:tc>
          <w:tcPr>
            <w:tcW w:w="1260" w:type="dxa"/>
            <w:vAlign w:val="bottom"/>
          </w:tcPr>
          <w:p>
            <w:pPr>
              <w:jc w:val="right"/>
              <w:spacing w:after="0" w:line="176" w:lineRule="exact"/>
              <w:rPr>
                <w:sz w:val="20"/>
                <w:szCs w:val="20"/>
                <w:color w:val="auto"/>
              </w:rPr>
            </w:pPr>
            <w:r>
              <w:rPr>
                <w:rFonts w:ascii="Arial" w:cs="Arial" w:eastAsia="Arial" w:hAnsi="Arial"/>
                <w:sz w:val="16"/>
                <w:szCs w:val="16"/>
                <w:color w:val="auto"/>
              </w:rPr>
              <w:t>12</w:t>
            </w:r>
          </w:p>
        </w:tc>
        <w:tc>
          <w:tcPr>
            <w:tcW w:w="0" w:type="dxa"/>
            <w:vAlign w:val="bottom"/>
          </w:tcPr>
          <w:p>
            <w:pPr>
              <w:spacing w:after="0"/>
              <w:rPr>
                <w:sz w:val="1"/>
                <w:szCs w:val="1"/>
                <w:color w:val="auto"/>
              </w:rPr>
            </w:pPr>
          </w:p>
        </w:tc>
      </w:tr>
      <w:tr>
        <w:trPr>
          <w:trHeight w:val="176"/>
        </w:trPr>
        <w:tc>
          <w:tcPr>
            <w:tcW w:w="180" w:type="dxa"/>
            <w:vAlign w:val="bottom"/>
          </w:tcPr>
          <w:p>
            <w:pPr>
              <w:spacing w:after="0"/>
              <w:rPr>
                <w:sz w:val="15"/>
                <w:szCs w:val="15"/>
                <w:color w:val="auto"/>
              </w:rPr>
            </w:pPr>
          </w:p>
        </w:tc>
        <w:tc>
          <w:tcPr>
            <w:tcW w:w="8400" w:type="dxa"/>
            <w:vAlign w:val="bottom"/>
          </w:tcPr>
          <w:p>
            <w:pPr>
              <w:spacing w:after="0" w:line="176" w:lineRule="exact"/>
              <w:rPr>
                <w:sz w:val="20"/>
                <w:szCs w:val="20"/>
                <w:color w:val="auto"/>
              </w:rPr>
            </w:pPr>
            <w:r>
              <w:rPr>
                <w:rFonts w:ascii="Arial" w:cs="Arial" w:eastAsia="Arial" w:hAnsi="Arial"/>
                <w:sz w:val="16"/>
                <w:szCs w:val="16"/>
                <w:color w:val="auto"/>
              </w:rPr>
              <w:t>Income taxes receivable</w:t>
            </w:r>
          </w:p>
        </w:tc>
        <w:tc>
          <w:tcPr>
            <w:tcW w:w="200" w:type="dxa"/>
            <w:vAlign w:val="bottom"/>
          </w:tcPr>
          <w:p>
            <w:pPr>
              <w:spacing w:after="0"/>
              <w:rPr>
                <w:sz w:val="15"/>
                <w:szCs w:val="15"/>
                <w:color w:val="auto"/>
              </w:rPr>
            </w:pPr>
          </w:p>
        </w:tc>
        <w:tc>
          <w:tcPr>
            <w:tcW w:w="1200" w:type="dxa"/>
            <w:vAlign w:val="bottom"/>
          </w:tcPr>
          <w:p>
            <w:pPr>
              <w:jc w:val="right"/>
              <w:spacing w:after="0" w:line="176" w:lineRule="exact"/>
              <w:rPr>
                <w:sz w:val="20"/>
                <w:szCs w:val="20"/>
                <w:color w:val="auto"/>
              </w:rPr>
            </w:pPr>
            <w:r>
              <w:rPr>
                <w:rFonts w:ascii="Arial" w:cs="Arial" w:eastAsia="Arial" w:hAnsi="Arial"/>
                <w:sz w:val="16"/>
                <w:szCs w:val="16"/>
                <w:color w:val="auto"/>
              </w:rPr>
              <w:t>72</w:t>
            </w:r>
          </w:p>
        </w:tc>
        <w:tc>
          <w:tcPr>
            <w:tcW w:w="180" w:type="dxa"/>
            <w:vAlign w:val="bottom"/>
          </w:tcPr>
          <w:p>
            <w:pPr>
              <w:spacing w:after="0"/>
              <w:rPr>
                <w:sz w:val="15"/>
                <w:szCs w:val="15"/>
                <w:color w:val="auto"/>
              </w:rPr>
            </w:pPr>
          </w:p>
        </w:tc>
        <w:tc>
          <w:tcPr>
            <w:tcW w:w="1260" w:type="dxa"/>
            <w:vAlign w:val="bottom"/>
          </w:tcPr>
          <w:p>
            <w:pPr>
              <w:jc w:val="right"/>
              <w:spacing w:after="0" w:line="176" w:lineRule="exact"/>
              <w:rPr>
                <w:sz w:val="20"/>
                <w:szCs w:val="20"/>
                <w:color w:val="auto"/>
              </w:rPr>
            </w:pPr>
            <w:r>
              <w:rPr>
                <w:rFonts w:ascii="Arial" w:cs="Arial" w:eastAsia="Arial" w:hAnsi="Arial"/>
                <w:sz w:val="16"/>
                <w:szCs w:val="16"/>
                <w:color w:val="auto"/>
              </w:rPr>
              <w:t>37</w:t>
            </w:r>
          </w:p>
        </w:tc>
        <w:tc>
          <w:tcPr>
            <w:tcW w:w="0" w:type="dxa"/>
            <w:vAlign w:val="bottom"/>
          </w:tcPr>
          <w:p>
            <w:pPr>
              <w:spacing w:after="0"/>
              <w:rPr>
                <w:sz w:val="1"/>
                <w:szCs w:val="1"/>
                <w:color w:val="auto"/>
              </w:rPr>
            </w:pPr>
          </w:p>
        </w:tc>
      </w:tr>
      <w:tr>
        <w:trPr>
          <w:trHeight w:val="176"/>
        </w:trPr>
        <w:tc>
          <w:tcPr>
            <w:tcW w:w="180" w:type="dxa"/>
            <w:vAlign w:val="bottom"/>
          </w:tcPr>
          <w:p>
            <w:pPr>
              <w:spacing w:after="0"/>
              <w:rPr>
                <w:sz w:val="15"/>
                <w:szCs w:val="15"/>
                <w:color w:val="auto"/>
              </w:rPr>
            </w:pPr>
          </w:p>
        </w:tc>
        <w:tc>
          <w:tcPr>
            <w:tcW w:w="8400" w:type="dxa"/>
            <w:vAlign w:val="bottom"/>
          </w:tcPr>
          <w:p>
            <w:pPr>
              <w:spacing w:after="0" w:line="176" w:lineRule="exact"/>
              <w:rPr>
                <w:sz w:val="20"/>
                <w:szCs w:val="20"/>
                <w:color w:val="auto"/>
              </w:rPr>
            </w:pPr>
            <w:r>
              <w:rPr>
                <w:rFonts w:ascii="Arial" w:cs="Arial" w:eastAsia="Arial" w:hAnsi="Arial"/>
                <w:sz w:val="16"/>
                <w:szCs w:val="16"/>
                <w:color w:val="auto"/>
              </w:rPr>
              <w:t>Deferred income taxes</w:t>
            </w:r>
          </w:p>
        </w:tc>
        <w:tc>
          <w:tcPr>
            <w:tcW w:w="200" w:type="dxa"/>
            <w:vAlign w:val="bottom"/>
          </w:tcPr>
          <w:p>
            <w:pPr>
              <w:spacing w:after="0"/>
              <w:rPr>
                <w:sz w:val="15"/>
                <w:szCs w:val="15"/>
                <w:color w:val="auto"/>
              </w:rPr>
            </w:pPr>
          </w:p>
        </w:tc>
        <w:tc>
          <w:tcPr>
            <w:tcW w:w="1200" w:type="dxa"/>
            <w:vAlign w:val="bottom"/>
          </w:tcPr>
          <w:p>
            <w:pPr>
              <w:jc w:val="right"/>
              <w:spacing w:after="0" w:line="176" w:lineRule="exact"/>
              <w:rPr>
                <w:sz w:val="20"/>
                <w:szCs w:val="20"/>
                <w:color w:val="auto"/>
              </w:rPr>
            </w:pPr>
            <w:r>
              <w:rPr>
                <w:rFonts w:ascii="Arial" w:cs="Arial" w:eastAsia="Arial" w:hAnsi="Arial"/>
                <w:sz w:val="16"/>
                <w:szCs w:val="16"/>
                <w:color w:val="auto"/>
              </w:rPr>
              <w:t>40</w:t>
            </w:r>
          </w:p>
        </w:tc>
        <w:tc>
          <w:tcPr>
            <w:tcW w:w="180" w:type="dxa"/>
            <w:vAlign w:val="bottom"/>
          </w:tcPr>
          <w:p>
            <w:pPr>
              <w:spacing w:after="0"/>
              <w:rPr>
                <w:sz w:val="15"/>
                <w:szCs w:val="15"/>
                <w:color w:val="auto"/>
              </w:rPr>
            </w:pPr>
          </w:p>
        </w:tc>
        <w:tc>
          <w:tcPr>
            <w:tcW w:w="1260" w:type="dxa"/>
            <w:vAlign w:val="bottom"/>
          </w:tcPr>
          <w:p>
            <w:pPr>
              <w:jc w:val="right"/>
              <w:spacing w:after="0" w:line="176" w:lineRule="exact"/>
              <w:rPr>
                <w:sz w:val="20"/>
                <w:szCs w:val="20"/>
                <w:color w:val="auto"/>
              </w:rPr>
            </w:pPr>
            <w:r>
              <w:rPr>
                <w:rFonts w:ascii="Arial" w:cs="Arial" w:eastAsia="Arial" w:hAnsi="Arial"/>
                <w:sz w:val="16"/>
                <w:szCs w:val="16"/>
                <w:color w:val="auto"/>
              </w:rPr>
              <w:t>129</w:t>
            </w:r>
          </w:p>
        </w:tc>
        <w:tc>
          <w:tcPr>
            <w:tcW w:w="0" w:type="dxa"/>
            <w:vAlign w:val="bottom"/>
          </w:tcPr>
          <w:p>
            <w:pPr>
              <w:spacing w:after="0"/>
              <w:rPr>
                <w:sz w:val="1"/>
                <w:szCs w:val="1"/>
                <w:color w:val="auto"/>
              </w:rPr>
            </w:pPr>
          </w:p>
        </w:tc>
      </w:tr>
      <w:tr>
        <w:trPr>
          <w:trHeight w:val="176"/>
        </w:trPr>
        <w:tc>
          <w:tcPr>
            <w:tcW w:w="180" w:type="dxa"/>
            <w:vAlign w:val="bottom"/>
          </w:tcPr>
          <w:p>
            <w:pPr>
              <w:spacing w:after="0"/>
              <w:rPr>
                <w:sz w:val="15"/>
                <w:szCs w:val="15"/>
                <w:color w:val="auto"/>
              </w:rPr>
            </w:pPr>
          </w:p>
        </w:tc>
        <w:tc>
          <w:tcPr>
            <w:tcW w:w="8400" w:type="dxa"/>
            <w:vAlign w:val="bottom"/>
          </w:tcPr>
          <w:p>
            <w:pPr>
              <w:spacing w:after="0" w:line="176" w:lineRule="exact"/>
              <w:rPr>
                <w:sz w:val="20"/>
                <w:szCs w:val="20"/>
                <w:color w:val="auto"/>
              </w:rPr>
            </w:pPr>
            <w:r>
              <w:rPr>
                <w:rFonts w:ascii="Arial" w:cs="Arial" w:eastAsia="Arial" w:hAnsi="Arial"/>
                <w:sz w:val="16"/>
                <w:szCs w:val="16"/>
                <w:color w:val="auto"/>
              </w:rPr>
              <w:t>Inventories</w:t>
            </w:r>
          </w:p>
        </w:tc>
        <w:tc>
          <w:tcPr>
            <w:tcW w:w="200" w:type="dxa"/>
            <w:vAlign w:val="bottom"/>
          </w:tcPr>
          <w:p>
            <w:pPr>
              <w:spacing w:after="0"/>
              <w:rPr>
                <w:sz w:val="15"/>
                <w:szCs w:val="15"/>
                <w:color w:val="auto"/>
              </w:rPr>
            </w:pPr>
          </w:p>
        </w:tc>
        <w:tc>
          <w:tcPr>
            <w:tcW w:w="1200" w:type="dxa"/>
            <w:vAlign w:val="bottom"/>
          </w:tcPr>
          <w:p>
            <w:pPr>
              <w:jc w:val="right"/>
              <w:spacing w:after="0" w:line="176" w:lineRule="exact"/>
              <w:rPr>
                <w:sz w:val="20"/>
                <w:szCs w:val="20"/>
                <w:color w:val="auto"/>
              </w:rPr>
            </w:pPr>
            <w:r>
              <w:rPr>
                <w:rFonts w:ascii="Arial" w:cs="Arial" w:eastAsia="Arial" w:hAnsi="Arial"/>
                <w:sz w:val="16"/>
                <w:szCs w:val="16"/>
                <w:color w:val="auto"/>
              </w:rPr>
              <w:t>67</w:t>
            </w:r>
          </w:p>
        </w:tc>
        <w:tc>
          <w:tcPr>
            <w:tcW w:w="180" w:type="dxa"/>
            <w:vAlign w:val="bottom"/>
          </w:tcPr>
          <w:p>
            <w:pPr>
              <w:spacing w:after="0"/>
              <w:rPr>
                <w:sz w:val="15"/>
                <w:szCs w:val="15"/>
                <w:color w:val="auto"/>
              </w:rPr>
            </w:pPr>
          </w:p>
        </w:tc>
        <w:tc>
          <w:tcPr>
            <w:tcW w:w="1260" w:type="dxa"/>
            <w:vAlign w:val="bottom"/>
          </w:tcPr>
          <w:p>
            <w:pPr>
              <w:jc w:val="right"/>
              <w:spacing w:after="0" w:line="176" w:lineRule="exact"/>
              <w:rPr>
                <w:sz w:val="20"/>
                <w:szCs w:val="20"/>
                <w:color w:val="auto"/>
              </w:rPr>
            </w:pPr>
            <w:r>
              <w:rPr>
                <w:rFonts w:ascii="Arial" w:cs="Arial" w:eastAsia="Arial" w:hAnsi="Arial"/>
                <w:sz w:val="16"/>
                <w:szCs w:val="16"/>
                <w:color w:val="auto"/>
              </w:rPr>
              <w:t>71</w:t>
            </w:r>
          </w:p>
        </w:tc>
        <w:tc>
          <w:tcPr>
            <w:tcW w:w="0" w:type="dxa"/>
            <w:vAlign w:val="bottom"/>
          </w:tcPr>
          <w:p>
            <w:pPr>
              <w:spacing w:after="0"/>
              <w:rPr>
                <w:sz w:val="1"/>
                <w:szCs w:val="1"/>
                <w:color w:val="auto"/>
              </w:rPr>
            </w:pPr>
          </w:p>
        </w:tc>
      </w:tr>
      <w:tr>
        <w:trPr>
          <w:trHeight w:val="176"/>
        </w:trPr>
        <w:tc>
          <w:tcPr>
            <w:tcW w:w="180" w:type="dxa"/>
            <w:vAlign w:val="bottom"/>
          </w:tcPr>
          <w:p>
            <w:pPr>
              <w:spacing w:after="0"/>
              <w:rPr>
                <w:sz w:val="15"/>
                <w:szCs w:val="15"/>
                <w:color w:val="auto"/>
              </w:rPr>
            </w:pPr>
          </w:p>
        </w:tc>
        <w:tc>
          <w:tcPr>
            <w:tcW w:w="8400" w:type="dxa"/>
            <w:vAlign w:val="bottom"/>
          </w:tcPr>
          <w:p>
            <w:pPr>
              <w:spacing w:after="0" w:line="176" w:lineRule="exact"/>
              <w:rPr>
                <w:sz w:val="20"/>
                <w:szCs w:val="20"/>
                <w:color w:val="auto"/>
              </w:rPr>
            </w:pPr>
            <w:r>
              <w:rPr>
                <w:rFonts w:ascii="Arial" w:cs="Arial" w:eastAsia="Arial" w:hAnsi="Arial"/>
                <w:sz w:val="16"/>
                <w:szCs w:val="16"/>
                <w:color w:val="auto"/>
              </w:rPr>
              <w:t>Regulatory assets arising from fixed-price contracts and other derivatives</w:t>
            </w:r>
          </w:p>
        </w:tc>
        <w:tc>
          <w:tcPr>
            <w:tcW w:w="200" w:type="dxa"/>
            <w:vAlign w:val="bottom"/>
          </w:tcPr>
          <w:p>
            <w:pPr>
              <w:spacing w:after="0"/>
              <w:rPr>
                <w:sz w:val="15"/>
                <w:szCs w:val="15"/>
                <w:color w:val="auto"/>
              </w:rPr>
            </w:pPr>
          </w:p>
        </w:tc>
        <w:tc>
          <w:tcPr>
            <w:tcW w:w="1200" w:type="dxa"/>
            <w:vAlign w:val="bottom"/>
          </w:tcPr>
          <w:p>
            <w:pPr>
              <w:jc w:val="right"/>
              <w:spacing w:after="0" w:line="176" w:lineRule="exact"/>
              <w:rPr>
                <w:sz w:val="20"/>
                <w:szCs w:val="20"/>
                <w:color w:val="auto"/>
              </w:rPr>
            </w:pPr>
            <w:r>
              <w:rPr>
                <w:rFonts w:ascii="Arial" w:cs="Arial" w:eastAsia="Arial" w:hAnsi="Arial"/>
                <w:sz w:val="16"/>
                <w:szCs w:val="16"/>
                <w:color w:val="auto"/>
              </w:rPr>
              <w:t>52</w:t>
            </w:r>
          </w:p>
        </w:tc>
        <w:tc>
          <w:tcPr>
            <w:tcW w:w="180" w:type="dxa"/>
            <w:vAlign w:val="bottom"/>
          </w:tcPr>
          <w:p>
            <w:pPr>
              <w:spacing w:after="0"/>
              <w:rPr>
                <w:sz w:val="15"/>
                <w:szCs w:val="15"/>
                <w:color w:val="auto"/>
              </w:rPr>
            </w:pPr>
          </w:p>
        </w:tc>
        <w:tc>
          <w:tcPr>
            <w:tcW w:w="1260" w:type="dxa"/>
            <w:vAlign w:val="bottom"/>
          </w:tcPr>
          <w:p>
            <w:pPr>
              <w:jc w:val="right"/>
              <w:spacing w:after="0" w:line="176" w:lineRule="exact"/>
              <w:rPr>
                <w:sz w:val="20"/>
                <w:szCs w:val="20"/>
                <w:color w:val="auto"/>
              </w:rPr>
            </w:pPr>
            <w:r>
              <w:rPr>
                <w:rFonts w:ascii="Arial" w:cs="Arial" w:eastAsia="Arial" w:hAnsi="Arial"/>
                <w:sz w:val="16"/>
                <w:szCs w:val="16"/>
                <w:color w:val="auto"/>
              </w:rPr>
              <w:t>66</w:t>
            </w:r>
          </w:p>
        </w:tc>
        <w:tc>
          <w:tcPr>
            <w:tcW w:w="0" w:type="dxa"/>
            <w:vAlign w:val="bottom"/>
          </w:tcPr>
          <w:p>
            <w:pPr>
              <w:spacing w:after="0"/>
              <w:rPr>
                <w:sz w:val="1"/>
                <w:szCs w:val="1"/>
                <w:color w:val="auto"/>
              </w:rPr>
            </w:pPr>
          </w:p>
        </w:tc>
      </w:tr>
      <w:tr>
        <w:trPr>
          <w:trHeight w:val="176"/>
        </w:trPr>
        <w:tc>
          <w:tcPr>
            <w:tcW w:w="180" w:type="dxa"/>
            <w:vAlign w:val="bottom"/>
          </w:tcPr>
          <w:p>
            <w:pPr>
              <w:spacing w:after="0"/>
              <w:rPr>
                <w:sz w:val="15"/>
                <w:szCs w:val="15"/>
                <w:color w:val="auto"/>
              </w:rPr>
            </w:pPr>
          </w:p>
        </w:tc>
        <w:tc>
          <w:tcPr>
            <w:tcW w:w="8400" w:type="dxa"/>
            <w:vAlign w:val="bottom"/>
          </w:tcPr>
          <w:p>
            <w:pPr>
              <w:spacing w:after="0" w:line="176" w:lineRule="exact"/>
              <w:rPr>
                <w:sz w:val="20"/>
                <w:szCs w:val="20"/>
                <w:color w:val="auto"/>
              </w:rPr>
            </w:pPr>
            <w:r>
              <w:rPr>
                <w:rFonts w:ascii="Arial" w:cs="Arial" w:eastAsia="Arial" w:hAnsi="Arial"/>
                <w:sz w:val="16"/>
                <w:szCs w:val="16"/>
                <w:color w:val="auto"/>
              </w:rPr>
              <w:t>Other regulatory assets</w:t>
            </w:r>
          </w:p>
        </w:tc>
        <w:tc>
          <w:tcPr>
            <w:tcW w:w="200" w:type="dxa"/>
            <w:vAlign w:val="bottom"/>
          </w:tcPr>
          <w:p>
            <w:pPr>
              <w:spacing w:after="0"/>
              <w:rPr>
                <w:sz w:val="15"/>
                <w:szCs w:val="15"/>
                <w:color w:val="auto"/>
              </w:rPr>
            </w:pPr>
          </w:p>
        </w:tc>
        <w:tc>
          <w:tcPr>
            <w:tcW w:w="1200" w:type="dxa"/>
            <w:vAlign w:val="bottom"/>
          </w:tcPr>
          <w:p>
            <w:pPr>
              <w:jc w:val="right"/>
              <w:spacing w:after="0" w:line="176" w:lineRule="exact"/>
              <w:rPr>
                <w:sz w:val="20"/>
                <w:szCs w:val="20"/>
                <w:color w:val="auto"/>
              </w:rPr>
            </w:pPr>
            <w:r>
              <w:rPr>
                <w:rFonts w:ascii="Arial" w:cs="Arial" w:eastAsia="Arial" w:hAnsi="Arial"/>
                <w:sz w:val="16"/>
                <w:szCs w:val="16"/>
                <w:color w:val="auto"/>
              </w:rPr>
              <w:t>6</w:t>
            </w:r>
          </w:p>
        </w:tc>
        <w:tc>
          <w:tcPr>
            <w:tcW w:w="180" w:type="dxa"/>
            <w:vAlign w:val="bottom"/>
          </w:tcPr>
          <w:p>
            <w:pPr>
              <w:spacing w:after="0"/>
              <w:rPr>
                <w:sz w:val="15"/>
                <w:szCs w:val="15"/>
                <w:color w:val="auto"/>
              </w:rPr>
            </w:pPr>
          </w:p>
        </w:tc>
        <w:tc>
          <w:tcPr>
            <w:tcW w:w="1260" w:type="dxa"/>
            <w:vAlign w:val="bottom"/>
          </w:tcPr>
          <w:p>
            <w:pPr>
              <w:jc w:val="right"/>
              <w:spacing w:after="0" w:line="176" w:lineRule="exact"/>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176"/>
        </w:trPr>
        <w:tc>
          <w:tcPr>
            <w:tcW w:w="180" w:type="dxa"/>
            <w:vAlign w:val="bottom"/>
          </w:tcPr>
          <w:p>
            <w:pPr>
              <w:spacing w:after="0"/>
              <w:rPr>
                <w:sz w:val="15"/>
                <w:szCs w:val="15"/>
                <w:color w:val="auto"/>
              </w:rPr>
            </w:pPr>
          </w:p>
        </w:tc>
        <w:tc>
          <w:tcPr>
            <w:tcW w:w="8400" w:type="dxa"/>
            <w:vAlign w:val="bottom"/>
          </w:tcPr>
          <w:p>
            <w:pPr>
              <w:spacing w:after="0" w:line="176" w:lineRule="exact"/>
              <w:rPr>
                <w:sz w:val="20"/>
                <w:szCs w:val="20"/>
                <w:color w:val="auto"/>
              </w:rPr>
            </w:pPr>
            <w:r>
              <w:rPr>
                <w:rFonts w:ascii="Arial" w:cs="Arial" w:eastAsia="Arial" w:hAnsi="Arial"/>
                <w:sz w:val="16"/>
                <w:szCs w:val="16"/>
                <w:color w:val="auto"/>
              </w:rPr>
              <w:t>Fixed-price contracts and other derivatives</w:t>
            </w:r>
          </w:p>
        </w:tc>
        <w:tc>
          <w:tcPr>
            <w:tcW w:w="200" w:type="dxa"/>
            <w:vAlign w:val="bottom"/>
          </w:tcPr>
          <w:p>
            <w:pPr>
              <w:spacing w:after="0"/>
              <w:rPr>
                <w:sz w:val="15"/>
                <w:szCs w:val="15"/>
                <w:color w:val="auto"/>
              </w:rPr>
            </w:pPr>
          </w:p>
        </w:tc>
        <w:tc>
          <w:tcPr>
            <w:tcW w:w="1200" w:type="dxa"/>
            <w:vAlign w:val="bottom"/>
          </w:tcPr>
          <w:p>
            <w:pPr>
              <w:jc w:val="right"/>
              <w:spacing w:after="0" w:line="176" w:lineRule="exact"/>
              <w:rPr>
                <w:sz w:val="20"/>
                <w:szCs w:val="20"/>
                <w:color w:val="auto"/>
              </w:rPr>
            </w:pPr>
            <w:r>
              <w:rPr>
                <w:rFonts w:ascii="Arial" w:cs="Arial" w:eastAsia="Arial" w:hAnsi="Arial"/>
                <w:sz w:val="16"/>
                <w:szCs w:val="16"/>
                <w:color w:val="auto"/>
              </w:rPr>
              <w:t>22</w:t>
            </w:r>
          </w:p>
        </w:tc>
        <w:tc>
          <w:tcPr>
            <w:tcW w:w="180" w:type="dxa"/>
            <w:vAlign w:val="bottom"/>
          </w:tcPr>
          <w:p>
            <w:pPr>
              <w:spacing w:after="0"/>
              <w:rPr>
                <w:sz w:val="15"/>
                <w:szCs w:val="15"/>
                <w:color w:val="auto"/>
              </w:rPr>
            </w:pPr>
          </w:p>
        </w:tc>
        <w:tc>
          <w:tcPr>
            <w:tcW w:w="1260" w:type="dxa"/>
            <w:vAlign w:val="bottom"/>
          </w:tcPr>
          <w:p>
            <w:pPr>
              <w:jc w:val="right"/>
              <w:spacing w:after="0" w:line="176" w:lineRule="exact"/>
              <w:rPr>
                <w:sz w:val="20"/>
                <w:szCs w:val="20"/>
                <w:color w:val="auto"/>
              </w:rPr>
            </w:pPr>
            <w:r>
              <w:rPr>
                <w:rFonts w:ascii="Arial" w:cs="Arial" w:eastAsia="Arial" w:hAnsi="Arial"/>
                <w:sz w:val="16"/>
                <w:szCs w:val="16"/>
                <w:color w:val="auto"/>
              </w:rPr>
              <w:t>28</w:t>
            </w:r>
          </w:p>
        </w:tc>
        <w:tc>
          <w:tcPr>
            <w:tcW w:w="0" w:type="dxa"/>
            <w:vAlign w:val="bottom"/>
          </w:tcPr>
          <w:p>
            <w:pPr>
              <w:spacing w:after="0"/>
              <w:rPr>
                <w:sz w:val="1"/>
                <w:szCs w:val="1"/>
                <w:color w:val="auto"/>
              </w:rPr>
            </w:pPr>
          </w:p>
        </w:tc>
      </w:tr>
      <w:tr>
        <w:trPr>
          <w:trHeight w:val="176"/>
        </w:trPr>
        <w:tc>
          <w:tcPr>
            <w:tcW w:w="180" w:type="dxa"/>
            <w:vAlign w:val="bottom"/>
          </w:tcPr>
          <w:p>
            <w:pPr>
              <w:spacing w:after="0"/>
              <w:rPr>
                <w:sz w:val="15"/>
                <w:szCs w:val="15"/>
                <w:color w:val="auto"/>
              </w:rPr>
            </w:pPr>
          </w:p>
        </w:tc>
        <w:tc>
          <w:tcPr>
            <w:tcW w:w="8400" w:type="dxa"/>
            <w:vAlign w:val="bottom"/>
          </w:tcPr>
          <w:p>
            <w:pPr>
              <w:spacing w:after="0" w:line="176" w:lineRule="exact"/>
              <w:rPr>
                <w:sz w:val="20"/>
                <w:szCs w:val="20"/>
                <w:color w:val="auto"/>
              </w:rPr>
            </w:pPr>
            <w:r>
              <w:rPr>
                <w:rFonts w:ascii="Arial" w:cs="Arial" w:eastAsia="Arial" w:hAnsi="Arial"/>
                <w:sz w:val="16"/>
                <w:szCs w:val="16"/>
                <w:color w:val="auto"/>
              </w:rPr>
              <w:t>Settlement receivable related to wildfire litigation</w:t>
            </w:r>
          </w:p>
        </w:tc>
        <w:tc>
          <w:tcPr>
            <w:tcW w:w="200" w:type="dxa"/>
            <w:vAlign w:val="bottom"/>
          </w:tcPr>
          <w:p>
            <w:pPr>
              <w:spacing w:after="0"/>
              <w:rPr>
                <w:sz w:val="15"/>
                <w:szCs w:val="15"/>
                <w:color w:val="auto"/>
              </w:rPr>
            </w:pPr>
          </w:p>
        </w:tc>
        <w:tc>
          <w:tcPr>
            <w:tcW w:w="1200" w:type="dxa"/>
            <w:vAlign w:val="bottom"/>
          </w:tcPr>
          <w:p>
            <w:pPr>
              <w:jc w:val="right"/>
              <w:spacing w:after="0" w:line="176" w:lineRule="exact"/>
              <w:rPr>
                <w:sz w:val="20"/>
                <w:szCs w:val="20"/>
                <w:color w:val="auto"/>
              </w:rPr>
            </w:pPr>
            <w:r>
              <w:rPr>
                <w:rFonts w:ascii="Arial" w:cs="Arial" w:eastAsia="Arial" w:hAnsi="Arial"/>
                <w:sz w:val="16"/>
                <w:szCs w:val="16"/>
                <w:color w:val="auto"/>
              </w:rPr>
              <w:t>―</w:t>
            </w:r>
          </w:p>
        </w:tc>
        <w:tc>
          <w:tcPr>
            <w:tcW w:w="180" w:type="dxa"/>
            <w:vAlign w:val="bottom"/>
          </w:tcPr>
          <w:p>
            <w:pPr>
              <w:spacing w:after="0"/>
              <w:rPr>
                <w:sz w:val="15"/>
                <w:szCs w:val="15"/>
                <w:color w:val="auto"/>
              </w:rPr>
            </w:pPr>
          </w:p>
        </w:tc>
        <w:tc>
          <w:tcPr>
            <w:tcW w:w="1260" w:type="dxa"/>
            <w:vAlign w:val="bottom"/>
          </w:tcPr>
          <w:p>
            <w:pPr>
              <w:jc w:val="right"/>
              <w:spacing w:after="0" w:line="176" w:lineRule="exact"/>
              <w:rPr>
                <w:sz w:val="20"/>
                <w:szCs w:val="20"/>
                <w:color w:val="auto"/>
              </w:rPr>
            </w:pPr>
            <w:r>
              <w:rPr>
                <w:rFonts w:ascii="Arial" w:cs="Arial" w:eastAsia="Arial" w:hAnsi="Arial"/>
                <w:sz w:val="16"/>
                <w:szCs w:val="16"/>
                <w:color w:val="auto"/>
              </w:rPr>
              <w:t>300</w:t>
            </w:r>
          </w:p>
        </w:tc>
        <w:tc>
          <w:tcPr>
            <w:tcW w:w="0" w:type="dxa"/>
            <w:vAlign w:val="bottom"/>
          </w:tcPr>
          <w:p>
            <w:pPr>
              <w:spacing w:after="0"/>
              <w:rPr>
                <w:sz w:val="1"/>
                <w:szCs w:val="1"/>
                <w:color w:val="auto"/>
              </w:rPr>
            </w:pPr>
          </w:p>
        </w:tc>
      </w:tr>
      <w:tr>
        <w:trPr>
          <w:trHeight w:val="194"/>
        </w:trPr>
        <w:tc>
          <w:tcPr>
            <w:tcW w:w="180" w:type="dxa"/>
            <w:vAlign w:val="bottom"/>
          </w:tcPr>
          <w:p>
            <w:pPr>
              <w:spacing w:after="0"/>
              <w:rPr>
                <w:sz w:val="16"/>
                <w:szCs w:val="16"/>
                <w:color w:val="auto"/>
              </w:rPr>
            </w:pPr>
          </w:p>
        </w:tc>
        <w:tc>
          <w:tcPr>
            <w:tcW w:w="8400" w:type="dxa"/>
            <w:vAlign w:val="bottom"/>
          </w:tcPr>
          <w:p>
            <w:pPr>
              <w:spacing w:after="0"/>
              <w:rPr>
                <w:sz w:val="20"/>
                <w:szCs w:val="20"/>
                <w:color w:val="auto"/>
              </w:rPr>
            </w:pPr>
            <w:r>
              <w:rPr>
                <w:rFonts w:ascii="Arial" w:cs="Arial" w:eastAsia="Arial" w:hAnsi="Arial"/>
                <w:sz w:val="16"/>
                <w:szCs w:val="16"/>
                <w:color w:val="auto"/>
              </w:rPr>
              <w:t>Other</w:t>
            </w:r>
          </w:p>
        </w:tc>
        <w:tc>
          <w:tcPr>
            <w:tcW w:w="2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w:t>
            </w:r>
          </w:p>
        </w:tc>
        <w:tc>
          <w:tcPr>
            <w:tcW w:w="1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50</w:t>
            </w:r>
          </w:p>
        </w:tc>
        <w:tc>
          <w:tcPr>
            <w:tcW w:w="0" w:type="dxa"/>
            <w:vAlign w:val="bottom"/>
          </w:tcPr>
          <w:p>
            <w:pPr>
              <w:spacing w:after="0"/>
              <w:rPr>
                <w:sz w:val="1"/>
                <w:szCs w:val="1"/>
                <w:color w:val="auto"/>
              </w:rPr>
            </w:pPr>
          </w:p>
        </w:tc>
      </w:tr>
      <w:tr>
        <w:trPr>
          <w:trHeight w:val="183"/>
        </w:trPr>
        <w:tc>
          <w:tcPr>
            <w:tcW w:w="180" w:type="dxa"/>
            <w:vAlign w:val="bottom"/>
          </w:tcPr>
          <w:p>
            <w:pPr>
              <w:spacing w:after="0"/>
              <w:rPr>
                <w:sz w:val="15"/>
                <w:szCs w:val="15"/>
                <w:color w:val="auto"/>
              </w:rPr>
            </w:pPr>
          </w:p>
        </w:tc>
        <w:tc>
          <w:tcPr>
            <w:tcW w:w="8400" w:type="dxa"/>
            <w:vAlign w:val="bottom"/>
          </w:tcPr>
          <w:p>
            <w:pPr>
              <w:ind w:left="180"/>
              <w:spacing w:after="0" w:line="176" w:lineRule="exact"/>
              <w:rPr>
                <w:sz w:val="20"/>
                <w:szCs w:val="20"/>
                <w:color w:val="auto"/>
              </w:rPr>
            </w:pPr>
            <w:r>
              <w:rPr>
                <w:rFonts w:ascii="Arial" w:cs="Arial" w:eastAsia="Arial" w:hAnsi="Arial"/>
                <w:sz w:val="16"/>
                <w:szCs w:val="16"/>
                <w:color w:val="auto"/>
              </w:rPr>
              <w:t>Total current assets</w:t>
            </w:r>
          </w:p>
        </w:tc>
        <w:tc>
          <w:tcPr>
            <w:tcW w:w="20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6"/>
                <w:szCs w:val="16"/>
                <w:color w:val="auto"/>
              </w:rPr>
              <w:t>855</w:t>
            </w:r>
          </w:p>
        </w:tc>
        <w:tc>
          <w:tcPr>
            <w:tcW w:w="18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6"/>
                <w:szCs w:val="16"/>
                <w:color w:val="auto"/>
              </w:rPr>
              <w:t>1,248</w:t>
            </w:r>
          </w:p>
        </w:tc>
        <w:tc>
          <w:tcPr>
            <w:tcW w:w="0" w:type="dxa"/>
            <w:vAlign w:val="bottom"/>
          </w:tcPr>
          <w:p>
            <w:pPr>
              <w:spacing w:after="0"/>
              <w:rPr>
                <w:sz w:val="1"/>
                <w:szCs w:val="1"/>
                <w:color w:val="auto"/>
              </w:rPr>
            </w:pPr>
          </w:p>
        </w:tc>
      </w:tr>
      <w:tr>
        <w:trPr>
          <w:trHeight w:val="367"/>
        </w:trPr>
        <w:tc>
          <w:tcPr>
            <w:tcW w:w="8580" w:type="dxa"/>
            <w:vAlign w:val="bottom"/>
            <w:gridSpan w:val="2"/>
          </w:tcPr>
          <w:p>
            <w:pPr>
              <w:spacing w:after="0"/>
              <w:rPr>
                <w:sz w:val="20"/>
                <w:szCs w:val="20"/>
                <w:color w:val="auto"/>
              </w:rPr>
            </w:pPr>
            <w:r>
              <w:rPr>
                <w:rFonts w:ascii="Arial" w:cs="Arial" w:eastAsia="Arial" w:hAnsi="Arial"/>
                <w:sz w:val="16"/>
                <w:szCs w:val="16"/>
                <w:color w:val="auto"/>
              </w:rPr>
              <w:t>Other assets:</w:t>
            </w:r>
          </w:p>
        </w:tc>
        <w:tc>
          <w:tcPr>
            <w:tcW w:w="2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180" w:type="dxa"/>
            <w:vAlign w:val="bottom"/>
          </w:tcPr>
          <w:p>
            <w:pPr>
              <w:spacing w:after="0"/>
              <w:rPr>
                <w:sz w:val="15"/>
                <w:szCs w:val="15"/>
                <w:color w:val="auto"/>
              </w:rPr>
            </w:pPr>
          </w:p>
        </w:tc>
        <w:tc>
          <w:tcPr>
            <w:tcW w:w="8400" w:type="dxa"/>
            <w:vAlign w:val="bottom"/>
          </w:tcPr>
          <w:p>
            <w:pPr>
              <w:spacing w:after="0" w:line="176" w:lineRule="exact"/>
              <w:rPr>
                <w:sz w:val="20"/>
                <w:szCs w:val="20"/>
                <w:color w:val="auto"/>
              </w:rPr>
            </w:pPr>
            <w:r>
              <w:rPr>
                <w:rFonts w:ascii="Arial" w:cs="Arial" w:eastAsia="Arial" w:hAnsi="Arial"/>
                <w:sz w:val="16"/>
                <w:szCs w:val="16"/>
                <w:color w:val="auto"/>
              </w:rPr>
              <w:t>Restricted cash</w:t>
            </w:r>
          </w:p>
        </w:tc>
        <w:tc>
          <w:tcPr>
            <w:tcW w:w="200" w:type="dxa"/>
            <w:vAlign w:val="bottom"/>
          </w:tcPr>
          <w:p>
            <w:pPr>
              <w:spacing w:after="0"/>
              <w:rPr>
                <w:sz w:val="15"/>
                <w:szCs w:val="15"/>
                <w:color w:val="auto"/>
              </w:rPr>
            </w:pPr>
          </w:p>
        </w:tc>
        <w:tc>
          <w:tcPr>
            <w:tcW w:w="1200" w:type="dxa"/>
            <w:vAlign w:val="bottom"/>
          </w:tcPr>
          <w:p>
            <w:pPr>
              <w:jc w:val="right"/>
              <w:spacing w:after="0" w:line="176" w:lineRule="exact"/>
              <w:rPr>
                <w:sz w:val="20"/>
                <w:szCs w:val="20"/>
                <w:color w:val="auto"/>
              </w:rPr>
            </w:pPr>
            <w:r>
              <w:rPr>
                <w:rFonts w:ascii="Arial" w:cs="Arial" w:eastAsia="Arial" w:hAnsi="Arial"/>
                <w:sz w:val="16"/>
                <w:szCs w:val="16"/>
                <w:color w:val="auto"/>
              </w:rPr>
              <w:t>2</w:t>
            </w:r>
          </w:p>
        </w:tc>
        <w:tc>
          <w:tcPr>
            <w:tcW w:w="180" w:type="dxa"/>
            <w:vAlign w:val="bottom"/>
          </w:tcPr>
          <w:p>
            <w:pPr>
              <w:spacing w:after="0"/>
              <w:rPr>
                <w:sz w:val="15"/>
                <w:szCs w:val="15"/>
                <w:color w:val="auto"/>
              </w:rPr>
            </w:pPr>
          </w:p>
        </w:tc>
        <w:tc>
          <w:tcPr>
            <w:tcW w:w="1260" w:type="dxa"/>
            <w:vAlign w:val="bottom"/>
          </w:tcPr>
          <w:p>
            <w:pPr>
              <w:jc w:val="right"/>
              <w:spacing w:after="0" w:line="176" w:lineRule="exact"/>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76"/>
        </w:trPr>
        <w:tc>
          <w:tcPr>
            <w:tcW w:w="180" w:type="dxa"/>
            <w:vAlign w:val="bottom"/>
          </w:tcPr>
          <w:p>
            <w:pPr>
              <w:spacing w:after="0"/>
              <w:rPr>
                <w:sz w:val="15"/>
                <w:szCs w:val="15"/>
                <w:color w:val="auto"/>
              </w:rPr>
            </w:pPr>
          </w:p>
        </w:tc>
        <w:tc>
          <w:tcPr>
            <w:tcW w:w="8400" w:type="dxa"/>
            <w:vAlign w:val="bottom"/>
          </w:tcPr>
          <w:p>
            <w:pPr>
              <w:spacing w:after="0" w:line="176" w:lineRule="exact"/>
              <w:rPr>
                <w:sz w:val="20"/>
                <w:szCs w:val="20"/>
                <w:color w:val="auto"/>
              </w:rPr>
            </w:pPr>
            <w:r>
              <w:rPr>
                <w:rFonts w:ascii="Arial" w:cs="Arial" w:eastAsia="Arial" w:hAnsi="Arial"/>
                <w:sz w:val="16"/>
                <w:szCs w:val="16"/>
                <w:color w:val="auto"/>
              </w:rPr>
              <w:t>Deferred taxes recoverable in rates</w:t>
            </w:r>
          </w:p>
        </w:tc>
        <w:tc>
          <w:tcPr>
            <w:tcW w:w="200" w:type="dxa"/>
            <w:vAlign w:val="bottom"/>
          </w:tcPr>
          <w:p>
            <w:pPr>
              <w:spacing w:after="0"/>
              <w:rPr>
                <w:sz w:val="15"/>
                <w:szCs w:val="15"/>
                <w:color w:val="auto"/>
              </w:rPr>
            </w:pPr>
          </w:p>
        </w:tc>
        <w:tc>
          <w:tcPr>
            <w:tcW w:w="1200" w:type="dxa"/>
            <w:vAlign w:val="bottom"/>
          </w:tcPr>
          <w:p>
            <w:pPr>
              <w:jc w:val="right"/>
              <w:spacing w:after="0" w:line="176" w:lineRule="exact"/>
              <w:rPr>
                <w:sz w:val="20"/>
                <w:szCs w:val="20"/>
                <w:color w:val="auto"/>
              </w:rPr>
            </w:pPr>
            <w:r>
              <w:rPr>
                <w:rFonts w:ascii="Arial" w:cs="Arial" w:eastAsia="Arial" w:hAnsi="Arial"/>
                <w:sz w:val="16"/>
                <w:szCs w:val="16"/>
                <w:color w:val="auto"/>
              </w:rPr>
              <w:t>536</w:t>
            </w:r>
          </w:p>
        </w:tc>
        <w:tc>
          <w:tcPr>
            <w:tcW w:w="180" w:type="dxa"/>
            <w:vAlign w:val="bottom"/>
          </w:tcPr>
          <w:p>
            <w:pPr>
              <w:spacing w:after="0"/>
              <w:rPr>
                <w:sz w:val="15"/>
                <w:szCs w:val="15"/>
                <w:color w:val="auto"/>
              </w:rPr>
            </w:pPr>
          </w:p>
        </w:tc>
        <w:tc>
          <w:tcPr>
            <w:tcW w:w="1260" w:type="dxa"/>
            <w:vAlign w:val="bottom"/>
          </w:tcPr>
          <w:p>
            <w:pPr>
              <w:jc w:val="right"/>
              <w:spacing w:after="0" w:line="176" w:lineRule="exact"/>
              <w:rPr>
                <w:sz w:val="20"/>
                <w:szCs w:val="20"/>
                <w:color w:val="auto"/>
              </w:rPr>
            </w:pPr>
            <w:r>
              <w:rPr>
                <w:rFonts w:ascii="Arial" w:cs="Arial" w:eastAsia="Arial" w:hAnsi="Arial"/>
                <w:sz w:val="16"/>
                <w:szCs w:val="16"/>
                <w:color w:val="auto"/>
              </w:rPr>
              <w:t>502</w:t>
            </w:r>
          </w:p>
        </w:tc>
        <w:tc>
          <w:tcPr>
            <w:tcW w:w="0" w:type="dxa"/>
            <w:vAlign w:val="bottom"/>
          </w:tcPr>
          <w:p>
            <w:pPr>
              <w:spacing w:after="0"/>
              <w:rPr>
                <w:sz w:val="1"/>
                <w:szCs w:val="1"/>
                <w:color w:val="auto"/>
              </w:rPr>
            </w:pPr>
          </w:p>
        </w:tc>
      </w:tr>
      <w:tr>
        <w:trPr>
          <w:trHeight w:val="176"/>
        </w:trPr>
        <w:tc>
          <w:tcPr>
            <w:tcW w:w="180" w:type="dxa"/>
            <w:vAlign w:val="bottom"/>
          </w:tcPr>
          <w:p>
            <w:pPr>
              <w:spacing w:after="0"/>
              <w:rPr>
                <w:sz w:val="15"/>
                <w:szCs w:val="15"/>
                <w:color w:val="auto"/>
              </w:rPr>
            </w:pPr>
          </w:p>
        </w:tc>
        <w:tc>
          <w:tcPr>
            <w:tcW w:w="8400" w:type="dxa"/>
            <w:vAlign w:val="bottom"/>
          </w:tcPr>
          <w:p>
            <w:pPr>
              <w:spacing w:after="0" w:line="176" w:lineRule="exact"/>
              <w:rPr>
                <w:sz w:val="20"/>
                <w:szCs w:val="20"/>
                <w:color w:val="auto"/>
              </w:rPr>
            </w:pPr>
            <w:r>
              <w:rPr>
                <w:rFonts w:ascii="Arial" w:cs="Arial" w:eastAsia="Arial" w:hAnsi="Arial"/>
                <w:sz w:val="16"/>
                <w:szCs w:val="16"/>
                <w:color w:val="auto"/>
              </w:rPr>
              <w:t>Regulatory assets arising from fixed-price contracts and other derivatives</w:t>
            </w:r>
          </w:p>
        </w:tc>
        <w:tc>
          <w:tcPr>
            <w:tcW w:w="200" w:type="dxa"/>
            <w:vAlign w:val="bottom"/>
          </w:tcPr>
          <w:p>
            <w:pPr>
              <w:spacing w:after="0"/>
              <w:rPr>
                <w:sz w:val="15"/>
                <w:szCs w:val="15"/>
                <w:color w:val="auto"/>
              </w:rPr>
            </w:pPr>
          </w:p>
        </w:tc>
        <w:tc>
          <w:tcPr>
            <w:tcW w:w="1200" w:type="dxa"/>
            <w:vAlign w:val="bottom"/>
          </w:tcPr>
          <w:p>
            <w:pPr>
              <w:jc w:val="right"/>
              <w:spacing w:after="0" w:line="176" w:lineRule="exact"/>
              <w:rPr>
                <w:sz w:val="20"/>
                <w:szCs w:val="20"/>
                <w:color w:val="auto"/>
              </w:rPr>
            </w:pPr>
            <w:r>
              <w:rPr>
                <w:rFonts w:ascii="Arial" w:cs="Arial" w:eastAsia="Arial" w:hAnsi="Arial"/>
                <w:sz w:val="16"/>
                <w:szCs w:val="16"/>
                <w:color w:val="auto"/>
              </w:rPr>
              <w:t>212</w:t>
            </w:r>
          </w:p>
        </w:tc>
        <w:tc>
          <w:tcPr>
            <w:tcW w:w="180" w:type="dxa"/>
            <w:vAlign w:val="bottom"/>
          </w:tcPr>
          <w:p>
            <w:pPr>
              <w:spacing w:after="0"/>
              <w:rPr>
                <w:sz w:val="15"/>
                <w:szCs w:val="15"/>
                <w:color w:val="auto"/>
              </w:rPr>
            </w:pPr>
          </w:p>
        </w:tc>
        <w:tc>
          <w:tcPr>
            <w:tcW w:w="1260" w:type="dxa"/>
            <w:vAlign w:val="bottom"/>
          </w:tcPr>
          <w:p>
            <w:pPr>
              <w:jc w:val="right"/>
              <w:spacing w:after="0" w:line="176" w:lineRule="exact"/>
              <w:rPr>
                <w:sz w:val="20"/>
                <w:szCs w:val="20"/>
                <w:color w:val="auto"/>
              </w:rPr>
            </w:pPr>
            <w:r>
              <w:rPr>
                <w:rFonts w:ascii="Arial" w:cs="Arial" w:eastAsia="Arial" w:hAnsi="Arial"/>
                <w:sz w:val="16"/>
                <w:szCs w:val="16"/>
                <w:color w:val="auto"/>
              </w:rPr>
              <w:t>233</w:t>
            </w:r>
          </w:p>
        </w:tc>
        <w:tc>
          <w:tcPr>
            <w:tcW w:w="0" w:type="dxa"/>
            <w:vAlign w:val="bottom"/>
          </w:tcPr>
          <w:p>
            <w:pPr>
              <w:spacing w:after="0"/>
              <w:rPr>
                <w:sz w:val="1"/>
                <w:szCs w:val="1"/>
                <w:color w:val="auto"/>
              </w:rPr>
            </w:pPr>
          </w:p>
        </w:tc>
      </w:tr>
      <w:tr>
        <w:trPr>
          <w:trHeight w:val="176"/>
        </w:trPr>
        <w:tc>
          <w:tcPr>
            <w:tcW w:w="180" w:type="dxa"/>
            <w:vAlign w:val="bottom"/>
          </w:tcPr>
          <w:p>
            <w:pPr>
              <w:spacing w:after="0"/>
              <w:rPr>
                <w:sz w:val="15"/>
                <w:szCs w:val="15"/>
                <w:color w:val="auto"/>
              </w:rPr>
            </w:pPr>
          </w:p>
        </w:tc>
        <w:tc>
          <w:tcPr>
            <w:tcW w:w="8400" w:type="dxa"/>
            <w:vAlign w:val="bottom"/>
          </w:tcPr>
          <w:p>
            <w:pPr>
              <w:spacing w:after="0" w:line="176" w:lineRule="exact"/>
              <w:rPr>
                <w:sz w:val="20"/>
                <w:szCs w:val="20"/>
                <w:color w:val="auto"/>
              </w:rPr>
            </w:pPr>
            <w:r>
              <w:rPr>
                <w:rFonts w:ascii="Arial" w:cs="Arial" w:eastAsia="Arial" w:hAnsi="Arial"/>
                <w:sz w:val="16"/>
                <w:szCs w:val="16"/>
                <w:color w:val="auto"/>
              </w:rPr>
              <w:t>Regulatory assets arising from pension and other postretirement</w:t>
            </w:r>
          </w:p>
        </w:tc>
        <w:tc>
          <w:tcPr>
            <w:tcW w:w="2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80" w:type="dxa"/>
            <w:vAlign w:val="bottom"/>
          </w:tcPr>
          <w:p>
            <w:pPr>
              <w:spacing w:after="0"/>
              <w:rPr>
                <w:sz w:val="15"/>
                <w:szCs w:val="15"/>
                <w:color w:val="auto"/>
              </w:rPr>
            </w:pPr>
          </w:p>
        </w:tc>
        <w:tc>
          <w:tcPr>
            <w:tcW w:w="8400" w:type="dxa"/>
            <w:vAlign w:val="bottom"/>
          </w:tcPr>
          <w:p>
            <w:pPr>
              <w:ind w:left="180"/>
              <w:spacing w:after="0" w:line="176" w:lineRule="exact"/>
              <w:rPr>
                <w:sz w:val="20"/>
                <w:szCs w:val="20"/>
                <w:color w:val="auto"/>
              </w:rPr>
            </w:pPr>
            <w:r>
              <w:rPr>
                <w:rFonts w:ascii="Arial" w:cs="Arial" w:eastAsia="Arial" w:hAnsi="Arial"/>
                <w:sz w:val="16"/>
                <w:szCs w:val="16"/>
                <w:color w:val="auto"/>
              </w:rPr>
              <w:t>benefit obligations</w:t>
            </w:r>
          </w:p>
        </w:tc>
        <w:tc>
          <w:tcPr>
            <w:tcW w:w="200" w:type="dxa"/>
            <w:vAlign w:val="bottom"/>
          </w:tcPr>
          <w:p>
            <w:pPr>
              <w:spacing w:after="0"/>
              <w:rPr>
                <w:sz w:val="15"/>
                <w:szCs w:val="15"/>
                <w:color w:val="auto"/>
              </w:rPr>
            </w:pPr>
          </w:p>
        </w:tc>
        <w:tc>
          <w:tcPr>
            <w:tcW w:w="1200" w:type="dxa"/>
            <w:vAlign w:val="bottom"/>
          </w:tcPr>
          <w:p>
            <w:pPr>
              <w:jc w:val="right"/>
              <w:spacing w:after="0" w:line="176" w:lineRule="exact"/>
              <w:rPr>
                <w:sz w:val="20"/>
                <w:szCs w:val="20"/>
                <w:color w:val="auto"/>
              </w:rPr>
            </w:pPr>
            <w:r>
              <w:rPr>
                <w:rFonts w:ascii="Arial" w:cs="Arial" w:eastAsia="Arial" w:hAnsi="Arial"/>
                <w:sz w:val="16"/>
                <w:szCs w:val="16"/>
                <w:color w:val="auto"/>
              </w:rPr>
              <w:t>274</w:t>
            </w:r>
          </w:p>
        </w:tc>
        <w:tc>
          <w:tcPr>
            <w:tcW w:w="180" w:type="dxa"/>
            <w:vAlign w:val="bottom"/>
          </w:tcPr>
          <w:p>
            <w:pPr>
              <w:spacing w:after="0"/>
              <w:rPr>
                <w:sz w:val="15"/>
                <w:szCs w:val="15"/>
                <w:color w:val="auto"/>
              </w:rPr>
            </w:pPr>
          </w:p>
        </w:tc>
        <w:tc>
          <w:tcPr>
            <w:tcW w:w="1260" w:type="dxa"/>
            <w:vAlign w:val="bottom"/>
          </w:tcPr>
          <w:p>
            <w:pPr>
              <w:jc w:val="right"/>
              <w:spacing w:after="0" w:line="176" w:lineRule="exact"/>
              <w:rPr>
                <w:sz w:val="20"/>
                <w:szCs w:val="20"/>
                <w:color w:val="auto"/>
              </w:rPr>
            </w:pPr>
            <w:r>
              <w:rPr>
                <w:rFonts w:ascii="Arial" w:cs="Arial" w:eastAsia="Arial" w:hAnsi="Arial"/>
                <w:sz w:val="16"/>
                <w:szCs w:val="16"/>
                <w:color w:val="auto"/>
              </w:rPr>
              <w:t>279</w:t>
            </w:r>
          </w:p>
        </w:tc>
        <w:tc>
          <w:tcPr>
            <w:tcW w:w="0" w:type="dxa"/>
            <w:vAlign w:val="bottom"/>
          </w:tcPr>
          <w:p>
            <w:pPr>
              <w:spacing w:after="0"/>
              <w:rPr>
                <w:sz w:val="1"/>
                <w:szCs w:val="1"/>
                <w:color w:val="auto"/>
              </w:rPr>
            </w:pPr>
          </w:p>
        </w:tc>
      </w:tr>
      <w:tr>
        <w:trPr>
          <w:trHeight w:val="176"/>
        </w:trPr>
        <w:tc>
          <w:tcPr>
            <w:tcW w:w="180" w:type="dxa"/>
            <w:vAlign w:val="bottom"/>
          </w:tcPr>
          <w:p>
            <w:pPr>
              <w:spacing w:after="0"/>
              <w:rPr>
                <w:sz w:val="15"/>
                <w:szCs w:val="15"/>
                <w:color w:val="auto"/>
              </w:rPr>
            </w:pPr>
          </w:p>
        </w:tc>
        <w:tc>
          <w:tcPr>
            <w:tcW w:w="8400" w:type="dxa"/>
            <w:vAlign w:val="bottom"/>
          </w:tcPr>
          <w:p>
            <w:pPr>
              <w:spacing w:after="0" w:line="176" w:lineRule="exact"/>
              <w:rPr>
                <w:sz w:val="20"/>
                <w:szCs w:val="20"/>
                <w:color w:val="auto"/>
              </w:rPr>
            </w:pPr>
            <w:r>
              <w:rPr>
                <w:rFonts w:ascii="Arial" w:cs="Arial" w:eastAsia="Arial" w:hAnsi="Arial"/>
                <w:sz w:val="16"/>
                <w:szCs w:val="16"/>
                <w:color w:val="auto"/>
              </w:rPr>
              <w:t>Regulatory assets arising from wildfire litigation costs</w:t>
            </w:r>
          </w:p>
        </w:tc>
        <w:tc>
          <w:tcPr>
            <w:tcW w:w="200" w:type="dxa"/>
            <w:vAlign w:val="bottom"/>
          </w:tcPr>
          <w:p>
            <w:pPr>
              <w:spacing w:after="0"/>
              <w:rPr>
                <w:sz w:val="15"/>
                <w:szCs w:val="15"/>
                <w:color w:val="auto"/>
              </w:rPr>
            </w:pPr>
          </w:p>
        </w:tc>
        <w:tc>
          <w:tcPr>
            <w:tcW w:w="1200" w:type="dxa"/>
            <w:vAlign w:val="bottom"/>
          </w:tcPr>
          <w:p>
            <w:pPr>
              <w:jc w:val="right"/>
              <w:spacing w:after="0" w:line="176" w:lineRule="exact"/>
              <w:rPr>
                <w:sz w:val="20"/>
                <w:szCs w:val="20"/>
                <w:color w:val="auto"/>
              </w:rPr>
            </w:pPr>
            <w:r>
              <w:rPr>
                <w:rFonts w:ascii="Arial" w:cs="Arial" w:eastAsia="Arial" w:hAnsi="Arial"/>
                <w:sz w:val="16"/>
                <w:szCs w:val="16"/>
                <w:color w:val="auto"/>
              </w:rPr>
              <w:t>397</w:t>
            </w:r>
          </w:p>
        </w:tc>
        <w:tc>
          <w:tcPr>
            <w:tcW w:w="180" w:type="dxa"/>
            <w:vAlign w:val="bottom"/>
          </w:tcPr>
          <w:p>
            <w:pPr>
              <w:spacing w:after="0"/>
              <w:rPr>
                <w:sz w:val="15"/>
                <w:szCs w:val="15"/>
                <w:color w:val="auto"/>
              </w:rPr>
            </w:pPr>
          </w:p>
        </w:tc>
        <w:tc>
          <w:tcPr>
            <w:tcW w:w="1260" w:type="dxa"/>
            <w:vAlign w:val="bottom"/>
          </w:tcPr>
          <w:p>
            <w:pPr>
              <w:jc w:val="right"/>
              <w:spacing w:after="0" w:line="176" w:lineRule="exact"/>
              <w:rPr>
                <w:sz w:val="20"/>
                <w:szCs w:val="20"/>
                <w:color w:val="auto"/>
              </w:rPr>
            </w:pPr>
            <w:r>
              <w:rPr>
                <w:rFonts w:ascii="Arial" w:cs="Arial" w:eastAsia="Arial" w:hAnsi="Arial"/>
                <w:sz w:val="16"/>
                <w:szCs w:val="16"/>
                <w:color w:val="auto"/>
              </w:rPr>
              <w:t>364</w:t>
            </w:r>
          </w:p>
        </w:tc>
        <w:tc>
          <w:tcPr>
            <w:tcW w:w="0" w:type="dxa"/>
            <w:vAlign w:val="bottom"/>
          </w:tcPr>
          <w:p>
            <w:pPr>
              <w:spacing w:after="0"/>
              <w:rPr>
                <w:sz w:val="1"/>
                <w:szCs w:val="1"/>
                <w:color w:val="auto"/>
              </w:rPr>
            </w:pPr>
          </w:p>
        </w:tc>
      </w:tr>
      <w:tr>
        <w:trPr>
          <w:trHeight w:val="176"/>
        </w:trPr>
        <w:tc>
          <w:tcPr>
            <w:tcW w:w="180" w:type="dxa"/>
            <w:vAlign w:val="bottom"/>
          </w:tcPr>
          <w:p>
            <w:pPr>
              <w:spacing w:after="0"/>
              <w:rPr>
                <w:sz w:val="15"/>
                <w:szCs w:val="15"/>
                <w:color w:val="auto"/>
              </w:rPr>
            </w:pPr>
          </w:p>
        </w:tc>
        <w:tc>
          <w:tcPr>
            <w:tcW w:w="8400" w:type="dxa"/>
            <w:vAlign w:val="bottom"/>
          </w:tcPr>
          <w:p>
            <w:pPr>
              <w:spacing w:after="0" w:line="176" w:lineRule="exact"/>
              <w:rPr>
                <w:sz w:val="20"/>
                <w:szCs w:val="20"/>
                <w:color w:val="auto"/>
              </w:rPr>
            </w:pPr>
            <w:r>
              <w:rPr>
                <w:rFonts w:ascii="Arial" w:cs="Arial" w:eastAsia="Arial" w:hAnsi="Arial"/>
                <w:sz w:val="16"/>
                <w:szCs w:val="16"/>
                <w:color w:val="auto"/>
              </w:rPr>
              <w:t>Other regulatory assets</w:t>
            </w:r>
          </w:p>
        </w:tc>
        <w:tc>
          <w:tcPr>
            <w:tcW w:w="200" w:type="dxa"/>
            <w:vAlign w:val="bottom"/>
          </w:tcPr>
          <w:p>
            <w:pPr>
              <w:spacing w:after="0"/>
              <w:rPr>
                <w:sz w:val="15"/>
                <w:szCs w:val="15"/>
                <w:color w:val="auto"/>
              </w:rPr>
            </w:pPr>
          </w:p>
        </w:tc>
        <w:tc>
          <w:tcPr>
            <w:tcW w:w="1200" w:type="dxa"/>
            <w:vAlign w:val="bottom"/>
          </w:tcPr>
          <w:p>
            <w:pPr>
              <w:jc w:val="right"/>
              <w:spacing w:after="0" w:line="176" w:lineRule="exact"/>
              <w:rPr>
                <w:sz w:val="20"/>
                <w:szCs w:val="20"/>
                <w:color w:val="auto"/>
              </w:rPr>
            </w:pPr>
            <w:r>
              <w:rPr>
                <w:rFonts w:ascii="Arial" w:cs="Arial" w:eastAsia="Arial" w:hAnsi="Arial"/>
                <w:sz w:val="16"/>
                <w:szCs w:val="16"/>
                <w:color w:val="auto"/>
              </w:rPr>
              <w:t>73</w:t>
            </w:r>
          </w:p>
        </w:tc>
        <w:tc>
          <w:tcPr>
            <w:tcW w:w="180" w:type="dxa"/>
            <w:vAlign w:val="bottom"/>
          </w:tcPr>
          <w:p>
            <w:pPr>
              <w:spacing w:after="0"/>
              <w:rPr>
                <w:sz w:val="15"/>
                <w:szCs w:val="15"/>
                <w:color w:val="auto"/>
              </w:rPr>
            </w:pPr>
          </w:p>
        </w:tc>
        <w:tc>
          <w:tcPr>
            <w:tcW w:w="1260" w:type="dxa"/>
            <w:vAlign w:val="bottom"/>
          </w:tcPr>
          <w:p>
            <w:pPr>
              <w:jc w:val="right"/>
              <w:spacing w:after="0" w:line="176" w:lineRule="exact"/>
              <w:rPr>
                <w:sz w:val="20"/>
                <w:szCs w:val="20"/>
                <w:color w:val="auto"/>
              </w:rPr>
            </w:pPr>
            <w:r>
              <w:rPr>
                <w:rFonts w:ascii="Arial" w:cs="Arial" w:eastAsia="Arial" w:hAnsi="Arial"/>
                <w:sz w:val="16"/>
                <w:szCs w:val="16"/>
                <w:color w:val="auto"/>
              </w:rPr>
              <w:t>73</w:t>
            </w:r>
          </w:p>
        </w:tc>
        <w:tc>
          <w:tcPr>
            <w:tcW w:w="0" w:type="dxa"/>
            <w:vAlign w:val="bottom"/>
          </w:tcPr>
          <w:p>
            <w:pPr>
              <w:spacing w:after="0"/>
              <w:rPr>
                <w:sz w:val="1"/>
                <w:szCs w:val="1"/>
                <w:color w:val="auto"/>
              </w:rPr>
            </w:pPr>
          </w:p>
        </w:tc>
      </w:tr>
      <w:tr>
        <w:trPr>
          <w:trHeight w:val="176"/>
        </w:trPr>
        <w:tc>
          <w:tcPr>
            <w:tcW w:w="180" w:type="dxa"/>
            <w:vAlign w:val="bottom"/>
          </w:tcPr>
          <w:p>
            <w:pPr>
              <w:spacing w:after="0"/>
              <w:rPr>
                <w:sz w:val="15"/>
                <w:szCs w:val="15"/>
                <w:color w:val="auto"/>
              </w:rPr>
            </w:pPr>
          </w:p>
        </w:tc>
        <w:tc>
          <w:tcPr>
            <w:tcW w:w="8400" w:type="dxa"/>
            <w:vAlign w:val="bottom"/>
          </w:tcPr>
          <w:p>
            <w:pPr>
              <w:spacing w:after="0" w:line="176" w:lineRule="exact"/>
              <w:rPr>
                <w:sz w:val="20"/>
                <w:szCs w:val="20"/>
                <w:color w:val="auto"/>
              </w:rPr>
            </w:pPr>
            <w:r>
              <w:rPr>
                <w:rFonts w:ascii="Arial" w:cs="Arial" w:eastAsia="Arial" w:hAnsi="Arial"/>
                <w:sz w:val="16"/>
                <w:szCs w:val="16"/>
                <w:color w:val="auto"/>
              </w:rPr>
              <w:t>Nuclear decommissioning trusts</w:t>
            </w:r>
          </w:p>
        </w:tc>
        <w:tc>
          <w:tcPr>
            <w:tcW w:w="200" w:type="dxa"/>
            <w:vAlign w:val="bottom"/>
          </w:tcPr>
          <w:p>
            <w:pPr>
              <w:spacing w:after="0"/>
              <w:rPr>
                <w:sz w:val="15"/>
                <w:szCs w:val="15"/>
                <w:color w:val="auto"/>
              </w:rPr>
            </w:pPr>
          </w:p>
        </w:tc>
        <w:tc>
          <w:tcPr>
            <w:tcW w:w="1200" w:type="dxa"/>
            <w:vAlign w:val="bottom"/>
          </w:tcPr>
          <w:p>
            <w:pPr>
              <w:jc w:val="right"/>
              <w:spacing w:after="0" w:line="176" w:lineRule="exact"/>
              <w:rPr>
                <w:sz w:val="20"/>
                <w:szCs w:val="20"/>
                <w:color w:val="auto"/>
              </w:rPr>
            </w:pPr>
            <w:r>
              <w:rPr>
                <w:rFonts w:ascii="Arial" w:cs="Arial" w:eastAsia="Arial" w:hAnsi="Arial"/>
                <w:sz w:val="16"/>
                <w:szCs w:val="16"/>
                <w:color w:val="auto"/>
              </w:rPr>
              <w:t>808</w:t>
            </w:r>
          </w:p>
        </w:tc>
        <w:tc>
          <w:tcPr>
            <w:tcW w:w="180" w:type="dxa"/>
            <w:vAlign w:val="bottom"/>
          </w:tcPr>
          <w:p>
            <w:pPr>
              <w:spacing w:after="0"/>
              <w:rPr>
                <w:sz w:val="15"/>
                <w:szCs w:val="15"/>
                <w:color w:val="auto"/>
              </w:rPr>
            </w:pPr>
          </w:p>
        </w:tc>
        <w:tc>
          <w:tcPr>
            <w:tcW w:w="1260" w:type="dxa"/>
            <w:vAlign w:val="bottom"/>
          </w:tcPr>
          <w:p>
            <w:pPr>
              <w:jc w:val="right"/>
              <w:spacing w:after="0" w:line="176" w:lineRule="exact"/>
              <w:rPr>
                <w:sz w:val="20"/>
                <w:szCs w:val="20"/>
                <w:color w:val="auto"/>
              </w:rPr>
            </w:pPr>
            <w:r>
              <w:rPr>
                <w:rFonts w:ascii="Arial" w:cs="Arial" w:eastAsia="Arial" w:hAnsi="Arial"/>
                <w:sz w:val="16"/>
                <w:szCs w:val="16"/>
                <w:color w:val="auto"/>
              </w:rPr>
              <w:t>769</w:t>
            </w:r>
          </w:p>
        </w:tc>
        <w:tc>
          <w:tcPr>
            <w:tcW w:w="0" w:type="dxa"/>
            <w:vAlign w:val="bottom"/>
          </w:tcPr>
          <w:p>
            <w:pPr>
              <w:spacing w:after="0"/>
              <w:rPr>
                <w:sz w:val="1"/>
                <w:szCs w:val="1"/>
                <w:color w:val="auto"/>
              </w:rPr>
            </w:pPr>
          </w:p>
        </w:tc>
      </w:tr>
      <w:tr>
        <w:trPr>
          <w:trHeight w:val="194"/>
        </w:trPr>
        <w:tc>
          <w:tcPr>
            <w:tcW w:w="180" w:type="dxa"/>
            <w:vAlign w:val="bottom"/>
          </w:tcPr>
          <w:p>
            <w:pPr>
              <w:spacing w:after="0"/>
              <w:rPr>
                <w:sz w:val="16"/>
                <w:szCs w:val="16"/>
                <w:color w:val="auto"/>
              </w:rPr>
            </w:pPr>
          </w:p>
        </w:tc>
        <w:tc>
          <w:tcPr>
            <w:tcW w:w="8400" w:type="dxa"/>
            <w:vAlign w:val="bottom"/>
          </w:tcPr>
          <w:p>
            <w:pPr>
              <w:spacing w:after="0"/>
              <w:rPr>
                <w:sz w:val="20"/>
                <w:szCs w:val="20"/>
                <w:color w:val="auto"/>
              </w:rPr>
            </w:pPr>
            <w:r>
              <w:rPr>
                <w:rFonts w:ascii="Arial" w:cs="Arial" w:eastAsia="Arial" w:hAnsi="Arial"/>
                <w:sz w:val="16"/>
                <w:szCs w:val="16"/>
                <w:color w:val="auto"/>
              </w:rPr>
              <w:t>Sundry</w:t>
            </w:r>
          </w:p>
        </w:tc>
        <w:tc>
          <w:tcPr>
            <w:tcW w:w="2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127</w:t>
            </w:r>
          </w:p>
        </w:tc>
        <w:tc>
          <w:tcPr>
            <w:tcW w:w="1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56</w:t>
            </w:r>
          </w:p>
        </w:tc>
        <w:tc>
          <w:tcPr>
            <w:tcW w:w="0" w:type="dxa"/>
            <w:vAlign w:val="bottom"/>
          </w:tcPr>
          <w:p>
            <w:pPr>
              <w:spacing w:after="0"/>
              <w:rPr>
                <w:sz w:val="1"/>
                <w:szCs w:val="1"/>
                <w:color w:val="auto"/>
              </w:rPr>
            </w:pPr>
          </w:p>
        </w:tc>
      </w:tr>
      <w:tr>
        <w:trPr>
          <w:trHeight w:val="183"/>
        </w:trPr>
        <w:tc>
          <w:tcPr>
            <w:tcW w:w="180" w:type="dxa"/>
            <w:vAlign w:val="bottom"/>
          </w:tcPr>
          <w:p>
            <w:pPr>
              <w:spacing w:after="0"/>
              <w:rPr>
                <w:sz w:val="15"/>
                <w:szCs w:val="15"/>
                <w:color w:val="auto"/>
              </w:rPr>
            </w:pPr>
          </w:p>
        </w:tc>
        <w:tc>
          <w:tcPr>
            <w:tcW w:w="8400" w:type="dxa"/>
            <w:vAlign w:val="bottom"/>
          </w:tcPr>
          <w:p>
            <w:pPr>
              <w:ind w:left="180"/>
              <w:spacing w:after="0" w:line="176" w:lineRule="exact"/>
              <w:rPr>
                <w:sz w:val="20"/>
                <w:szCs w:val="20"/>
                <w:color w:val="auto"/>
              </w:rPr>
            </w:pPr>
            <w:r>
              <w:rPr>
                <w:rFonts w:ascii="Arial" w:cs="Arial" w:eastAsia="Arial" w:hAnsi="Arial"/>
                <w:sz w:val="16"/>
                <w:szCs w:val="16"/>
                <w:color w:val="auto"/>
              </w:rPr>
              <w:t>Total other assets</w:t>
            </w:r>
          </w:p>
        </w:tc>
        <w:tc>
          <w:tcPr>
            <w:tcW w:w="20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6"/>
                <w:szCs w:val="16"/>
                <w:color w:val="auto"/>
              </w:rPr>
              <w:t>2,429</w:t>
            </w:r>
          </w:p>
        </w:tc>
        <w:tc>
          <w:tcPr>
            <w:tcW w:w="18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6"/>
                <w:szCs w:val="16"/>
                <w:color w:val="auto"/>
              </w:rPr>
              <w:t>2,276</w:t>
            </w:r>
          </w:p>
        </w:tc>
        <w:tc>
          <w:tcPr>
            <w:tcW w:w="0" w:type="dxa"/>
            <w:vAlign w:val="bottom"/>
          </w:tcPr>
          <w:p>
            <w:pPr>
              <w:spacing w:after="0"/>
              <w:rPr>
                <w:sz w:val="1"/>
                <w:szCs w:val="1"/>
                <w:color w:val="auto"/>
              </w:rPr>
            </w:pPr>
          </w:p>
        </w:tc>
      </w:tr>
      <w:tr>
        <w:trPr>
          <w:trHeight w:val="367"/>
        </w:trPr>
        <w:tc>
          <w:tcPr>
            <w:tcW w:w="8580" w:type="dxa"/>
            <w:vAlign w:val="bottom"/>
            <w:gridSpan w:val="2"/>
          </w:tcPr>
          <w:p>
            <w:pPr>
              <w:spacing w:after="0"/>
              <w:rPr>
                <w:sz w:val="20"/>
                <w:szCs w:val="20"/>
                <w:color w:val="auto"/>
              </w:rPr>
            </w:pPr>
            <w:r>
              <w:rPr>
                <w:rFonts w:ascii="Arial" w:cs="Arial" w:eastAsia="Arial" w:hAnsi="Arial"/>
                <w:sz w:val="16"/>
                <w:szCs w:val="16"/>
                <w:color w:val="auto"/>
              </w:rPr>
              <w:t>Property, plant and equipment:</w:t>
            </w:r>
          </w:p>
        </w:tc>
        <w:tc>
          <w:tcPr>
            <w:tcW w:w="2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180" w:type="dxa"/>
            <w:vAlign w:val="bottom"/>
          </w:tcPr>
          <w:p>
            <w:pPr>
              <w:spacing w:after="0"/>
              <w:rPr>
                <w:sz w:val="15"/>
                <w:szCs w:val="15"/>
                <w:color w:val="auto"/>
              </w:rPr>
            </w:pPr>
          </w:p>
        </w:tc>
        <w:tc>
          <w:tcPr>
            <w:tcW w:w="8400" w:type="dxa"/>
            <w:vAlign w:val="bottom"/>
          </w:tcPr>
          <w:p>
            <w:pPr>
              <w:spacing w:after="0" w:line="176" w:lineRule="exact"/>
              <w:rPr>
                <w:sz w:val="20"/>
                <w:szCs w:val="20"/>
                <w:color w:val="auto"/>
              </w:rPr>
            </w:pPr>
            <w:r>
              <w:rPr>
                <w:rFonts w:ascii="Arial" w:cs="Arial" w:eastAsia="Arial" w:hAnsi="Arial"/>
                <w:sz w:val="16"/>
                <w:szCs w:val="16"/>
                <w:color w:val="auto"/>
              </w:rPr>
              <w:t>Property, plant and equipment</w:t>
            </w:r>
          </w:p>
        </w:tc>
        <w:tc>
          <w:tcPr>
            <w:tcW w:w="200" w:type="dxa"/>
            <w:vAlign w:val="bottom"/>
          </w:tcPr>
          <w:p>
            <w:pPr>
              <w:spacing w:after="0"/>
              <w:rPr>
                <w:sz w:val="15"/>
                <w:szCs w:val="15"/>
                <w:color w:val="auto"/>
              </w:rPr>
            </w:pPr>
          </w:p>
        </w:tc>
        <w:tc>
          <w:tcPr>
            <w:tcW w:w="1200" w:type="dxa"/>
            <w:vAlign w:val="bottom"/>
          </w:tcPr>
          <w:p>
            <w:pPr>
              <w:jc w:val="right"/>
              <w:spacing w:after="0" w:line="176" w:lineRule="exact"/>
              <w:rPr>
                <w:sz w:val="20"/>
                <w:szCs w:val="20"/>
                <w:color w:val="auto"/>
              </w:rPr>
            </w:pPr>
            <w:r>
              <w:rPr>
                <w:rFonts w:ascii="Arial" w:cs="Arial" w:eastAsia="Arial" w:hAnsi="Arial"/>
                <w:sz w:val="16"/>
                <w:szCs w:val="16"/>
                <w:color w:val="auto"/>
              </w:rPr>
              <w:t>11,723</w:t>
            </w:r>
          </w:p>
        </w:tc>
        <w:tc>
          <w:tcPr>
            <w:tcW w:w="180" w:type="dxa"/>
            <w:vAlign w:val="bottom"/>
          </w:tcPr>
          <w:p>
            <w:pPr>
              <w:spacing w:after="0"/>
              <w:rPr>
                <w:sz w:val="15"/>
                <w:szCs w:val="15"/>
                <w:color w:val="auto"/>
              </w:rPr>
            </w:pPr>
          </w:p>
        </w:tc>
        <w:tc>
          <w:tcPr>
            <w:tcW w:w="1260" w:type="dxa"/>
            <w:vAlign w:val="bottom"/>
          </w:tcPr>
          <w:p>
            <w:pPr>
              <w:jc w:val="right"/>
              <w:spacing w:after="0" w:line="176" w:lineRule="exact"/>
              <w:rPr>
                <w:sz w:val="20"/>
                <w:szCs w:val="20"/>
                <w:color w:val="auto"/>
              </w:rPr>
            </w:pPr>
            <w:r>
              <w:rPr>
                <w:rFonts w:ascii="Arial" w:cs="Arial" w:eastAsia="Arial" w:hAnsi="Arial"/>
                <w:sz w:val="16"/>
                <w:szCs w:val="16"/>
                <w:color w:val="auto"/>
              </w:rPr>
              <w:t>11,247</w:t>
            </w:r>
          </w:p>
        </w:tc>
        <w:tc>
          <w:tcPr>
            <w:tcW w:w="0" w:type="dxa"/>
            <w:vAlign w:val="bottom"/>
          </w:tcPr>
          <w:p>
            <w:pPr>
              <w:spacing w:after="0"/>
              <w:rPr>
                <w:sz w:val="1"/>
                <w:szCs w:val="1"/>
                <w:color w:val="auto"/>
              </w:rPr>
            </w:pPr>
          </w:p>
        </w:tc>
      </w:tr>
      <w:tr>
        <w:trPr>
          <w:trHeight w:val="194"/>
        </w:trPr>
        <w:tc>
          <w:tcPr>
            <w:tcW w:w="180" w:type="dxa"/>
            <w:vAlign w:val="bottom"/>
          </w:tcPr>
          <w:p>
            <w:pPr>
              <w:spacing w:after="0"/>
              <w:rPr>
                <w:sz w:val="16"/>
                <w:szCs w:val="16"/>
                <w:color w:val="auto"/>
              </w:rPr>
            </w:pPr>
          </w:p>
        </w:tc>
        <w:tc>
          <w:tcPr>
            <w:tcW w:w="8400" w:type="dxa"/>
            <w:vAlign w:val="bottom"/>
          </w:tcPr>
          <w:p>
            <w:pPr>
              <w:spacing w:after="0"/>
              <w:rPr>
                <w:sz w:val="20"/>
                <w:szCs w:val="20"/>
                <w:color w:val="auto"/>
              </w:rPr>
            </w:pPr>
            <w:r>
              <w:rPr>
                <w:rFonts w:ascii="Arial" w:cs="Arial" w:eastAsia="Arial" w:hAnsi="Arial"/>
                <w:sz w:val="16"/>
                <w:szCs w:val="16"/>
                <w:color w:val="auto"/>
              </w:rPr>
              <w:t>Less accumulated depreciation and amortization</w:t>
            </w:r>
          </w:p>
        </w:tc>
        <w:tc>
          <w:tcPr>
            <w:tcW w:w="2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(2,641)</w:t>
            </w:r>
          </w:p>
        </w:tc>
        <w:tc>
          <w:tcPr>
            <w:tcW w:w="1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(2,694)</w:t>
            </w:r>
          </w:p>
        </w:tc>
        <w:tc>
          <w:tcPr>
            <w:tcW w:w="0" w:type="dxa"/>
            <w:vAlign w:val="bottom"/>
          </w:tcPr>
          <w:p>
            <w:pPr>
              <w:spacing w:after="0"/>
              <w:rPr>
                <w:sz w:val="1"/>
                <w:szCs w:val="1"/>
                <w:color w:val="auto"/>
              </w:rPr>
            </w:pPr>
          </w:p>
        </w:tc>
      </w:tr>
      <w:tr>
        <w:trPr>
          <w:trHeight w:val="164"/>
        </w:trPr>
        <w:tc>
          <w:tcPr>
            <w:tcW w:w="180" w:type="dxa"/>
            <w:vAlign w:val="bottom"/>
          </w:tcPr>
          <w:p>
            <w:pPr>
              <w:spacing w:after="0"/>
              <w:rPr>
                <w:sz w:val="14"/>
                <w:szCs w:val="14"/>
                <w:color w:val="auto"/>
              </w:rPr>
            </w:pPr>
          </w:p>
        </w:tc>
        <w:tc>
          <w:tcPr>
            <w:tcW w:w="8400" w:type="dxa"/>
            <w:vAlign w:val="bottom"/>
          </w:tcPr>
          <w:p>
            <w:pPr>
              <w:ind w:left="180"/>
              <w:spacing w:after="0" w:line="164" w:lineRule="exact"/>
              <w:rPr>
                <w:sz w:val="20"/>
                <w:szCs w:val="20"/>
                <w:color w:val="auto"/>
              </w:rPr>
            </w:pPr>
            <w:r>
              <w:rPr>
                <w:rFonts w:ascii="Arial" w:cs="Arial" w:eastAsia="Arial" w:hAnsi="Arial"/>
                <w:sz w:val="16"/>
                <w:szCs w:val="16"/>
                <w:color w:val="auto"/>
              </w:rPr>
              <w:t>Property, plant and equipment, net ($503 and $516 at June 30, 2011 and</w:t>
            </w:r>
          </w:p>
        </w:tc>
        <w:tc>
          <w:tcPr>
            <w:tcW w:w="200" w:type="dxa"/>
            <w:vAlign w:val="bottom"/>
          </w:tcPr>
          <w:p>
            <w:pPr>
              <w:spacing w:after="0"/>
              <w:rPr>
                <w:sz w:val="14"/>
                <w:szCs w:val="14"/>
                <w:color w:val="auto"/>
              </w:rPr>
            </w:pPr>
          </w:p>
        </w:tc>
        <w:tc>
          <w:tcPr>
            <w:tcW w:w="1200" w:type="dxa"/>
            <w:vAlign w:val="bottom"/>
            <w:vMerge w:val="restart"/>
          </w:tcPr>
          <w:p>
            <w:pPr>
              <w:jc w:val="right"/>
              <w:spacing w:after="0"/>
              <w:rPr>
                <w:sz w:val="20"/>
                <w:szCs w:val="20"/>
                <w:color w:val="auto"/>
              </w:rPr>
            </w:pPr>
            <w:r>
              <w:rPr>
                <w:rFonts w:ascii="Arial" w:cs="Arial" w:eastAsia="Arial" w:hAnsi="Arial"/>
                <w:sz w:val="16"/>
                <w:szCs w:val="16"/>
                <w:color w:val="auto"/>
              </w:rPr>
              <w:t>9,082</w:t>
            </w:r>
          </w:p>
        </w:tc>
        <w:tc>
          <w:tcPr>
            <w:tcW w:w="180" w:type="dxa"/>
            <w:vAlign w:val="bottom"/>
          </w:tcPr>
          <w:p>
            <w:pPr>
              <w:spacing w:after="0"/>
              <w:rPr>
                <w:sz w:val="14"/>
                <w:szCs w:val="14"/>
                <w:color w:val="auto"/>
              </w:rPr>
            </w:pPr>
          </w:p>
        </w:tc>
        <w:tc>
          <w:tcPr>
            <w:tcW w:w="1260" w:type="dxa"/>
            <w:vAlign w:val="bottom"/>
            <w:vMerge w:val="restart"/>
          </w:tcPr>
          <w:p>
            <w:pPr>
              <w:jc w:val="right"/>
              <w:spacing w:after="0"/>
              <w:rPr>
                <w:sz w:val="20"/>
                <w:szCs w:val="20"/>
                <w:color w:val="auto"/>
              </w:rPr>
            </w:pPr>
            <w:r>
              <w:rPr>
                <w:rFonts w:ascii="Arial" w:cs="Arial" w:eastAsia="Arial" w:hAnsi="Arial"/>
                <w:sz w:val="16"/>
                <w:szCs w:val="16"/>
                <w:color w:val="auto"/>
              </w:rPr>
              <w:t>8,553</w:t>
            </w:r>
          </w:p>
        </w:tc>
        <w:tc>
          <w:tcPr>
            <w:tcW w:w="0" w:type="dxa"/>
            <w:vAlign w:val="bottom"/>
          </w:tcPr>
          <w:p>
            <w:pPr>
              <w:spacing w:after="0"/>
              <w:rPr>
                <w:sz w:val="1"/>
                <w:szCs w:val="1"/>
                <w:color w:val="auto"/>
              </w:rPr>
            </w:pPr>
          </w:p>
        </w:tc>
      </w:tr>
      <w:tr>
        <w:trPr>
          <w:trHeight w:val="167"/>
        </w:trPr>
        <w:tc>
          <w:tcPr>
            <w:tcW w:w="180" w:type="dxa"/>
            <w:vAlign w:val="bottom"/>
          </w:tcPr>
          <w:p>
            <w:pPr>
              <w:spacing w:after="0"/>
              <w:rPr>
                <w:sz w:val="14"/>
                <w:szCs w:val="14"/>
                <w:color w:val="auto"/>
              </w:rPr>
            </w:pPr>
          </w:p>
        </w:tc>
        <w:tc>
          <w:tcPr>
            <w:tcW w:w="8400" w:type="dxa"/>
            <w:vAlign w:val="bottom"/>
          </w:tcPr>
          <w:p>
            <w:pPr>
              <w:ind w:left="360"/>
              <w:spacing w:after="0" w:line="160" w:lineRule="exact"/>
              <w:rPr>
                <w:sz w:val="20"/>
                <w:szCs w:val="20"/>
                <w:color w:val="auto"/>
              </w:rPr>
            </w:pPr>
            <w:r>
              <w:rPr>
                <w:rFonts w:ascii="Arial" w:cs="Arial" w:eastAsia="Arial" w:hAnsi="Arial"/>
                <w:sz w:val="16"/>
                <w:szCs w:val="16"/>
                <w:color w:val="auto"/>
              </w:rPr>
              <w:t>December 31, 2010, respectively, related to VIE)</w:t>
            </w:r>
          </w:p>
        </w:tc>
        <w:tc>
          <w:tcPr>
            <w:tcW w:w="20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vMerge w:val="continue"/>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8580" w:type="dxa"/>
            <w:vAlign w:val="bottom"/>
            <w:tcBorders>
              <w:bottom w:val="single" w:sz="8" w:color="auto"/>
            </w:tcBorders>
            <w:gridSpan w:val="2"/>
          </w:tcPr>
          <w:p>
            <w:pPr>
              <w:spacing w:after="0" w:line="176" w:lineRule="exact"/>
              <w:rPr>
                <w:sz w:val="20"/>
                <w:szCs w:val="20"/>
                <w:color w:val="auto"/>
              </w:rPr>
            </w:pPr>
            <w:r>
              <w:rPr>
                <w:rFonts w:ascii="Arial" w:cs="Arial" w:eastAsia="Arial" w:hAnsi="Arial"/>
                <w:sz w:val="16"/>
                <w:szCs w:val="16"/>
                <w:color w:val="auto"/>
              </w:rPr>
              <w:t>Total assets</w:t>
            </w:r>
          </w:p>
        </w:tc>
        <w:tc>
          <w:tcPr>
            <w:tcW w:w="200" w:type="dxa"/>
            <w:vAlign w:val="bottom"/>
            <w:tcBorders>
              <w:bottom w:val="single" w:sz="8" w:color="auto"/>
            </w:tcBorders>
          </w:tcPr>
          <w:p>
            <w:pPr>
              <w:jc w:val="right"/>
              <w:ind w:right="44"/>
              <w:spacing w:after="0"/>
              <w:rPr>
                <w:sz w:val="20"/>
                <w:szCs w:val="20"/>
                <w:color w:val="auto"/>
              </w:rPr>
            </w:pPr>
            <w:r>
              <w:rPr>
                <w:rFonts w:ascii="Arial" w:cs="Arial" w:eastAsia="Arial" w:hAnsi="Arial"/>
                <w:sz w:val="15"/>
                <w:szCs w:val="15"/>
                <w:color w:val="auto"/>
                <w:w w:val="71"/>
              </w:rPr>
              <w:t>$</w:t>
            </w:r>
          </w:p>
        </w:tc>
        <w:tc>
          <w:tcPr>
            <w:tcW w:w="120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6"/>
                <w:szCs w:val="16"/>
                <w:color w:val="auto"/>
              </w:rPr>
              <w:t>12,366</w:t>
            </w:r>
          </w:p>
        </w:tc>
        <w:tc>
          <w:tcPr>
            <w:tcW w:w="18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6"/>
                <w:szCs w:val="16"/>
                <w:color w:val="auto"/>
              </w:rPr>
              <w:t>12,077</w:t>
            </w:r>
          </w:p>
        </w:tc>
        <w:tc>
          <w:tcPr>
            <w:tcW w:w="0" w:type="dxa"/>
            <w:vAlign w:val="bottom"/>
          </w:tcPr>
          <w:p>
            <w:pPr>
              <w:spacing w:after="0"/>
              <w:rPr>
                <w:sz w:val="1"/>
                <w:szCs w:val="1"/>
                <w:color w:val="auto"/>
              </w:rPr>
            </w:pPr>
          </w:p>
        </w:tc>
      </w:tr>
      <w:tr>
        <w:trPr>
          <w:trHeight w:val="166"/>
        </w:trPr>
        <w:tc>
          <w:tcPr>
            <w:tcW w:w="180" w:type="dxa"/>
            <w:vAlign w:val="bottom"/>
          </w:tcPr>
          <w:p>
            <w:pPr>
              <w:spacing w:after="0"/>
              <w:rPr>
                <w:sz w:val="20"/>
                <w:szCs w:val="20"/>
                <w:color w:val="auto"/>
              </w:rPr>
            </w:pPr>
            <w:r>
              <w:rPr>
                <w:rFonts w:ascii="Arial" w:cs="Arial" w:eastAsia="Arial" w:hAnsi="Arial"/>
                <w:sz w:val="14"/>
                <w:szCs w:val="14"/>
                <w:i w:val="1"/>
                <w:iCs w:val="1"/>
                <w:color w:val="auto"/>
                <w:w w:val="93"/>
              </w:rPr>
              <w:t>(1)</w:t>
            </w:r>
          </w:p>
        </w:tc>
        <w:tc>
          <w:tcPr>
            <w:tcW w:w="8400" w:type="dxa"/>
            <w:vAlign w:val="bottom"/>
          </w:tcPr>
          <w:p>
            <w:pPr>
              <w:ind w:left="320"/>
              <w:spacing w:after="0"/>
              <w:rPr>
                <w:sz w:val="20"/>
                <w:szCs w:val="20"/>
                <w:color w:val="auto"/>
              </w:rPr>
            </w:pPr>
            <w:r>
              <w:rPr>
                <w:rFonts w:ascii="Arial" w:cs="Arial" w:eastAsia="Arial" w:hAnsi="Arial"/>
                <w:sz w:val="14"/>
                <w:szCs w:val="14"/>
                <w:i w:val="1"/>
                <w:iCs w:val="1"/>
                <w:color w:val="auto"/>
              </w:rPr>
              <w:t>Derived from audited financial statements.</w:t>
            </w:r>
          </w:p>
        </w:tc>
        <w:tc>
          <w:tcPr>
            <w:tcW w:w="2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8580" w:type="dxa"/>
            <w:vAlign w:val="bottom"/>
            <w:gridSpan w:val="2"/>
          </w:tcPr>
          <w:p>
            <w:pPr>
              <w:spacing w:after="0"/>
              <w:rPr>
                <w:sz w:val="20"/>
                <w:szCs w:val="20"/>
                <w:color w:val="auto"/>
              </w:rPr>
            </w:pPr>
            <w:r>
              <w:rPr>
                <w:rFonts w:ascii="Arial" w:cs="Arial" w:eastAsia="Arial" w:hAnsi="Arial"/>
                <w:sz w:val="14"/>
                <w:szCs w:val="14"/>
                <w:i w:val="1"/>
                <w:iCs w:val="1"/>
                <w:color w:val="auto"/>
              </w:rPr>
              <w:t>See Notes to Condensed Consolidated Financial Statements.</w:t>
            </w:r>
          </w:p>
        </w:tc>
        <w:tc>
          <w:tcPr>
            <w:tcW w:w="2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513" w:right="239" w:bottom="1440" w:gutter="0" w:footer="0" w:header="0"/>
        </w:sectPr>
      </w:pPr>
    </w:p>
    <w:bookmarkStart w:id="13" w:name="page14"/>
    <w:bookmarkEnd w:id="13"/>
    <w:p>
      <w:pPr>
        <w:spacing w:after="0"/>
        <w:rPr>
          <w:sz w:val="20"/>
          <w:szCs w:val="20"/>
          <w:color w:val="auto"/>
        </w:rPr>
      </w:pPr>
      <w:r>
        <w:rPr>
          <w:rFonts w:ascii="Arial" w:cs="Arial" w:eastAsia="Arial" w:hAnsi="Arial"/>
          <w:sz w:val="16"/>
          <w:szCs w:val="16"/>
          <w:b w:val="1"/>
          <w:bCs w:val="1"/>
          <w:color w:val="auto"/>
        </w:rPr>
        <w:t>SAN DIEGO GAS &amp; ELECTRIC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-104775</wp:posOffset>
            </wp:positionV>
            <wp:extent cx="7246620" cy="3346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334645"/>
                    </a:xfrm>
                    <a:prstGeom prst="rect">
                      <a:avLst/>
                    </a:prstGeom>
                    <a:noFill/>
                  </pic:spPr>
                </pic:pic>
              </a:graphicData>
            </a:graphic>
          </wp:anchor>
        </w:drawing>
      </w:r>
    </w:p>
    <w:p>
      <w:pPr>
        <w:spacing w:after="0"/>
        <w:rPr>
          <w:sz w:val="20"/>
          <w:szCs w:val="20"/>
          <w:color w:val="auto"/>
        </w:rPr>
      </w:pPr>
      <w:r>
        <w:rPr>
          <w:rFonts w:ascii="Arial" w:cs="Arial" w:eastAsia="Arial" w:hAnsi="Arial"/>
          <w:sz w:val="16"/>
          <w:szCs w:val="16"/>
          <w:b w:val="1"/>
          <w:bCs w:val="1"/>
          <w:color w:val="auto"/>
        </w:rPr>
        <w:t>CONDENSED CONSOLIDATED BALANCE SHEETS</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8580" w:type="dxa"/>
            <w:vAlign w:val="bottom"/>
            <w:gridSpan w:val="2"/>
          </w:tcPr>
          <w:p>
            <w:pPr>
              <w:spacing w:after="0"/>
              <w:rPr>
                <w:sz w:val="20"/>
                <w:szCs w:val="20"/>
                <w:color w:val="auto"/>
              </w:rPr>
            </w:pPr>
            <w:r>
              <w:rPr>
                <w:rFonts w:ascii="Arial" w:cs="Arial" w:eastAsia="Arial" w:hAnsi="Arial"/>
                <w:sz w:val="14"/>
                <w:szCs w:val="14"/>
                <w:i w:val="1"/>
                <w:iCs w:val="1"/>
                <w:color w:val="auto"/>
              </w:rPr>
              <w:t>(Dollars in millions)</w:t>
            </w:r>
          </w:p>
        </w:tc>
        <w:tc>
          <w:tcPr>
            <w:tcW w:w="2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2"/>
        </w:trPr>
        <w:tc>
          <w:tcPr>
            <w:tcW w:w="180" w:type="dxa"/>
            <w:vAlign w:val="bottom"/>
          </w:tcPr>
          <w:p>
            <w:pPr>
              <w:spacing w:after="0"/>
              <w:rPr>
                <w:sz w:val="14"/>
                <w:szCs w:val="14"/>
                <w:color w:val="auto"/>
              </w:rPr>
            </w:pPr>
          </w:p>
        </w:tc>
        <w:tc>
          <w:tcPr>
            <w:tcW w:w="8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0" w:type="dxa"/>
            <w:vAlign w:val="bottom"/>
          </w:tcPr>
          <w:p>
            <w:pPr>
              <w:jc w:val="center"/>
              <w:ind w:right="120"/>
              <w:spacing w:after="0"/>
              <w:rPr>
                <w:sz w:val="20"/>
                <w:szCs w:val="20"/>
                <w:color w:val="auto"/>
              </w:rPr>
            </w:pPr>
            <w:r>
              <w:rPr>
                <w:rFonts w:ascii="Arial" w:cs="Arial" w:eastAsia="Arial" w:hAnsi="Arial"/>
                <w:sz w:val="14"/>
                <w:szCs w:val="14"/>
                <w:color w:val="auto"/>
              </w:rPr>
              <w:t>June 30,</w:t>
            </w:r>
          </w:p>
        </w:tc>
        <w:tc>
          <w:tcPr>
            <w:tcW w:w="180" w:type="dxa"/>
            <w:vAlign w:val="bottom"/>
          </w:tcPr>
          <w:p>
            <w:pPr>
              <w:spacing w:after="0"/>
              <w:rPr>
                <w:sz w:val="14"/>
                <w:szCs w:val="14"/>
                <w:color w:val="auto"/>
              </w:rPr>
            </w:pPr>
          </w:p>
        </w:tc>
        <w:tc>
          <w:tcPr>
            <w:tcW w:w="1260" w:type="dxa"/>
            <w:vAlign w:val="bottom"/>
          </w:tcPr>
          <w:p>
            <w:pPr>
              <w:jc w:val="right"/>
              <w:ind w:right="180"/>
              <w:spacing w:after="0"/>
              <w:rPr>
                <w:sz w:val="20"/>
                <w:szCs w:val="20"/>
                <w:color w:val="auto"/>
              </w:rPr>
            </w:pPr>
            <w:r>
              <w:rPr>
                <w:rFonts w:ascii="Arial" w:cs="Arial" w:eastAsia="Arial" w:hAnsi="Arial"/>
                <w:sz w:val="14"/>
                <w:szCs w:val="14"/>
                <w:color w:val="auto"/>
              </w:rPr>
              <w:t>December 31,</w:t>
            </w:r>
          </w:p>
        </w:tc>
        <w:tc>
          <w:tcPr>
            <w:tcW w:w="0" w:type="dxa"/>
            <w:vAlign w:val="bottom"/>
          </w:tcPr>
          <w:p>
            <w:pPr>
              <w:spacing w:after="0"/>
              <w:rPr>
                <w:sz w:val="1"/>
                <w:szCs w:val="1"/>
                <w:color w:val="auto"/>
              </w:rPr>
            </w:pPr>
          </w:p>
        </w:tc>
      </w:tr>
      <w:tr>
        <w:trPr>
          <w:trHeight w:val="168"/>
        </w:trPr>
        <w:tc>
          <w:tcPr>
            <w:tcW w:w="180" w:type="dxa"/>
            <w:vAlign w:val="bottom"/>
            <w:tcBorders>
              <w:bottom w:val="single" w:sz="8" w:color="auto"/>
            </w:tcBorders>
          </w:tcPr>
          <w:p>
            <w:pPr>
              <w:spacing w:after="0"/>
              <w:rPr>
                <w:sz w:val="14"/>
                <w:szCs w:val="14"/>
                <w:color w:val="auto"/>
              </w:rPr>
            </w:pPr>
          </w:p>
        </w:tc>
        <w:tc>
          <w:tcPr>
            <w:tcW w:w="84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center"/>
              <w:ind w:right="160"/>
              <w:spacing w:after="0"/>
              <w:rPr>
                <w:sz w:val="20"/>
                <w:szCs w:val="20"/>
                <w:color w:val="auto"/>
              </w:rPr>
            </w:pPr>
            <w:r>
              <w:rPr>
                <w:rFonts w:ascii="Arial" w:cs="Arial" w:eastAsia="Arial" w:hAnsi="Arial"/>
                <w:sz w:val="14"/>
                <w:szCs w:val="14"/>
                <w:color w:val="auto"/>
              </w:rPr>
              <w:t>2011</w:t>
            </w:r>
          </w:p>
        </w:tc>
        <w:tc>
          <w:tcPr>
            <w:tcW w:w="18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right"/>
              <w:ind w:right="380"/>
              <w:spacing w:after="0"/>
              <w:rPr>
                <w:sz w:val="20"/>
                <w:szCs w:val="20"/>
                <w:color w:val="auto"/>
              </w:rPr>
            </w:pPr>
            <w:r>
              <w:rPr>
                <w:rFonts w:ascii="Arial" w:cs="Arial" w:eastAsia="Arial" w:hAnsi="Arial"/>
                <w:sz w:val="14"/>
                <w:szCs w:val="14"/>
                <w:color w:val="auto"/>
              </w:rPr>
              <w:t>2010(1)</w:t>
            </w:r>
          </w:p>
        </w:tc>
        <w:tc>
          <w:tcPr>
            <w:tcW w:w="0" w:type="dxa"/>
            <w:vAlign w:val="bottom"/>
          </w:tcPr>
          <w:p>
            <w:pPr>
              <w:spacing w:after="0"/>
              <w:rPr>
                <w:sz w:val="1"/>
                <w:szCs w:val="1"/>
                <w:color w:val="auto"/>
              </w:rPr>
            </w:pPr>
          </w:p>
        </w:tc>
      </w:tr>
      <w:tr>
        <w:trPr>
          <w:trHeight w:val="191"/>
        </w:trPr>
        <w:tc>
          <w:tcPr>
            <w:tcW w:w="8580" w:type="dxa"/>
            <w:vAlign w:val="bottom"/>
            <w:gridSpan w:val="2"/>
            <w:vMerge w:val="restart"/>
          </w:tcPr>
          <w:p>
            <w:pPr>
              <w:spacing w:after="0"/>
              <w:rPr>
                <w:sz w:val="20"/>
                <w:szCs w:val="20"/>
                <w:color w:val="auto"/>
              </w:rPr>
            </w:pPr>
            <w:r>
              <w:rPr>
                <w:rFonts w:ascii="Arial" w:cs="Arial" w:eastAsia="Arial" w:hAnsi="Arial"/>
                <w:sz w:val="16"/>
                <w:szCs w:val="16"/>
                <w:color w:val="auto"/>
              </w:rPr>
              <w:t>LIABILITIES AND EQUITY</w:t>
            </w:r>
          </w:p>
        </w:tc>
        <w:tc>
          <w:tcPr>
            <w:tcW w:w="200" w:type="dxa"/>
            <w:vAlign w:val="bottom"/>
          </w:tcPr>
          <w:p>
            <w:pPr>
              <w:spacing w:after="0"/>
              <w:rPr>
                <w:sz w:val="16"/>
                <w:szCs w:val="16"/>
                <w:color w:val="auto"/>
              </w:rPr>
            </w:pPr>
          </w:p>
        </w:tc>
        <w:tc>
          <w:tcPr>
            <w:tcW w:w="1200" w:type="dxa"/>
            <w:vAlign w:val="bottom"/>
          </w:tcPr>
          <w:p>
            <w:pPr>
              <w:jc w:val="center"/>
              <w:ind w:right="120"/>
              <w:spacing w:after="0"/>
              <w:rPr>
                <w:sz w:val="20"/>
                <w:szCs w:val="20"/>
                <w:color w:val="auto"/>
              </w:rPr>
            </w:pPr>
            <w:r>
              <w:rPr>
                <w:rFonts w:ascii="Arial" w:cs="Arial" w:eastAsia="Arial" w:hAnsi="Arial"/>
                <w:sz w:val="14"/>
                <w:szCs w:val="14"/>
                <w:color w:val="auto"/>
              </w:rPr>
              <w:t>(unaudited)</w:t>
            </w:r>
          </w:p>
        </w:tc>
        <w:tc>
          <w:tcPr>
            <w:tcW w:w="1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858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8580" w:type="dxa"/>
            <w:vAlign w:val="bottom"/>
            <w:gridSpan w:val="2"/>
          </w:tcPr>
          <w:p>
            <w:pPr>
              <w:spacing w:after="0" w:line="176" w:lineRule="exact"/>
              <w:rPr>
                <w:sz w:val="20"/>
                <w:szCs w:val="20"/>
                <w:color w:val="auto"/>
              </w:rPr>
            </w:pPr>
            <w:r>
              <w:rPr>
                <w:rFonts w:ascii="Arial" w:cs="Arial" w:eastAsia="Arial" w:hAnsi="Arial"/>
                <w:sz w:val="16"/>
                <w:szCs w:val="16"/>
                <w:color w:val="auto"/>
              </w:rPr>
              <w:t>Current liabilities:</w:t>
            </w:r>
          </w:p>
        </w:tc>
        <w:tc>
          <w:tcPr>
            <w:tcW w:w="2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8580" w:type="dxa"/>
            <w:vAlign w:val="bottom"/>
            <w:gridSpan w:val="2"/>
          </w:tcPr>
          <w:p>
            <w:pPr>
              <w:ind w:left="180"/>
              <w:spacing w:after="0"/>
              <w:rPr>
                <w:sz w:val="20"/>
                <w:szCs w:val="20"/>
                <w:color w:val="auto"/>
              </w:rPr>
            </w:pPr>
            <w:r>
              <w:rPr>
                <w:rFonts w:ascii="Arial" w:cs="Arial" w:eastAsia="Arial" w:hAnsi="Arial"/>
                <w:sz w:val="16"/>
                <w:szCs w:val="16"/>
                <w:color w:val="auto"/>
              </w:rPr>
              <w:t>Accounts payable</w:t>
            </w:r>
          </w:p>
        </w:tc>
        <w:tc>
          <w:tcPr>
            <w:tcW w:w="200" w:type="dxa"/>
            <w:vAlign w:val="bottom"/>
          </w:tcPr>
          <w:p>
            <w:pPr>
              <w:jc w:val="right"/>
              <w:ind w:right="44"/>
              <w:spacing w:after="0"/>
              <w:rPr>
                <w:sz w:val="20"/>
                <w:szCs w:val="20"/>
                <w:color w:val="auto"/>
              </w:rPr>
            </w:pPr>
            <w:r>
              <w:rPr>
                <w:rFonts w:ascii="Arial" w:cs="Arial" w:eastAsia="Arial" w:hAnsi="Arial"/>
                <w:sz w:val="15"/>
                <w:szCs w:val="15"/>
                <w:color w:val="auto"/>
                <w:w w:val="71"/>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269</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292</w:t>
            </w:r>
          </w:p>
        </w:tc>
        <w:tc>
          <w:tcPr>
            <w:tcW w:w="0" w:type="dxa"/>
            <w:vAlign w:val="bottom"/>
          </w:tcPr>
          <w:p>
            <w:pPr>
              <w:spacing w:after="0"/>
              <w:rPr>
                <w:sz w:val="1"/>
                <w:szCs w:val="1"/>
                <w:color w:val="auto"/>
              </w:rPr>
            </w:pPr>
          </w:p>
        </w:tc>
      </w:tr>
      <w:tr>
        <w:trPr>
          <w:trHeight w:val="183"/>
        </w:trPr>
        <w:tc>
          <w:tcPr>
            <w:tcW w:w="180" w:type="dxa"/>
            <w:vAlign w:val="bottom"/>
          </w:tcPr>
          <w:p>
            <w:pPr>
              <w:spacing w:after="0"/>
              <w:rPr>
                <w:sz w:val="15"/>
                <w:szCs w:val="15"/>
                <w:color w:val="auto"/>
              </w:rPr>
            </w:pPr>
          </w:p>
        </w:tc>
        <w:tc>
          <w:tcPr>
            <w:tcW w:w="8400" w:type="dxa"/>
            <w:vAlign w:val="bottom"/>
          </w:tcPr>
          <w:p>
            <w:pPr>
              <w:spacing w:after="0"/>
              <w:rPr>
                <w:sz w:val="20"/>
                <w:szCs w:val="20"/>
                <w:color w:val="auto"/>
              </w:rPr>
            </w:pPr>
            <w:r>
              <w:rPr>
                <w:rFonts w:ascii="Arial" w:cs="Arial" w:eastAsia="Arial" w:hAnsi="Arial"/>
                <w:sz w:val="16"/>
                <w:szCs w:val="16"/>
                <w:color w:val="auto"/>
              </w:rPr>
              <w:t>Due to unconsolidated affiliates</w:t>
            </w:r>
          </w:p>
        </w:tc>
        <w:tc>
          <w:tcPr>
            <w:tcW w:w="20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33</w:t>
            </w:r>
          </w:p>
        </w:tc>
        <w:tc>
          <w:tcPr>
            <w:tcW w:w="18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16</w:t>
            </w:r>
          </w:p>
        </w:tc>
        <w:tc>
          <w:tcPr>
            <w:tcW w:w="0" w:type="dxa"/>
            <w:vAlign w:val="bottom"/>
          </w:tcPr>
          <w:p>
            <w:pPr>
              <w:spacing w:after="0"/>
              <w:rPr>
                <w:sz w:val="1"/>
                <w:szCs w:val="1"/>
                <w:color w:val="auto"/>
              </w:rPr>
            </w:pPr>
          </w:p>
        </w:tc>
      </w:tr>
      <w:tr>
        <w:trPr>
          <w:trHeight w:val="176"/>
        </w:trPr>
        <w:tc>
          <w:tcPr>
            <w:tcW w:w="8580" w:type="dxa"/>
            <w:vAlign w:val="bottom"/>
            <w:gridSpan w:val="2"/>
          </w:tcPr>
          <w:p>
            <w:pPr>
              <w:ind w:left="180"/>
              <w:spacing w:after="0" w:line="176" w:lineRule="exact"/>
              <w:rPr>
                <w:sz w:val="20"/>
                <w:szCs w:val="20"/>
                <w:color w:val="auto"/>
              </w:rPr>
            </w:pPr>
            <w:r>
              <w:rPr>
                <w:rFonts w:ascii="Arial" w:cs="Arial" w:eastAsia="Arial" w:hAnsi="Arial"/>
                <w:sz w:val="16"/>
                <w:szCs w:val="16"/>
                <w:color w:val="auto"/>
              </w:rPr>
              <w:t>Accrued compensation and benefits</w:t>
            </w:r>
          </w:p>
        </w:tc>
        <w:tc>
          <w:tcPr>
            <w:tcW w:w="200" w:type="dxa"/>
            <w:vAlign w:val="bottom"/>
          </w:tcPr>
          <w:p>
            <w:pPr>
              <w:spacing w:after="0"/>
              <w:rPr>
                <w:sz w:val="15"/>
                <w:szCs w:val="15"/>
                <w:color w:val="auto"/>
              </w:rPr>
            </w:pPr>
          </w:p>
        </w:tc>
        <w:tc>
          <w:tcPr>
            <w:tcW w:w="1200" w:type="dxa"/>
            <w:vAlign w:val="bottom"/>
          </w:tcPr>
          <w:p>
            <w:pPr>
              <w:jc w:val="right"/>
              <w:spacing w:after="0" w:line="176" w:lineRule="exact"/>
              <w:rPr>
                <w:sz w:val="20"/>
                <w:szCs w:val="20"/>
                <w:color w:val="auto"/>
              </w:rPr>
            </w:pPr>
            <w:r>
              <w:rPr>
                <w:rFonts w:ascii="Arial" w:cs="Arial" w:eastAsia="Arial" w:hAnsi="Arial"/>
                <w:sz w:val="16"/>
                <w:szCs w:val="16"/>
                <w:color w:val="auto"/>
              </w:rPr>
              <w:t>79</w:t>
            </w:r>
          </w:p>
        </w:tc>
        <w:tc>
          <w:tcPr>
            <w:tcW w:w="180" w:type="dxa"/>
            <w:vAlign w:val="bottom"/>
          </w:tcPr>
          <w:p>
            <w:pPr>
              <w:spacing w:after="0"/>
              <w:rPr>
                <w:sz w:val="15"/>
                <w:szCs w:val="15"/>
                <w:color w:val="auto"/>
              </w:rPr>
            </w:pPr>
          </w:p>
        </w:tc>
        <w:tc>
          <w:tcPr>
            <w:tcW w:w="1260" w:type="dxa"/>
            <w:vAlign w:val="bottom"/>
          </w:tcPr>
          <w:p>
            <w:pPr>
              <w:jc w:val="right"/>
              <w:spacing w:after="0" w:line="176" w:lineRule="exact"/>
              <w:rPr>
                <w:sz w:val="20"/>
                <w:szCs w:val="20"/>
                <w:color w:val="auto"/>
              </w:rPr>
            </w:pPr>
            <w:r>
              <w:rPr>
                <w:rFonts w:ascii="Arial" w:cs="Arial" w:eastAsia="Arial" w:hAnsi="Arial"/>
                <w:sz w:val="16"/>
                <w:szCs w:val="16"/>
                <w:color w:val="auto"/>
              </w:rPr>
              <w:t>115</w:t>
            </w:r>
          </w:p>
        </w:tc>
        <w:tc>
          <w:tcPr>
            <w:tcW w:w="0" w:type="dxa"/>
            <w:vAlign w:val="bottom"/>
          </w:tcPr>
          <w:p>
            <w:pPr>
              <w:spacing w:after="0"/>
              <w:rPr>
                <w:sz w:val="1"/>
                <w:szCs w:val="1"/>
                <w:color w:val="auto"/>
              </w:rPr>
            </w:pPr>
          </w:p>
        </w:tc>
      </w:tr>
      <w:tr>
        <w:trPr>
          <w:trHeight w:val="176"/>
        </w:trPr>
        <w:tc>
          <w:tcPr>
            <w:tcW w:w="180" w:type="dxa"/>
            <w:vAlign w:val="bottom"/>
          </w:tcPr>
          <w:p>
            <w:pPr>
              <w:spacing w:after="0"/>
              <w:rPr>
                <w:sz w:val="15"/>
                <w:szCs w:val="15"/>
                <w:color w:val="auto"/>
              </w:rPr>
            </w:pPr>
          </w:p>
        </w:tc>
        <w:tc>
          <w:tcPr>
            <w:tcW w:w="8400" w:type="dxa"/>
            <w:vAlign w:val="bottom"/>
          </w:tcPr>
          <w:p>
            <w:pPr>
              <w:spacing w:after="0" w:line="176" w:lineRule="exact"/>
              <w:rPr>
                <w:sz w:val="20"/>
                <w:szCs w:val="20"/>
                <w:color w:val="auto"/>
              </w:rPr>
            </w:pPr>
            <w:r>
              <w:rPr>
                <w:rFonts w:ascii="Arial" w:cs="Arial" w:eastAsia="Arial" w:hAnsi="Arial"/>
                <w:sz w:val="16"/>
                <w:szCs w:val="16"/>
                <w:color w:val="auto"/>
              </w:rPr>
              <w:t>Regulatory balancing accounts, net</w:t>
            </w:r>
          </w:p>
        </w:tc>
        <w:tc>
          <w:tcPr>
            <w:tcW w:w="200" w:type="dxa"/>
            <w:vAlign w:val="bottom"/>
          </w:tcPr>
          <w:p>
            <w:pPr>
              <w:spacing w:after="0"/>
              <w:rPr>
                <w:sz w:val="15"/>
                <w:szCs w:val="15"/>
                <w:color w:val="auto"/>
              </w:rPr>
            </w:pPr>
          </w:p>
        </w:tc>
        <w:tc>
          <w:tcPr>
            <w:tcW w:w="1200" w:type="dxa"/>
            <w:vAlign w:val="bottom"/>
          </w:tcPr>
          <w:p>
            <w:pPr>
              <w:jc w:val="right"/>
              <w:spacing w:after="0" w:line="176" w:lineRule="exact"/>
              <w:rPr>
                <w:sz w:val="20"/>
                <w:szCs w:val="20"/>
                <w:color w:val="auto"/>
              </w:rPr>
            </w:pPr>
            <w:r>
              <w:rPr>
                <w:rFonts w:ascii="Arial" w:cs="Arial" w:eastAsia="Arial" w:hAnsi="Arial"/>
                <w:sz w:val="16"/>
                <w:szCs w:val="16"/>
                <w:color w:val="auto"/>
              </w:rPr>
              <w:t>122</w:t>
            </w:r>
          </w:p>
        </w:tc>
        <w:tc>
          <w:tcPr>
            <w:tcW w:w="180" w:type="dxa"/>
            <w:vAlign w:val="bottom"/>
          </w:tcPr>
          <w:p>
            <w:pPr>
              <w:spacing w:after="0"/>
              <w:rPr>
                <w:sz w:val="15"/>
                <w:szCs w:val="15"/>
                <w:color w:val="auto"/>
              </w:rPr>
            </w:pPr>
          </w:p>
        </w:tc>
        <w:tc>
          <w:tcPr>
            <w:tcW w:w="1260" w:type="dxa"/>
            <w:vAlign w:val="bottom"/>
          </w:tcPr>
          <w:p>
            <w:pPr>
              <w:jc w:val="right"/>
              <w:spacing w:after="0" w:line="176" w:lineRule="exact"/>
              <w:rPr>
                <w:sz w:val="20"/>
                <w:szCs w:val="20"/>
                <w:color w:val="auto"/>
              </w:rPr>
            </w:pPr>
            <w:r>
              <w:rPr>
                <w:rFonts w:ascii="Arial" w:cs="Arial" w:eastAsia="Arial" w:hAnsi="Arial"/>
                <w:sz w:val="16"/>
                <w:szCs w:val="16"/>
                <w:color w:val="auto"/>
              </w:rPr>
              <w:t>61</w:t>
            </w:r>
          </w:p>
        </w:tc>
        <w:tc>
          <w:tcPr>
            <w:tcW w:w="0" w:type="dxa"/>
            <w:vAlign w:val="bottom"/>
          </w:tcPr>
          <w:p>
            <w:pPr>
              <w:spacing w:after="0"/>
              <w:rPr>
                <w:sz w:val="1"/>
                <w:szCs w:val="1"/>
                <w:color w:val="auto"/>
              </w:rPr>
            </w:pPr>
          </w:p>
        </w:tc>
      </w:tr>
      <w:tr>
        <w:trPr>
          <w:trHeight w:val="176"/>
        </w:trPr>
        <w:tc>
          <w:tcPr>
            <w:tcW w:w="180" w:type="dxa"/>
            <w:vAlign w:val="bottom"/>
          </w:tcPr>
          <w:p>
            <w:pPr>
              <w:spacing w:after="0"/>
              <w:rPr>
                <w:sz w:val="15"/>
                <w:szCs w:val="15"/>
                <w:color w:val="auto"/>
              </w:rPr>
            </w:pPr>
          </w:p>
        </w:tc>
        <w:tc>
          <w:tcPr>
            <w:tcW w:w="8400" w:type="dxa"/>
            <w:vAlign w:val="bottom"/>
          </w:tcPr>
          <w:p>
            <w:pPr>
              <w:spacing w:after="0" w:line="176" w:lineRule="exact"/>
              <w:rPr>
                <w:sz w:val="20"/>
                <w:szCs w:val="20"/>
                <w:color w:val="auto"/>
              </w:rPr>
            </w:pPr>
            <w:r>
              <w:rPr>
                <w:rFonts w:ascii="Arial" w:cs="Arial" w:eastAsia="Arial" w:hAnsi="Arial"/>
                <w:sz w:val="16"/>
                <w:szCs w:val="16"/>
                <w:color w:val="auto"/>
              </w:rPr>
              <w:t>Current portion of long-term debt</w:t>
            </w:r>
          </w:p>
        </w:tc>
        <w:tc>
          <w:tcPr>
            <w:tcW w:w="200" w:type="dxa"/>
            <w:vAlign w:val="bottom"/>
          </w:tcPr>
          <w:p>
            <w:pPr>
              <w:spacing w:after="0"/>
              <w:rPr>
                <w:sz w:val="15"/>
                <w:szCs w:val="15"/>
                <w:color w:val="auto"/>
              </w:rPr>
            </w:pPr>
          </w:p>
        </w:tc>
        <w:tc>
          <w:tcPr>
            <w:tcW w:w="1200" w:type="dxa"/>
            <w:vAlign w:val="bottom"/>
          </w:tcPr>
          <w:p>
            <w:pPr>
              <w:jc w:val="right"/>
              <w:spacing w:after="0" w:line="176" w:lineRule="exact"/>
              <w:rPr>
                <w:sz w:val="20"/>
                <w:szCs w:val="20"/>
                <w:color w:val="auto"/>
              </w:rPr>
            </w:pPr>
            <w:r>
              <w:rPr>
                <w:rFonts w:ascii="Arial" w:cs="Arial" w:eastAsia="Arial" w:hAnsi="Arial"/>
                <w:sz w:val="16"/>
                <w:szCs w:val="16"/>
                <w:color w:val="auto"/>
              </w:rPr>
              <w:t>19</w:t>
            </w:r>
          </w:p>
        </w:tc>
        <w:tc>
          <w:tcPr>
            <w:tcW w:w="180" w:type="dxa"/>
            <w:vAlign w:val="bottom"/>
          </w:tcPr>
          <w:p>
            <w:pPr>
              <w:spacing w:after="0"/>
              <w:rPr>
                <w:sz w:val="15"/>
                <w:szCs w:val="15"/>
                <w:color w:val="auto"/>
              </w:rPr>
            </w:pPr>
          </w:p>
        </w:tc>
        <w:tc>
          <w:tcPr>
            <w:tcW w:w="1260" w:type="dxa"/>
            <w:vAlign w:val="bottom"/>
          </w:tcPr>
          <w:p>
            <w:pPr>
              <w:jc w:val="right"/>
              <w:spacing w:after="0" w:line="176" w:lineRule="exact"/>
              <w:rPr>
                <w:sz w:val="20"/>
                <w:szCs w:val="20"/>
                <w:color w:val="auto"/>
              </w:rPr>
            </w:pPr>
            <w:r>
              <w:rPr>
                <w:rFonts w:ascii="Arial" w:cs="Arial" w:eastAsia="Arial" w:hAnsi="Arial"/>
                <w:sz w:val="16"/>
                <w:szCs w:val="16"/>
                <w:color w:val="auto"/>
              </w:rPr>
              <w:t>19</w:t>
            </w:r>
          </w:p>
        </w:tc>
        <w:tc>
          <w:tcPr>
            <w:tcW w:w="0" w:type="dxa"/>
            <w:vAlign w:val="bottom"/>
          </w:tcPr>
          <w:p>
            <w:pPr>
              <w:spacing w:after="0"/>
              <w:rPr>
                <w:sz w:val="1"/>
                <w:szCs w:val="1"/>
                <w:color w:val="auto"/>
              </w:rPr>
            </w:pPr>
          </w:p>
        </w:tc>
      </w:tr>
      <w:tr>
        <w:trPr>
          <w:trHeight w:val="176"/>
        </w:trPr>
        <w:tc>
          <w:tcPr>
            <w:tcW w:w="180" w:type="dxa"/>
            <w:vAlign w:val="bottom"/>
          </w:tcPr>
          <w:p>
            <w:pPr>
              <w:spacing w:after="0"/>
              <w:rPr>
                <w:sz w:val="15"/>
                <w:szCs w:val="15"/>
                <w:color w:val="auto"/>
              </w:rPr>
            </w:pPr>
          </w:p>
        </w:tc>
        <w:tc>
          <w:tcPr>
            <w:tcW w:w="8400" w:type="dxa"/>
            <w:vAlign w:val="bottom"/>
          </w:tcPr>
          <w:p>
            <w:pPr>
              <w:spacing w:after="0" w:line="176" w:lineRule="exact"/>
              <w:rPr>
                <w:sz w:val="20"/>
                <w:szCs w:val="20"/>
                <w:color w:val="auto"/>
              </w:rPr>
            </w:pPr>
            <w:r>
              <w:rPr>
                <w:rFonts w:ascii="Arial" w:cs="Arial" w:eastAsia="Arial" w:hAnsi="Arial"/>
                <w:sz w:val="16"/>
                <w:szCs w:val="16"/>
                <w:color w:val="auto"/>
              </w:rPr>
              <w:t>Fixed-price contracts and other derivatives</w:t>
            </w:r>
          </w:p>
        </w:tc>
        <w:tc>
          <w:tcPr>
            <w:tcW w:w="200" w:type="dxa"/>
            <w:vAlign w:val="bottom"/>
          </w:tcPr>
          <w:p>
            <w:pPr>
              <w:spacing w:after="0"/>
              <w:rPr>
                <w:sz w:val="15"/>
                <w:szCs w:val="15"/>
                <w:color w:val="auto"/>
              </w:rPr>
            </w:pPr>
          </w:p>
        </w:tc>
        <w:tc>
          <w:tcPr>
            <w:tcW w:w="1200" w:type="dxa"/>
            <w:vAlign w:val="bottom"/>
          </w:tcPr>
          <w:p>
            <w:pPr>
              <w:jc w:val="right"/>
              <w:spacing w:after="0" w:line="176" w:lineRule="exact"/>
              <w:rPr>
                <w:sz w:val="20"/>
                <w:szCs w:val="20"/>
                <w:color w:val="auto"/>
              </w:rPr>
            </w:pPr>
            <w:r>
              <w:rPr>
                <w:rFonts w:ascii="Arial" w:cs="Arial" w:eastAsia="Arial" w:hAnsi="Arial"/>
                <w:sz w:val="16"/>
                <w:szCs w:val="16"/>
                <w:color w:val="auto"/>
              </w:rPr>
              <w:t>50</w:t>
            </w:r>
          </w:p>
        </w:tc>
        <w:tc>
          <w:tcPr>
            <w:tcW w:w="180" w:type="dxa"/>
            <w:vAlign w:val="bottom"/>
          </w:tcPr>
          <w:p>
            <w:pPr>
              <w:spacing w:after="0"/>
              <w:rPr>
                <w:sz w:val="15"/>
                <w:szCs w:val="15"/>
                <w:color w:val="auto"/>
              </w:rPr>
            </w:pPr>
          </w:p>
        </w:tc>
        <w:tc>
          <w:tcPr>
            <w:tcW w:w="1260" w:type="dxa"/>
            <w:vAlign w:val="bottom"/>
          </w:tcPr>
          <w:p>
            <w:pPr>
              <w:jc w:val="right"/>
              <w:spacing w:after="0" w:line="176" w:lineRule="exact"/>
              <w:rPr>
                <w:sz w:val="20"/>
                <w:szCs w:val="20"/>
                <w:color w:val="auto"/>
              </w:rPr>
            </w:pPr>
            <w:r>
              <w:rPr>
                <w:rFonts w:ascii="Arial" w:cs="Arial" w:eastAsia="Arial" w:hAnsi="Arial"/>
                <w:sz w:val="16"/>
                <w:szCs w:val="16"/>
                <w:color w:val="auto"/>
              </w:rPr>
              <w:t>51</w:t>
            </w:r>
          </w:p>
        </w:tc>
        <w:tc>
          <w:tcPr>
            <w:tcW w:w="0" w:type="dxa"/>
            <w:vAlign w:val="bottom"/>
          </w:tcPr>
          <w:p>
            <w:pPr>
              <w:spacing w:after="0"/>
              <w:rPr>
                <w:sz w:val="1"/>
                <w:szCs w:val="1"/>
                <w:color w:val="auto"/>
              </w:rPr>
            </w:pPr>
          </w:p>
        </w:tc>
      </w:tr>
      <w:tr>
        <w:trPr>
          <w:trHeight w:val="176"/>
        </w:trPr>
        <w:tc>
          <w:tcPr>
            <w:tcW w:w="180" w:type="dxa"/>
            <w:vAlign w:val="bottom"/>
          </w:tcPr>
          <w:p>
            <w:pPr>
              <w:spacing w:after="0"/>
              <w:rPr>
                <w:sz w:val="15"/>
                <w:szCs w:val="15"/>
                <w:color w:val="auto"/>
              </w:rPr>
            </w:pPr>
          </w:p>
        </w:tc>
        <w:tc>
          <w:tcPr>
            <w:tcW w:w="8400" w:type="dxa"/>
            <w:vAlign w:val="bottom"/>
          </w:tcPr>
          <w:p>
            <w:pPr>
              <w:spacing w:after="0" w:line="176" w:lineRule="exact"/>
              <w:rPr>
                <w:sz w:val="20"/>
                <w:szCs w:val="20"/>
                <w:color w:val="auto"/>
              </w:rPr>
            </w:pPr>
            <w:r>
              <w:rPr>
                <w:rFonts w:ascii="Arial" w:cs="Arial" w:eastAsia="Arial" w:hAnsi="Arial"/>
                <w:sz w:val="16"/>
                <w:szCs w:val="16"/>
                <w:color w:val="auto"/>
              </w:rPr>
              <w:t>Customer deposits</w:t>
            </w:r>
          </w:p>
        </w:tc>
        <w:tc>
          <w:tcPr>
            <w:tcW w:w="200" w:type="dxa"/>
            <w:vAlign w:val="bottom"/>
          </w:tcPr>
          <w:p>
            <w:pPr>
              <w:spacing w:after="0"/>
              <w:rPr>
                <w:sz w:val="15"/>
                <w:szCs w:val="15"/>
                <w:color w:val="auto"/>
              </w:rPr>
            </w:pPr>
          </w:p>
        </w:tc>
        <w:tc>
          <w:tcPr>
            <w:tcW w:w="1200" w:type="dxa"/>
            <w:vAlign w:val="bottom"/>
          </w:tcPr>
          <w:p>
            <w:pPr>
              <w:jc w:val="right"/>
              <w:spacing w:after="0" w:line="176" w:lineRule="exact"/>
              <w:rPr>
                <w:sz w:val="20"/>
                <w:szCs w:val="20"/>
                <w:color w:val="auto"/>
              </w:rPr>
            </w:pPr>
            <w:r>
              <w:rPr>
                <w:rFonts w:ascii="Arial" w:cs="Arial" w:eastAsia="Arial" w:hAnsi="Arial"/>
                <w:sz w:val="16"/>
                <w:szCs w:val="16"/>
                <w:color w:val="auto"/>
              </w:rPr>
              <w:t>59</w:t>
            </w:r>
          </w:p>
        </w:tc>
        <w:tc>
          <w:tcPr>
            <w:tcW w:w="180" w:type="dxa"/>
            <w:vAlign w:val="bottom"/>
          </w:tcPr>
          <w:p>
            <w:pPr>
              <w:spacing w:after="0"/>
              <w:rPr>
                <w:sz w:val="15"/>
                <w:szCs w:val="15"/>
                <w:color w:val="auto"/>
              </w:rPr>
            </w:pPr>
          </w:p>
        </w:tc>
        <w:tc>
          <w:tcPr>
            <w:tcW w:w="1260" w:type="dxa"/>
            <w:vAlign w:val="bottom"/>
          </w:tcPr>
          <w:p>
            <w:pPr>
              <w:jc w:val="right"/>
              <w:spacing w:after="0" w:line="176" w:lineRule="exact"/>
              <w:rPr>
                <w:sz w:val="20"/>
                <w:szCs w:val="20"/>
                <w:color w:val="auto"/>
              </w:rPr>
            </w:pPr>
            <w:r>
              <w:rPr>
                <w:rFonts w:ascii="Arial" w:cs="Arial" w:eastAsia="Arial" w:hAnsi="Arial"/>
                <w:sz w:val="16"/>
                <w:szCs w:val="16"/>
                <w:color w:val="auto"/>
              </w:rPr>
              <w:t>54</w:t>
            </w:r>
          </w:p>
        </w:tc>
        <w:tc>
          <w:tcPr>
            <w:tcW w:w="0" w:type="dxa"/>
            <w:vAlign w:val="bottom"/>
          </w:tcPr>
          <w:p>
            <w:pPr>
              <w:spacing w:after="0"/>
              <w:rPr>
                <w:sz w:val="1"/>
                <w:szCs w:val="1"/>
                <w:color w:val="auto"/>
              </w:rPr>
            </w:pPr>
          </w:p>
        </w:tc>
      </w:tr>
      <w:tr>
        <w:trPr>
          <w:trHeight w:val="176"/>
        </w:trPr>
        <w:tc>
          <w:tcPr>
            <w:tcW w:w="180" w:type="dxa"/>
            <w:vAlign w:val="bottom"/>
          </w:tcPr>
          <w:p>
            <w:pPr>
              <w:spacing w:after="0"/>
              <w:rPr>
                <w:sz w:val="15"/>
                <w:szCs w:val="15"/>
                <w:color w:val="auto"/>
              </w:rPr>
            </w:pPr>
          </w:p>
        </w:tc>
        <w:tc>
          <w:tcPr>
            <w:tcW w:w="8400" w:type="dxa"/>
            <w:vAlign w:val="bottom"/>
          </w:tcPr>
          <w:p>
            <w:pPr>
              <w:spacing w:after="0" w:line="176" w:lineRule="exact"/>
              <w:rPr>
                <w:sz w:val="20"/>
                <w:szCs w:val="20"/>
                <w:color w:val="auto"/>
              </w:rPr>
            </w:pPr>
            <w:r>
              <w:rPr>
                <w:rFonts w:ascii="Arial" w:cs="Arial" w:eastAsia="Arial" w:hAnsi="Arial"/>
                <w:sz w:val="16"/>
                <w:szCs w:val="16"/>
                <w:color w:val="auto"/>
              </w:rPr>
              <w:t>Reserve for wildfire litigation</w:t>
            </w:r>
          </w:p>
        </w:tc>
        <w:tc>
          <w:tcPr>
            <w:tcW w:w="200" w:type="dxa"/>
            <w:vAlign w:val="bottom"/>
          </w:tcPr>
          <w:p>
            <w:pPr>
              <w:spacing w:after="0"/>
              <w:rPr>
                <w:sz w:val="15"/>
                <w:szCs w:val="15"/>
                <w:color w:val="auto"/>
              </w:rPr>
            </w:pPr>
          </w:p>
        </w:tc>
        <w:tc>
          <w:tcPr>
            <w:tcW w:w="1200" w:type="dxa"/>
            <w:vAlign w:val="bottom"/>
          </w:tcPr>
          <w:p>
            <w:pPr>
              <w:jc w:val="right"/>
              <w:spacing w:after="0" w:line="176" w:lineRule="exact"/>
              <w:rPr>
                <w:sz w:val="20"/>
                <w:szCs w:val="20"/>
                <w:color w:val="auto"/>
              </w:rPr>
            </w:pPr>
            <w:r>
              <w:rPr>
                <w:rFonts w:ascii="Arial" w:cs="Arial" w:eastAsia="Arial" w:hAnsi="Arial"/>
                <w:sz w:val="16"/>
                <w:szCs w:val="16"/>
                <w:color w:val="auto"/>
              </w:rPr>
              <w:t>422</w:t>
            </w:r>
          </w:p>
        </w:tc>
        <w:tc>
          <w:tcPr>
            <w:tcW w:w="180" w:type="dxa"/>
            <w:vAlign w:val="bottom"/>
          </w:tcPr>
          <w:p>
            <w:pPr>
              <w:spacing w:after="0"/>
              <w:rPr>
                <w:sz w:val="15"/>
                <w:szCs w:val="15"/>
                <w:color w:val="auto"/>
              </w:rPr>
            </w:pPr>
          </w:p>
        </w:tc>
        <w:tc>
          <w:tcPr>
            <w:tcW w:w="1260" w:type="dxa"/>
            <w:vAlign w:val="bottom"/>
          </w:tcPr>
          <w:p>
            <w:pPr>
              <w:jc w:val="right"/>
              <w:spacing w:after="0" w:line="176" w:lineRule="exact"/>
              <w:rPr>
                <w:sz w:val="20"/>
                <w:szCs w:val="20"/>
                <w:color w:val="auto"/>
              </w:rPr>
            </w:pPr>
            <w:r>
              <w:rPr>
                <w:rFonts w:ascii="Arial" w:cs="Arial" w:eastAsia="Arial" w:hAnsi="Arial"/>
                <w:sz w:val="16"/>
                <w:szCs w:val="16"/>
                <w:color w:val="auto"/>
              </w:rPr>
              <w:t>639</w:t>
            </w:r>
          </w:p>
        </w:tc>
        <w:tc>
          <w:tcPr>
            <w:tcW w:w="0" w:type="dxa"/>
            <w:vAlign w:val="bottom"/>
          </w:tcPr>
          <w:p>
            <w:pPr>
              <w:spacing w:after="0"/>
              <w:rPr>
                <w:sz w:val="1"/>
                <w:szCs w:val="1"/>
                <w:color w:val="auto"/>
              </w:rPr>
            </w:pPr>
          </w:p>
        </w:tc>
      </w:tr>
      <w:tr>
        <w:trPr>
          <w:trHeight w:val="194"/>
        </w:trPr>
        <w:tc>
          <w:tcPr>
            <w:tcW w:w="180" w:type="dxa"/>
            <w:vAlign w:val="bottom"/>
          </w:tcPr>
          <w:p>
            <w:pPr>
              <w:spacing w:after="0"/>
              <w:rPr>
                <w:sz w:val="16"/>
                <w:szCs w:val="16"/>
                <w:color w:val="auto"/>
              </w:rPr>
            </w:pPr>
          </w:p>
        </w:tc>
        <w:tc>
          <w:tcPr>
            <w:tcW w:w="8400" w:type="dxa"/>
            <w:vAlign w:val="bottom"/>
          </w:tcPr>
          <w:p>
            <w:pPr>
              <w:spacing w:after="0"/>
              <w:rPr>
                <w:sz w:val="20"/>
                <w:szCs w:val="20"/>
                <w:color w:val="auto"/>
              </w:rPr>
            </w:pPr>
            <w:r>
              <w:rPr>
                <w:rFonts w:ascii="Arial" w:cs="Arial" w:eastAsia="Arial" w:hAnsi="Arial"/>
                <w:sz w:val="16"/>
                <w:szCs w:val="16"/>
                <w:color w:val="auto"/>
              </w:rPr>
              <w:t>Other</w:t>
            </w:r>
          </w:p>
        </w:tc>
        <w:tc>
          <w:tcPr>
            <w:tcW w:w="2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120</w:t>
            </w:r>
          </w:p>
        </w:tc>
        <w:tc>
          <w:tcPr>
            <w:tcW w:w="1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136</w:t>
            </w:r>
          </w:p>
        </w:tc>
        <w:tc>
          <w:tcPr>
            <w:tcW w:w="0" w:type="dxa"/>
            <w:vAlign w:val="bottom"/>
          </w:tcPr>
          <w:p>
            <w:pPr>
              <w:spacing w:after="0"/>
              <w:rPr>
                <w:sz w:val="1"/>
                <w:szCs w:val="1"/>
                <w:color w:val="auto"/>
              </w:rPr>
            </w:pPr>
          </w:p>
        </w:tc>
      </w:tr>
      <w:tr>
        <w:trPr>
          <w:trHeight w:val="183"/>
        </w:trPr>
        <w:tc>
          <w:tcPr>
            <w:tcW w:w="180" w:type="dxa"/>
            <w:vAlign w:val="bottom"/>
          </w:tcPr>
          <w:p>
            <w:pPr>
              <w:spacing w:after="0"/>
              <w:rPr>
                <w:sz w:val="15"/>
                <w:szCs w:val="15"/>
                <w:color w:val="auto"/>
              </w:rPr>
            </w:pPr>
          </w:p>
        </w:tc>
        <w:tc>
          <w:tcPr>
            <w:tcW w:w="8400" w:type="dxa"/>
            <w:vAlign w:val="bottom"/>
          </w:tcPr>
          <w:p>
            <w:pPr>
              <w:ind w:left="180"/>
              <w:spacing w:after="0" w:line="176" w:lineRule="exact"/>
              <w:rPr>
                <w:sz w:val="20"/>
                <w:szCs w:val="20"/>
                <w:color w:val="auto"/>
              </w:rPr>
            </w:pPr>
            <w:r>
              <w:rPr>
                <w:rFonts w:ascii="Arial" w:cs="Arial" w:eastAsia="Arial" w:hAnsi="Arial"/>
                <w:sz w:val="16"/>
                <w:szCs w:val="16"/>
                <w:color w:val="auto"/>
              </w:rPr>
              <w:t>Total current liabilities</w:t>
            </w:r>
          </w:p>
        </w:tc>
        <w:tc>
          <w:tcPr>
            <w:tcW w:w="20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6"/>
                <w:szCs w:val="16"/>
                <w:color w:val="auto"/>
              </w:rPr>
              <w:t>1,173</w:t>
            </w:r>
          </w:p>
        </w:tc>
        <w:tc>
          <w:tcPr>
            <w:tcW w:w="18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6"/>
                <w:szCs w:val="16"/>
                <w:color w:val="auto"/>
              </w:rPr>
              <w:t>1,383</w:t>
            </w:r>
          </w:p>
        </w:tc>
        <w:tc>
          <w:tcPr>
            <w:tcW w:w="0" w:type="dxa"/>
            <w:vAlign w:val="bottom"/>
          </w:tcPr>
          <w:p>
            <w:pPr>
              <w:spacing w:after="0"/>
              <w:rPr>
                <w:sz w:val="1"/>
                <w:szCs w:val="1"/>
                <w:color w:val="auto"/>
              </w:rPr>
            </w:pPr>
          </w:p>
        </w:tc>
      </w:tr>
      <w:tr>
        <w:trPr>
          <w:trHeight w:val="164"/>
        </w:trPr>
        <w:tc>
          <w:tcPr>
            <w:tcW w:w="8580" w:type="dxa"/>
            <w:vAlign w:val="bottom"/>
            <w:gridSpan w:val="2"/>
          </w:tcPr>
          <w:p>
            <w:pPr>
              <w:spacing w:after="0" w:line="164" w:lineRule="exact"/>
              <w:rPr>
                <w:sz w:val="20"/>
                <w:szCs w:val="20"/>
                <w:color w:val="auto"/>
              </w:rPr>
            </w:pPr>
            <w:r>
              <w:rPr>
                <w:rFonts w:ascii="Arial" w:cs="Arial" w:eastAsia="Arial" w:hAnsi="Arial"/>
                <w:sz w:val="16"/>
                <w:szCs w:val="16"/>
                <w:color w:val="auto"/>
              </w:rPr>
              <w:t>Long-term debt ($350 and $355 at June 30, 2011 and December 31, 2010,</w:t>
            </w:r>
          </w:p>
        </w:tc>
        <w:tc>
          <w:tcPr>
            <w:tcW w:w="200" w:type="dxa"/>
            <w:vAlign w:val="bottom"/>
          </w:tcPr>
          <w:p>
            <w:pPr>
              <w:spacing w:after="0"/>
              <w:rPr>
                <w:sz w:val="14"/>
                <w:szCs w:val="14"/>
                <w:color w:val="auto"/>
              </w:rPr>
            </w:pPr>
          </w:p>
        </w:tc>
        <w:tc>
          <w:tcPr>
            <w:tcW w:w="1200" w:type="dxa"/>
            <w:vAlign w:val="bottom"/>
            <w:vMerge w:val="restart"/>
          </w:tcPr>
          <w:p>
            <w:pPr>
              <w:jc w:val="right"/>
              <w:spacing w:after="0"/>
              <w:rPr>
                <w:sz w:val="20"/>
                <w:szCs w:val="20"/>
                <w:color w:val="auto"/>
              </w:rPr>
            </w:pPr>
            <w:r>
              <w:rPr>
                <w:rFonts w:ascii="Arial" w:cs="Arial" w:eastAsia="Arial" w:hAnsi="Arial"/>
                <w:sz w:val="16"/>
                <w:szCs w:val="16"/>
                <w:color w:val="auto"/>
              </w:rPr>
              <w:t>3,470</w:t>
            </w:r>
          </w:p>
        </w:tc>
        <w:tc>
          <w:tcPr>
            <w:tcW w:w="180" w:type="dxa"/>
            <w:vAlign w:val="bottom"/>
          </w:tcPr>
          <w:p>
            <w:pPr>
              <w:spacing w:after="0"/>
              <w:rPr>
                <w:sz w:val="14"/>
                <w:szCs w:val="14"/>
                <w:color w:val="auto"/>
              </w:rPr>
            </w:pPr>
          </w:p>
        </w:tc>
        <w:tc>
          <w:tcPr>
            <w:tcW w:w="1260" w:type="dxa"/>
            <w:vAlign w:val="bottom"/>
            <w:vMerge w:val="restart"/>
          </w:tcPr>
          <w:p>
            <w:pPr>
              <w:jc w:val="right"/>
              <w:spacing w:after="0"/>
              <w:rPr>
                <w:sz w:val="20"/>
                <w:szCs w:val="20"/>
                <w:color w:val="auto"/>
              </w:rPr>
            </w:pPr>
            <w:r>
              <w:rPr>
                <w:rFonts w:ascii="Arial" w:cs="Arial" w:eastAsia="Arial" w:hAnsi="Arial"/>
                <w:sz w:val="16"/>
                <w:szCs w:val="16"/>
                <w:color w:val="auto"/>
              </w:rPr>
              <w:t>3,479</w:t>
            </w:r>
          </w:p>
        </w:tc>
        <w:tc>
          <w:tcPr>
            <w:tcW w:w="0" w:type="dxa"/>
            <w:vAlign w:val="bottom"/>
          </w:tcPr>
          <w:p>
            <w:pPr>
              <w:spacing w:after="0"/>
              <w:rPr>
                <w:sz w:val="1"/>
                <w:szCs w:val="1"/>
                <w:color w:val="auto"/>
              </w:rPr>
            </w:pPr>
          </w:p>
        </w:tc>
      </w:tr>
      <w:tr>
        <w:trPr>
          <w:trHeight w:val="167"/>
        </w:trPr>
        <w:tc>
          <w:tcPr>
            <w:tcW w:w="180" w:type="dxa"/>
            <w:vAlign w:val="bottom"/>
          </w:tcPr>
          <w:p>
            <w:pPr>
              <w:spacing w:after="0"/>
              <w:rPr>
                <w:sz w:val="14"/>
                <w:szCs w:val="14"/>
                <w:color w:val="auto"/>
              </w:rPr>
            </w:pPr>
          </w:p>
        </w:tc>
        <w:tc>
          <w:tcPr>
            <w:tcW w:w="8400" w:type="dxa"/>
            <w:vAlign w:val="bottom"/>
          </w:tcPr>
          <w:p>
            <w:pPr>
              <w:spacing w:after="0" w:line="160" w:lineRule="exact"/>
              <w:rPr>
                <w:sz w:val="20"/>
                <w:szCs w:val="20"/>
                <w:color w:val="auto"/>
              </w:rPr>
            </w:pPr>
            <w:r>
              <w:rPr>
                <w:rFonts w:ascii="Arial" w:cs="Arial" w:eastAsia="Arial" w:hAnsi="Arial"/>
                <w:sz w:val="16"/>
                <w:szCs w:val="16"/>
                <w:color w:val="auto"/>
              </w:rPr>
              <w:t>respectively, related to VIE)</w:t>
            </w:r>
          </w:p>
        </w:tc>
        <w:tc>
          <w:tcPr>
            <w:tcW w:w="20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vMerge w:val="continue"/>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367"/>
        </w:trPr>
        <w:tc>
          <w:tcPr>
            <w:tcW w:w="8580" w:type="dxa"/>
            <w:vAlign w:val="bottom"/>
            <w:gridSpan w:val="2"/>
          </w:tcPr>
          <w:p>
            <w:pPr>
              <w:spacing w:after="0"/>
              <w:rPr>
                <w:sz w:val="20"/>
                <w:szCs w:val="20"/>
                <w:color w:val="auto"/>
              </w:rPr>
            </w:pPr>
            <w:r>
              <w:rPr>
                <w:rFonts w:ascii="Arial" w:cs="Arial" w:eastAsia="Arial" w:hAnsi="Arial"/>
                <w:sz w:val="16"/>
                <w:szCs w:val="16"/>
                <w:color w:val="auto"/>
              </w:rPr>
              <w:t>Deferred credits and other liabilities:</w:t>
            </w:r>
          </w:p>
        </w:tc>
        <w:tc>
          <w:tcPr>
            <w:tcW w:w="2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180" w:type="dxa"/>
            <w:vAlign w:val="bottom"/>
          </w:tcPr>
          <w:p>
            <w:pPr>
              <w:spacing w:after="0"/>
              <w:rPr>
                <w:sz w:val="15"/>
                <w:szCs w:val="15"/>
                <w:color w:val="auto"/>
              </w:rPr>
            </w:pPr>
          </w:p>
        </w:tc>
        <w:tc>
          <w:tcPr>
            <w:tcW w:w="8400" w:type="dxa"/>
            <w:vAlign w:val="bottom"/>
          </w:tcPr>
          <w:p>
            <w:pPr>
              <w:spacing w:after="0" w:line="176" w:lineRule="exact"/>
              <w:rPr>
                <w:sz w:val="20"/>
                <w:szCs w:val="20"/>
                <w:color w:val="auto"/>
              </w:rPr>
            </w:pPr>
            <w:r>
              <w:rPr>
                <w:rFonts w:ascii="Arial" w:cs="Arial" w:eastAsia="Arial" w:hAnsi="Arial"/>
                <w:sz w:val="16"/>
                <w:szCs w:val="16"/>
                <w:color w:val="auto"/>
              </w:rPr>
              <w:t>Customer advances for construction</w:t>
            </w:r>
          </w:p>
        </w:tc>
        <w:tc>
          <w:tcPr>
            <w:tcW w:w="200" w:type="dxa"/>
            <w:vAlign w:val="bottom"/>
          </w:tcPr>
          <w:p>
            <w:pPr>
              <w:spacing w:after="0"/>
              <w:rPr>
                <w:sz w:val="15"/>
                <w:szCs w:val="15"/>
                <w:color w:val="auto"/>
              </w:rPr>
            </w:pPr>
          </w:p>
        </w:tc>
        <w:tc>
          <w:tcPr>
            <w:tcW w:w="1200" w:type="dxa"/>
            <w:vAlign w:val="bottom"/>
          </w:tcPr>
          <w:p>
            <w:pPr>
              <w:jc w:val="right"/>
              <w:spacing w:after="0" w:line="176" w:lineRule="exact"/>
              <w:rPr>
                <w:sz w:val="20"/>
                <w:szCs w:val="20"/>
                <w:color w:val="auto"/>
              </w:rPr>
            </w:pPr>
            <w:r>
              <w:rPr>
                <w:rFonts w:ascii="Arial" w:cs="Arial" w:eastAsia="Arial" w:hAnsi="Arial"/>
                <w:sz w:val="16"/>
                <w:szCs w:val="16"/>
                <w:color w:val="auto"/>
              </w:rPr>
              <w:t>21</w:t>
            </w:r>
          </w:p>
        </w:tc>
        <w:tc>
          <w:tcPr>
            <w:tcW w:w="180" w:type="dxa"/>
            <w:vAlign w:val="bottom"/>
          </w:tcPr>
          <w:p>
            <w:pPr>
              <w:spacing w:after="0"/>
              <w:rPr>
                <w:sz w:val="15"/>
                <w:szCs w:val="15"/>
                <w:color w:val="auto"/>
              </w:rPr>
            </w:pPr>
          </w:p>
        </w:tc>
        <w:tc>
          <w:tcPr>
            <w:tcW w:w="1260" w:type="dxa"/>
            <w:vAlign w:val="bottom"/>
          </w:tcPr>
          <w:p>
            <w:pPr>
              <w:jc w:val="right"/>
              <w:spacing w:after="0" w:line="176" w:lineRule="exact"/>
              <w:rPr>
                <w:sz w:val="20"/>
                <w:szCs w:val="20"/>
                <w:color w:val="auto"/>
              </w:rPr>
            </w:pPr>
            <w:r>
              <w:rPr>
                <w:rFonts w:ascii="Arial" w:cs="Arial" w:eastAsia="Arial" w:hAnsi="Arial"/>
                <w:sz w:val="16"/>
                <w:szCs w:val="16"/>
                <w:color w:val="auto"/>
              </w:rPr>
              <w:t>21</w:t>
            </w:r>
          </w:p>
        </w:tc>
        <w:tc>
          <w:tcPr>
            <w:tcW w:w="0" w:type="dxa"/>
            <w:vAlign w:val="bottom"/>
          </w:tcPr>
          <w:p>
            <w:pPr>
              <w:spacing w:after="0"/>
              <w:rPr>
                <w:sz w:val="1"/>
                <w:szCs w:val="1"/>
                <w:color w:val="auto"/>
              </w:rPr>
            </w:pPr>
          </w:p>
        </w:tc>
      </w:tr>
      <w:tr>
        <w:trPr>
          <w:trHeight w:val="176"/>
        </w:trPr>
        <w:tc>
          <w:tcPr>
            <w:tcW w:w="180" w:type="dxa"/>
            <w:vAlign w:val="bottom"/>
          </w:tcPr>
          <w:p>
            <w:pPr>
              <w:spacing w:after="0"/>
              <w:rPr>
                <w:sz w:val="15"/>
                <w:szCs w:val="15"/>
                <w:color w:val="auto"/>
              </w:rPr>
            </w:pPr>
          </w:p>
        </w:tc>
        <w:tc>
          <w:tcPr>
            <w:tcW w:w="8400" w:type="dxa"/>
            <w:vAlign w:val="bottom"/>
          </w:tcPr>
          <w:p>
            <w:pPr>
              <w:spacing w:after="0" w:line="176" w:lineRule="exact"/>
              <w:rPr>
                <w:sz w:val="20"/>
                <w:szCs w:val="20"/>
                <w:color w:val="auto"/>
              </w:rPr>
            </w:pPr>
            <w:r>
              <w:rPr>
                <w:rFonts w:ascii="Arial" w:cs="Arial" w:eastAsia="Arial" w:hAnsi="Arial"/>
                <w:sz w:val="16"/>
                <w:szCs w:val="16"/>
                <w:color w:val="auto"/>
              </w:rPr>
              <w:t>Pension and other postretirement benefit obligations, net of plan assets</w:t>
            </w:r>
          </w:p>
        </w:tc>
        <w:tc>
          <w:tcPr>
            <w:tcW w:w="200" w:type="dxa"/>
            <w:vAlign w:val="bottom"/>
          </w:tcPr>
          <w:p>
            <w:pPr>
              <w:spacing w:after="0"/>
              <w:rPr>
                <w:sz w:val="15"/>
                <w:szCs w:val="15"/>
                <w:color w:val="auto"/>
              </w:rPr>
            </w:pPr>
          </w:p>
        </w:tc>
        <w:tc>
          <w:tcPr>
            <w:tcW w:w="1200" w:type="dxa"/>
            <w:vAlign w:val="bottom"/>
          </w:tcPr>
          <w:p>
            <w:pPr>
              <w:jc w:val="right"/>
              <w:spacing w:after="0" w:line="176" w:lineRule="exact"/>
              <w:rPr>
                <w:sz w:val="20"/>
                <w:szCs w:val="20"/>
                <w:color w:val="auto"/>
              </w:rPr>
            </w:pPr>
            <w:r>
              <w:rPr>
                <w:rFonts w:ascii="Arial" w:cs="Arial" w:eastAsia="Arial" w:hAnsi="Arial"/>
                <w:sz w:val="16"/>
                <w:szCs w:val="16"/>
                <w:color w:val="auto"/>
              </w:rPr>
              <w:t>305</w:t>
            </w:r>
          </w:p>
        </w:tc>
        <w:tc>
          <w:tcPr>
            <w:tcW w:w="180" w:type="dxa"/>
            <w:vAlign w:val="bottom"/>
          </w:tcPr>
          <w:p>
            <w:pPr>
              <w:spacing w:after="0"/>
              <w:rPr>
                <w:sz w:val="15"/>
                <w:szCs w:val="15"/>
                <w:color w:val="auto"/>
              </w:rPr>
            </w:pPr>
          </w:p>
        </w:tc>
        <w:tc>
          <w:tcPr>
            <w:tcW w:w="1260" w:type="dxa"/>
            <w:vAlign w:val="bottom"/>
          </w:tcPr>
          <w:p>
            <w:pPr>
              <w:jc w:val="right"/>
              <w:spacing w:after="0" w:line="176" w:lineRule="exact"/>
              <w:rPr>
                <w:sz w:val="20"/>
                <w:szCs w:val="20"/>
                <w:color w:val="auto"/>
              </w:rPr>
            </w:pPr>
            <w:r>
              <w:rPr>
                <w:rFonts w:ascii="Arial" w:cs="Arial" w:eastAsia="Arial" w:hAnsi="Arial"/>
                <w:sz w:val="16"/>
                <w:szCs w:val="16"/>
                <w:color w:val="auto"/>
              </w:rPr>
              <w:t>309</w:t>
            </w:r>
          </w:p>
        </w:tc>
        <w:tc>
          <w:tcPr>
            <w:tcW w:w="0" w:type="dxa"/>
            <w:vAlign w:val="bottom"/>
          </w:tcPr>
          <w:p>
            <w:pPr>
              <w:spacing w:after="0"/>
              <w:rPr>
                <w:sz w:val="1"/>
                <w:szCs w:val="1"/>
                <w:color w:val="auto"/>
              </w:rPr>
            </w:pPr>
          </w:p>
        </w:tc>
      </w:tr>
      <w:tr>
        <w:trPr>
          <w:trHeight w:val="176"/>
        </w:trPr>
        <w:tc>
          <w:tcPr>
            <w:tcW w:w="180" w:type="dxa"/>
            <w:vAlign w:val="bottom"/>
          </w:tcPr>
          <w:p>
            <w:pPr>
              <w:spacing w:after="0"/>
              <w:rPr>
                <w:sz w:val="15"/>
                <w:szCs w:val="15"/>
                <w:color w:val="auto"/>
              </w:rPr>
            </w:pPr>
          </w:p>
        </w:tc>
        <w:tc>
          <w:tcPr>
            <w:tcW w:w="8400" w:type="dxa"/>
            <w:vAlign w:val="bottom"/>
          </w:tcPr>
          <w:p>
            <w:pPr>
              <w:spacing w:after="0" w:line="176" w:lineRule="exact"/>
              <w:rPr>
                <w:sz w:val="20"/>
                <w:szCs w:val="20"/>
                <w:color w:val="auto"/>
              </w:rPr>
            </w:pPr>
            <w:r>
              <w:rPr>
                <w:rFonts w:ascii="Arial" w:cs="Arial" w:eastAsia="Arial" w:hAnsi="Arial"/>
                <w:sz w:val="16"/>
                <w:szCs w:val="16"/>
                <w:color w:val="auto"/>
              </w:rPr>
              <w:t>Deferred income taxes</w:t>
            </w:r>
          </w:p>
        </w:tc>
        <w:tc>
          <w:tcPr>
            <w:tcW w:w="200" w:type="dxa"/>
            <w:vAlign w:val="bottom"/>
          </w:tcPr>
          <w:p>
            <w:pPr>
              <w:spacing w:after="0"/>
              <w:rPr>
                <w:sz w:val="15"/>
                <w:szCs w:val="15"/>
                <w:color w:val="auto"/>
              </w:rPr>
            </w:pPr>
          </w:p>
        </w:tc>
        <w:tc>
          <w:tcPr>
            <w:tcW w:w="1200" w:type="dxa"/>
            <w:vAlign w:val="bottom"/>
          </w:tcPr>
          <w:p>
            <w:pPr>
              <w:jc w:val="right"/>
              <w:spacing w:after="0" w:line="176" w:lineRule="exact"/>
              <w:rPr>
                <w:sz w:val="20"/>
                <w:szCs w:val="20"/>
                <w:color w:val="auto"/>
              </w:rPr>
            </w:pPr>
            <w:r>
              <w:rPr>
                <w:rFonts w:ascii="Arial" w:cs="Arial" w:eastAsia="Arial" w:hAnsi="Arial"/>
                <w:sz w:val="16"/>
                <w:szCs w:val="16"/>
                <w:color w:val="auto"/>
              </w:rPr>
              <w:t>1,115</w:t>
            </w:r>
          </w:p>
        </w:tc>
        <w:tc>
          <w:tcPr>
            <w:tcW w:w="180" w:type="dxa"/>
            <w:vAlign w:val="bottom"/>
          </w:tcPr>
          <w:p>
            <w:pPr>
              <w:spacing w:after="0"/>
              <w:rPr>
                <w:sz w:val="15"/>
                <w:szCs w:val="15"/>
                <w:color w:val="auto"/>
              </w:rPr>
            </w:pPr>
          </w:p>
        </w:tc>
        <w:tc>
          <w:tcPr>
            <w:tcW w:w="1260" w:type="dxa"/>
            <w:vAlign w:val="bottom"/>
          </w:tcPr>
          <w:p>
            <w:pPr>
              <w:jc w:val="right"/>
              <w:spacing w:after="0" w:line="176" w:lineRule="exact"/>
              <w:rPr>
                <w:sz w:val="20"/>
                <w:szCs w:val="20"/>
                <w:color w:val="auto"/>
              </w:rPr>
            </w:pPr>
            <w:r>
              <w:rPr>
                <w:rFonts w:ascii="Arial" w:cs="Arial" w:eastAsia="Arial" w:hAnsi="Arial"/>
                <w:sz w:val="16"/>
                <w:szCs w:val="16"/>
                <w:color w:val="auto"/>
              </w:rPr>
              <w:t>1,001</w:t>
            </w:r>
          </w:p>
        </w:tc>
        <w:tc>
          <w:tcPr>
            <w:tcW w:w="0" w:type="dxa"/>
            <w:vAlign w:val="bottom"/>
          </w:tcPr>
          <w:p>
            <w:pPr>
              <w:spacing w:after="0"/>
              <w:rPr>
                <w:sz w:val="1"/>
                <w:szCs w:val="1"/>
                <w:color w:val="auto"/>
              </w:rPr>
            </w:pPr>
          </w:p>
        </w:tc>
      </w:tr>
      <w:tr>
        <w:trPr>
          <w:trHeight w:val="176"/>
        </w:trPr>
        <w:tc>
          <w:tcPr>
            <w:tcW w:w="180" w:type="dxa"/>
            <w:vAlign w:val="bottom"/>
          </w:tcPr>
          <w:p>
            <w:pPr>
              <w:spacing w:after="0"/>
              <w:rPr>
                <w:sz w:val="15"/>
                <w:szCs w:val="15"/>
                <w:color w:val="auto"/>
              </w:rPr>
            </w:pPr>
          </w:p>
        </w:tc>
        <w:tc>
          <w:tcPr>
            <w:tcW w:w="8400" w:type="dxa"/>
            <w:vAlign w:val="bottom"/>
          </w:tcPr>
          <w:p>
            <w:pPr>
              <w:spacing w:after="0" w:line="176" w:lineRule="exact"/>
              <w:rPr>
                <w:sz w:val="20"/>
                <w:szCs w:val="20"/>
                <w:color w:val="auto"/>
              </w:rPr>
            </w:pPr>
            <w:r>
              <w:rPr>
                <w:rFonts w:ascii="Arial" w:cs="Arial" w:eastAsia="Arial" w:hAnsi="Arial"/>
                <w:sz w:val="16"/>
                <w:szCs w:val="16"/>
                <w:color w:val="auto"/>
              </w:rPr>
              <w:t>Deferred investment tax credits</w:t>
            </w:r>
          </w:p>
        </w:tc>
        <w:tc>
          <w:tcPr>
            <w:tcW w:w="200" w:type="dxa"/>
            <w:vAlign w:val="bottom"/>
          </w:tcPr>
          <w:p>
            <w:pPr>
              <w:spacing w:after="0"/>
              <w:rPr>
                <w:sz w:val="15"/>
                <w:szCs w:val="15"/>
                <w:color w:val="auto"/>
              </w:rPr>
            </w:pPr>
          </w:p>
        </w:tc>
        <w:tc>
          <w:tcPr>
            <w:tcW w:w="1200" w:type="dxa"/>
            <w:vAlign w:val="bottom"/>
          </w:tcPr>
          <w:p>
            <w:pPr>
              <w:jc w:val="right"/>
              <w:spacing w:after="0" w:line="176" w:lineRule="exact"/>
              <w:rPr>
                <w:sz w:val="20"/>
                <w:szCs w:val="20"/>
                <w:color w:val="auto"/>
              </w:rPr>
            </w:pPr>
            <w:r>
              <w:rPr>
                <w:rFonts w:ascii="Arial" w:cs="Arial" w:eastAsia="Arial" w:hAnsi="Arial"/>
                <w:sz w:val="16"/>
                <w:szCs w:val="16"/>
                <w:color w:val="auto"/>
              </w:rPr>
              <w:t>24</w:t>
            </w:r>
          </w:p>
        </w:tc>
        <w:tc>
          <w:tcPr>
            <w:tcW w:w="180" w:type="dxa"/>
            <w:vAlign w:val="bottom"/>
          </w:tcPr>
          <w:p>
            <w:pPr>
              <w:spacing w:after="0"/>
              <w:rPr>
                <w:sz w:val="15"/>
                <w:szCs w:val="15"/>
                <w:color w:val="auto"/>
              </w:rPr>
            </w:pPr>
          </w:p>
        </w:tc>
        <w:tc>
          <w:tcPr>
            <w:tcW w:w="1260" w:type="dxa"/>
            <w:vAlign w:val="bottom"/>
          </w:tcPr>
          <w:p>
            <w:pPr>
              <w:jc w:val="right"/>
              <w:spacing w:after="0" w:line="176" w:lineRule="exact"/>
              <w:rPr>
                <w:sz w:val="20"/>
                <w:szCs w:val="20"/>
                <w:color w:val="auto"/>
              </w:rPr>
            </w:pPr>
            <w:r>
              <w:rPr>
                <w:rFonts w:ascii="Arial" w:cs="Arial" w:eastAsia="Arial" w:hAnsi="Arial"/>
                <w:sz w:val="16"/>
                <w:szCs w:val="16"/>
                <w:color w:val="auto"/>
              </w:rPr>
              <w:t>25</w:t>
            </w:r>
          </w:p>
        </w:tc>
        <w:tc>
          <w:tcPr>
            <w:tcW w:w="0" w:type="dxa"/>
            <w:vAlign w:val="bottom"/>
          </w:tcPr>
          <w:p>
            <w:pPr>
              <w:spacing w:after="0"/>
              <w:rPr>
                <w:sz w:val="1"/>
                <w:szCs w:val="1"/>
                <w:color w:val="auto"/>
              </w:rPr>
            </w:pPr>
          </w:p>
        </w:tc>
      </w:tr>
      <w:tr>
        <w:trPr>
          <w:trHeight w:val="176"/>
        </w:trPr>
        <w:tc>
          <w:tcPr>
            <w:tcW w:w="180" w:type="dxa"/>
            <w:vAlign w:val="bottom"/>
          </w:tcPr>
          <w:p>
            <w:pPr>
              <w:spacing w:after="0"/>
              <w:rPr>
                <w:sz w:val="15"/>
                <w:szCs w:val="15"/>
                <w:color w:val="auto"/>
              </w:rPr>
            </w:pPr>
          </w:p>
        </w:tc>
        <w:tc>
          <w:tcPr>
            <w:tcW w:w="8400" w:type="dxa"/>
            <w:vAlign w:val="bottom"/>
          </w:tcPr>
          <w:p>
            <w:pPr>
              <w:spacing w:after="0" w:line="176" w:lineRule="exact"/>
              <w:rPr>
                <w:sz w:val="20"/>
                <w:szCs w:val="20"/>
                <w:color w:val="auto"/>
              </w:rPr>
            </w:pPr>
            <w:r>
              <w:rPr>
                <w:rFonts w:ascii="Arial" w:cs="Arial" w:eastAsia="Arial" w:hAnsi="Arial"/>
                <w:sz w:val="16"/>
                <w:szCs w:val="16"/>
                <w:color w:val="auto"/>
              </w:rPr>
              <w:t>Regulatory liabilities arising from removal obligations</w:t>
            </w:r>
          </w:p>
        </w:tc>
        <w:tc>
          <w:tcPr>
            <w:tcW w:w="200" w:type="dxa"/>
            <w:vAlign w:val="bottom"/>
          </w:tcPr>
          <w:p>
            <w:pPr>
              <w:spacing w:after="0"/>
              <w:rPr>
                <w:sz w:val="15"/>
                <w:szCs w:val="15"/>
                <w:color w:val="auto"/>
              </w:rPr>
            </w:pPr>
          </w:p>
        </w:tc>
        <w:tc>
          <w:tcPr>
            <w:tcW w:w="1200" w:type="dxa"/>
            <w:vAlign w:val="bottom"/>
          </w:tcPr>
          <w:p>
            <w:pPr>
              <w:jc w:val="right"/>
              <w:spacing w:after="0" w:line="176" w:lineRule="exact"/>
              <w:rPr>
                <w:sz w:val="20"/>
                <w:szCs w:val="20"/>
                <w:color w:val="auto"/>
              </w:rPr>
            </w:pPr>
            <w:r>
              <w:rPr>
                <w:rFonts w:ascii="Arial" w:cs="Arial" w:eastAsia="Arial" w:hAnsi="Arial"/>
                <w:sz w:val="16"/>
                <w:szCs w:val="16"/>
                <w:color w:val="auto"/>
              </w:rPr>
              <w:t>1,460</w:t>
            </w:r>
          </w:p>
        </w:tc>
        <w:tc>
          <w:tcPr>
            <w:tcW w:w="180" w:type="dxa"/>
            <w:vAlign w:val="bottom"/>
          </w:tcPr>
          <w:p>
            <w:pPr>
              <w:spacing w:after="0"/>
              <w:rPr>
                <w:sz w:val="15"/>
                <w:szCs w:val="15"/>
                <w:color w:val="auto"/>
              </w:rPr>
            </w:pPr>
          </w:p>
        </w:tc>
        <w:tc>
          <w:tcPr>
            <w:tcW w:w="1260" w:type="dxa"/>
            <w:vAlign w:val="bottom"/>
          </w:tcPr>
          <w:p>
            <w:pPr>
              <w:jc w:val="right"/>
              <w:spacing w:after="0" w:line="176" w:lineRule="exact"/>
              <w:rPr>
                <w:sz w:val="20"/>
                <w:szCs w:val="20"/>
                <w:color w:val="auto"/>
              </w:rPr>
            </w:pPr>
            <w:r>
              <w:rPr>
                <w:rFonts w:ascii="Arial" w:cs="Arial" w:eastAsia="Arial" w:hAnsi="Arial"/>
                <w:sz w:val="16"/>
                <w:szCs w:val="16"/>
                <w:color w:val="auto"/>
              </w:rPr>
              <w:t>1,409</w:t>
            </w:r>
          </w:p>
        </w:tc>
        <w:tc>
          <w:tcPr>
            <w:tcW w:w="0" w:type="dxa"/>
            <w:vAlign w:val="bottom"/>
          </w:tcPr>
          <w:p>
            <w:pPr>
              <w:spacing w:after="0"/>
              <w:rPr>
                <w:sz w:val="1"/>
                <w:szCs w:val="1"/>
                <w:color w:val="auto"/>
              </w:rPr>
            </w:pPr>
          </w:p>
        </w:tc>
      </w:tr>
      <w:tr>
        <w:trPr>
          <w:trHeight w:val="176"/>
        </w:trPr>
        <w:tc>
          <w:tcPr>
            <w:tcW w:w="8580" w:type="dxa"/>
            <w:vAlign w:val="bottom"/>
            <w:gridSpan w:val="2"/>
          </w:tcPr>
          <w:p>
            <w:pPr>
              <w:ind w:left="180"/>
              <w:spacing w:after="0" w:line="176" w:lineRule="exact"/>
              <w:rPr>
                <w:sz w:val="20"/>
                <w:szCs w:val="20"/>
                <w:color w:val="auto"/>
              </w:rPr>
            </w:pPr>
            <w:r>
              <w:rPr>
                <w:rFonts w:ascii="Arial" w:cs="Arial" w:eastAsia="Arial" w:hAnsi="Arial"/>
                <w:sz w:val="16"/>
                <w:szCs w:val="16"/>
                <w:color w:val="auto"/>
              </w:rPr>
              <w:t>Asset retirement obligations</w:t>
            </w:r>
          </w:p>
        </w:tc>
        <w:tc>
          <w:tcPr>
            <w:tcW w:w="200" w:type="dxa"/>
            <w:vAlign w:val="bottom"/>
          </w:tcPr>
          <w:p>
            <w:pPr>
              <w:spacing w:after="0"/>
              <w:rPr>
                <w:sz w:val="15"/>
                <w:szCs w:val="15"/>
                <w:color w:val="auto"/>
              </w:rPr>
            </w:pPr>
          </w:p>
        </w:tc>
        <w:tc>
          <w:tcPr>
            <w:tcW w:w="1200" w:type="dxa"/>
            <w:vAlign w:val="bottom"/>
          </w:tcPr>
          <w:p>
            <w:pPr>
              <w:jc w:val="right"/>
              <w:spacing w:after="0" w:line="176" w:lineRule="exact"/>
              <w:rPr>
                <w:sz w:val="20"/>
                <w:szCs w:val="20"/>
                <w:color w:val="auto"/>
              </w:rPr>
            </w:pPr>
            <w:r>
              <w:rPr>
                <w:rFonts w:ascii="Arial" w:cs="Arial" w:eastAsia="Arial" w:hAnsi="Arial"/>
                <w:sz w:val="16"/>
                <w:szCs w:val="16"/>
                <w:color w:val="auto"/>
              </w:rPr>
              <w:t>638</w:t>
            </w:r>
          </w:p>
        </w:tc>
        <w:tc>
          <w:tcPr>
            <w:tcW w:w="180" w:type="dxa"/>
            <w:vAlign w:val="bottom"/>
          </w:tcPr>
          <w:p>
            <w:pPr>
              <w:spacing w:after="0"/>
              <w:rPr>
                <w:sz w:val="15"/>
                <w:szCs w:val="15"/>
                <w:color w:val="auto"/>
              </w:rPr>
            </w:pPr>
          </w:p>
        </w:tc>
        <w:tc>
          <w:tcPr>
            <w:tcW w:w="1260" w:type="dxa"/>
            <w:vAlign w:val="bottom"/>
          </w:tcPr>
          <w:p>
            <w:pPr>
              <w:jc w:val="right"/>
              <w:spacing w:after="0" w:line="176" w:lineRule="exact"/>
              <w:rPr>
                <w:sz w:val="20"/>
                <w:szCs w:val="20"/>
                <w:color w:val="auto"/>
              </w:rPr>
            </w:pPr>
            <w:r>
              <w:rPr>
                <w:rFonts w:ascii="Arial" w:cs="Arial" w:eastAsia="Arial" w:hAnsi="Arial"/>
                <w:sz w:val="16"/>
                <w:szCs w:val="16"/>
                <w:color w:val="auto"/>
              </w:rPr>
              <w:t>619</w:t>
            </w:r>
          </w:p>
        </w:tc>
        <w:tc>
          <w:tcPr>
            <w:tcW w:w="0" w:type="dxa"/>
            <w:vAlign w:val="bottom"/>
          </w:tcPr>
          <w:p>
            <w:pPr>
              <w:spacing w:after="0"/>
              <w:rPr>
                <w:sz w:val="1"/>
                <w:szCs w:val="1"/>
                <w:color w:val="auto"/>
              </w:rPr>
            </w:pPr>
          </w:p>
        </w:tc>
      </w:tr>
      <w:tr>
        <w:trPr>
          <w:trHeight w:val="176"/>
        </w:trPr>
        <w:tc>
          <w:tcPr>
            <w:tcW w:w="180" w:type="dxa"/>
            <w:vAlign w:val="bottom"/>
          </w:tcPr>
          <w:p>
            <w:pPr>
              <w:spacing w:after="0"/>
              <w:rPr>
                <w:sz w:val="15"/>
                <w:szCs w:val="15"/>
                <w:color w:val="auto"/>
              </w:rPr>
            </w:pPr>
          </w:p>
        </w:tc>
        <w:tc>
          <w:tcPr>
            <w:tcW w:w="8400" w:type="dxa"/>
            <w:vAlign w:val="bottom"/>
          </w:tcPr>
          <w:p>
            <w:pPr>
              <w:spacing w:after="0" w:line="176" w:lineRule="exact"/>
              <w:rPr>
                <w:sz w:val="20"/>
                <w:szCs w:val="20"/>
                <w:color w:val="auto"/>
              </w:rPr>
            </w:pPr>
            <w:r>
              <w:rPr>
                <w:rFonts w:ascii="Arial" w:cs="Arial" w:eastAsia="Arial" w:hAnsi="Arial"/>
                <w:sz w:val="16"/>
                <w:szCs w:val="16"/>
                <w:color w:val="auto"/>
              </w:rPr>
              <w:t>Fixed-price contracts and other derivatives</w:t>
            </w:r>
          </w:p>
        </w:tc>
        <w:tc>
          <w:tcPr>
            <w:tcW w:w="200" w:type="dxa"/>
            <w:vAlign w:val="bottom"/>
          </w:tcPr>
          <w:p>
            <w:pPr>
              <w:spacing w:after="0"/>
              <w:rPr>
                <w:sz w:val="15"/>
                <w:szCs w:val="15"/>
                <w:color w:val="auto"/>
              </w:rPr>
            </w:pPr>
          </w:p>
        </w:tc>
        <w:tc>
          <w:tcPr>
            <w:tcW w:w="1200" w:type="dxa"/>
            <w:vAlign w:val="bottom"/>
          </w:tcPr>
          <w:p>
            <w:pPr>
              <w:jc w:val="right"/>
              <w:spacing w:after="0" w:line="176" w:lineRule="exact"/>
              <w:rPr>
                <w:sz w:val="20"/>
                <w:szCs w:val="20"/>
                <w:color w:val="auto"/>
              </w:rPr>
            </w:pPr>
            <w:r>
              <w:rPr>
                <w:rFonts w:ascii="Arial" w:cs="Arial" w:eastAsia="Arial" w:hAnsi="Arial"/>
                <w:sz w:val="16"/>
                <w:szCs w:val="16"/>
                <w:color w:val="auto"/>
              </w:rPr>
              <w:t>236</w:t>
            </w:r>
          </w:p>
        </w:tc>
        <w:tc>
          <w:tcPr>
            <w:tcW w:w="180" w:type="dxa"/>
            <w:vAlign w:val="bottom"/>
          </w:tcPr>
          <w:p>
            <w:pPr>
              <w:spacing w:after="0"/>
              <w:rPr>
                <w:sz w:val="15"/>
                <w:szCs w:val="15"/>
                <w:color w:val="auto"/>
              </w:rPr>
            </w:pPr>
          </w:p>
        </w:tc>
        <w:tc>
          <w:tcPr>
            <w:tcW w:w="1260" w:type="dxa"/>
            <w:vAlign w:val="bottom"/>
          </w:tcPr>
          <w:p>
            <w:pPr>
              <w:jc w:val="right"/>
              <w:spacing w:after="0" w:line="176" w:lineRule="exact"/>
              <w:rPr>
                <w:sz w:val="20"/>
                <w:szCs w:val="20"/>
                <w:color w:val="auto"/>
              </w:rPr>
            </w:pPr>
            <w:r>
              <w:rPr>
                <w:rFonts w:ascii="Arial" w:cs="Arial" w:eastAsia="Arial" w:hAnsi="Arial"/>
                <w:sz w:val="16"/>
                <w:szCs w:val="16"/>
                <w:color w:val="auto"/>
              </w:rPr>
              <w:t>248</w:t>
            </w:r>
          </w:p>
        </w:tc>
        <w:tc>
          <w:tcPr>
            <w:tcW w:w="0" w:type="dxa"/>
            <w:vAlign w:val="bottom"/>
          </w:tcPr>
          <w:p>
            <w:pPr>
              <w:spacing w:after="0"/>
              <w:rPr>
                <w:sz w:val="1"/>
                <w:szCs w:val="1"/>
                <w:color w:val="auto"/>
              </w:rPr>
            </w:pPr>
          </w:p>
        </w:tc>
      </w:tr>
      <w:tr>
        <w:trPr>
          <w:trHeight w:val="194"/>
        </w:trPr>
        <w:tc>
          <w:tcPr>
            <w:tcW w:w="180" w:type="dxa"/>
            <w:vAlign w:val="bottom"/>
          </w:tcPr>
          <w:p>
            <w:pPr>
              <w:spacing w:after="0"/>
              <w:rPr>
                <w:sz w:val="16"/>
                <w:szCs w:val="16"/>
                <w:color w:val="auto"/>
              </w:rPr>
            </w:pPr>
          </w:p>
        </w:tc>
        <w:tc>
          <w:tcPr>
            <w:tcW w:w="8400" w:type="dxa"/>
            <w:vAlign w:val="bottom"/>
          </w:tcPr>
          <w:p>
            <w:pPr>
              <w:spacing w:after="0"/>
              <w:rPr>
                <w:sz w:val="20"/>
                <w:szCs w:val="20"/>
                <w:color w:val="auto"/>
              </w:rPr>
            </w:pPr>
            <w:r>
              <w:rPr>
                <w:rFonts w:ascii="Arial" w:cs="Arial" w:eastAsia="Arial" w:hAnsi="Arial"/>
                <w:sz w:val="16"/>
                <w:szCs w:val="16"/>
                <w:color w:val="auto"/>
              </w:rPr>
              <w:t>Deferred credits and other</w:t>
            </w:r>
          </w:p>
        </w:tc>
        <w:tc>
          <w:tcPr>
            <w:tcW w:w="2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288</w:t>
            </w:r>
          </w:p>
        </w:tc>
        <w:tc>
          <w:tcPr>
            <w:tcW w:w="1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283</w:t>
            </w:r>
          </w:p>
        </w:tc>
        <w:tc>
          <w:tcPr>
            <w:tcW w:w="0" w:type="dxa"/>
            <w:vAlign w:val="bottom"/>
          </w:tcPr>
          <w:p>
            <w:pPr>
              <w:spacing w:after="0"/>
              <w:rPr>
                <w:sz w:val="1"/>
                <w:szCs w:val="1"/>
                <w:color w:val="auto"/>
              </w:rPr>
            </w:pPr>
          </w:p>
        </w:tc>
      </w:tr>
      <w:tr>
        <w:trPr>
          <w:trHeight w:val="183"/>
        </w:trPr>
        <w:tc>
          <w:tcPr>
            <w:tcW w:w="180" w:type="dxa"/>
            <w:vAlign w:val="bottom"/>
          </w:tcPr>
          <w:p>
            <w:pPr>
              <w:spacing w:after="0"/>
              <w:rPr>
                <w:sz w:val="15"/>
                <w:szCs w:val="15"/>
                <w:color w:val="auto"/>
              </w:rPr>
            </w:pPr>
          </w:p>
        </w:tc>
        <w:tc>
          <w:tcPr>
            <w:tcW w:w="8400" w:type="dxa"/>
            <w:vAlign w:val="bottom"/>
          </w:tcPr>
          <w:p>
            <w:pPr>
              <w:ind w:left="180"/>
              <w:spacing w:after="0" w:line="176" w:lineRule="exact"/>
              <w:rPr>
                <w:sz w:val="20"/>
                <w:szCs w:val="20"/>
                <w:color w:val="auto"/>
              </w:rPr>
            </w:pPr>
            <w:r>
              <w:rPr>
                <w:rFonts w:ascii="Arial" w:cs="Arial" w:eastAsia="Arial" w:hAnsi="Arial"/>
                <w:sz w:val="16"/>
                <w:szCs w:val="16"/>
                <w:color w:val="auto"/>
              </w:rPr>
              <w:t>Total deferred credits and other liabilities</w:t>
            </w:r>
          </w:p>
        </w:tc>
        <w:tc>
          <w:tcPr>
            <w:tcW w:w="20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6"/>
                <w:szCs w:val="16"/>
                <w:color w:val="auto"/>
              </w:rPr>
              <w:t>4,087</w:t>
            </w:r>
          </w:p>
        </w:tc>
        <w:tc>
          <w:tcPr>
            <w:tcW w:w="18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6"/>
                <w:szCs w:val="16"/>
                <w:color w:val="auto"/>
              </w:rPr>
              <w:t>3,915</w:t>
            </w:r>
          </w:p>
        </w:tc>
        <w:tc>
          <w:tcPr>
            <w:tcW w:w="0" w:type="dxa"/>
            <w:vAlign w:val="bottom"/>
          </w:tcPr>
          <w:p>
            <w:pPr>
              <w:spacing w:after="0"/>
              <w:rPr>
                <w:sz w:val="1"/>
                <w:szCs w:val="1"/>
                <w:color w:val="auto"/>
              </w:rPr>
            </w:pPr>
          </w:p>
        </w:tc>
      </w:tr>
      <w:tr>
        <w:trPr>
          <w:trHeight w:val="183"/>
        </w:trPr>
        <w:tc>
          <w:tcPr>
            <w:tcW w:w="8580" w:type="dxa"/>
            <w:vAlign w:val="bottom"/>
            <w:gridSpan w:val="2"/>
          </w:tcPr>
          <w:p>
            <w:pPr>
              <w:spacing w:after="0" w:line="176" w:lineRule="exact"/>
              <w:rPr>
                <w:sz w:val="20"/>
                <w:szCs w:val="20"/>
                <w:color w:val="auto"/>
              </w:rPr>
            </w:pPr>
            <w:r>
              <w:rPr>
                <w:rFonts w:ascii="Arial" w:cs="Arial" w:eastAsia="Arial" w:hAnsi="Arial"/>
                <w:sz w:val="16"/>
                <w:szCs w:val="16"/>
                <w:color w:val="auto"/>
              </w:rPr>
              <w:t>Contingently redeemable preferred stock</w:t>
            </w:r>
          </w:p>
        </w:tc>
        <w:tc>
          <w:tcPr>
            <w:tcW w:w="20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6"/>
                <w:szCs w:val="16"/>
                <w:color w:val="auto"/>
              </w:rPr>
              <w:t>79</w:t>
            </w:r>
          </w:p>
        </w:tc>
        <w:tc>
          <w:tcPr>
            <w:tcW w:w="18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6"/>
                <w:szCs w:val="16"/>
                <w:color w:val="auto"/>
              </w:rPr>
              <w:t>79</w:t>
            </w:r>
          </w:p>
        </w:tc>
        <w:tc>
          <w:tcPr>
            <w:tcW w:w="0" w:type="dxa"/>
            <w:vAlign w:val="bottom"/>
          </w:tcPr>
          <w:p>
            <w:pPr>
              <w:spacing w:after="0"/>
              <w:rPr>
                <w:sz w:val="1"/>
                <w:szCs w:val="1"/>
                <w:color w:val="auto"/>
              </w:rPr>
            </w:pPr>
          </w:p>
        </w:tc>
      </w:tr>
      <w:tr>
        <w:trPr>
          <w:trHeight w:val="386"/>
        </w:trPr>
        <w:tc>
          <w:tcPr>
            <w:tcW w:w="8580" w:type="dxa"/>
            <w:vAlign w:val="bottom"/>
            <w:gridSpan w:val="2"/>
          </w:tcPr>
          <w:p>
            <w:pPr>
              <w:spacing w:after="0"/>
              <w:rPr>
                <w:sz w:val="20"/>
                <w:szCs w:val="20"/>
                <w:color w:val="auto"/>
              </w:rPr>
            </w:pPr>
            <w:r>
              <w:rPr>
                <w:rFonts w:ascii="Arial" w:cs="Arial" w:eastAsia="Arial" w:hAnsi="Arial"/>
                <w:sz w:val="16"/>
                <w:szCs w:val="16"/>
                <w:color w:val="auto"/>
              </w:rPr>
              <w:t>Commitments and contingencies (Note 10)</w:t>
            </w:r>
          </w:p>
        </w:tc>
        <w:tc>
          <w:tcPr>
            <w:tcW w:w="2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9"/>
        </w:trPr>
        <w:tc>
          <w:tcPr>
            <w:tcW w:w="8580" w:type="dxa"/>
            <w:vAlign w:val="bottom"/>
            <w:gridSpan w:val="2"/>
          </w:tcPr>
          <w:p>
            <w:pPr>
              <w:spacing w:after="0"/>
              <w:rPr>
                <w:sz w:val="20"/>
                <w:szCs w:val="20"/>
                <w:color w:val="auto"/>
              </w:rPr>
            </w:pPr>
            <w:r>
              <w:rPr>
                <w:rFonts w:ascii="Arial" w:cs="Arial" w:eastAsia="Arial" w:hAnsi="Arial"/>
                <w:sz w:val="16"/>
                <w:szCs w:val="16"/>
                <w:color w:val="auto"/>
              </w:rPr>
              <w:t>Equity:</w:t>
            </w:r>
          </w:p>
        </w:tc>
        <w:tc>
          <w:tcPr>
            <w:tcW w:w="2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180" w:type="dxa"/>
            <w:vAlign w:val="bottom"/>
          </w:tcPr>
          <w:p>
            <w:pPr>
              <w:spacing w:after="0"/>
              <w:rPr>
                <w:sz w:val="15"/>
                <w:szCs w:val="15"/>
                <w:color w:val="auto"/>
              </w:rPr>
            </w:pPr>
          </w:p>
        </w:tc>
        <w:tc>
          <w:tcPr>
            <w:tcW w:w="8400" w:type="dxa"/>
            <w:vAlign w:val="bottom"/>
          </w:tcPr>
          <w:p>
            <w:pPr>
              <w:spacing w:after="0" w:line="176" w:lineRule="exact"/>
              <w:rPr>
                <w:sz w:val="20"/>
                <w:szCs w:val="20"/>
                <w:color w:val="auto"/>
              </w:rPr>
            </w:pPr>
            <w:r>
              <w:rPr>
                <w:rFonts w:ascii="Arial" w:cs="Arial" w:eastAsia="Arial" w:hAnsi="Arial"/>
                <w:sz w:val="16"/>
                <w:szCs w:val="16"/>
                <w:color w:val="auto"/>
              </w:rPr>
              <w:t>Common stock (255 million shares authorized; 117 million shares outstanding;</w:t>
            </w:r>
          </w:p>
        </w:tc>
        <w:tc>
          <w:tcPr>
            <w:tcW w:w="2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80" w:type="dxa"/>
            <w:vAlign w:val="bottom"/>
          </w:tcPr>
          <w:p>
            <w:pPr>
              <w:spacing w:after="0"/>
              <w:rPr>
                <w:sz w:val="15"/>
                <w:szCs w:val="15"/>
                <w:color w:val="auto"/>
              </w:rPr>
            </w:pPr>
          </w:p>
        </w:tc>
        <w:tc>
          <w:tcPr>
            <w:tcW w:w="8400" w:type="dxa"/>
            <w:vAlign w:val="bottom"/>
          </w:tcPr>
          <w:p>
            <w:pPr>
              <w:ind w:left="180"/>
              <w:spacing w:after="0" w:line="176" w:lineRule="exact"/>
              <w:rPr>
                <w:sz w:val="20"/>
                <w:szCs w:val="20"/>
                <w:color w:val="auto"/>
              </w:rPr>
            </w:pPr>
            <w:r>
              <w:rPr>
                <w:rFonts w:ascii="Arial" w:cs="Arial" w:eastAsia="Arial" w:hAnsi="Arial"/>
                <w:sz w:val="16"/>
                <w:szCs w:val="16"/>
                <w:color w:val="auto"/>
              </w:rPr>
              <w:t>no par value)</w:t>
            </w:r>
          </w:p>
        </w:tc>
        <w:tc>
          <w:tcPr>
            <w:tcW w:w="200" w:type="dxa"/>
            <w:vAlign w:val="bottom"/>
          </w:tcPr>
          <w:p>
            <w:pPr>
              <w:spacing w:after="0"/>
              <w:rPr>
                <w:sz w:val="15"/>
                <w:szCs w:val="15"/>
                <w:color w:val="auto"/>
              </w:rPr>
            </w:pPr>
          </w:p>
        </w:tc>
        <w:tc>
          <w:tcPr>
            <w:tcW w:w="1200" w:type="dxa"/>
            <w:vAlign w:val="bottom"/>
          </w:tcPr>
          <w:p>
            <w:pPr>
              <w:jc w:val="right"/>
              <w:spacing w:after="0" w:line="176" w:lineRule="exact"/>
              <w:rPr>
                <w:sz w:val="20"/>
                <w:szCs w:val="20"/>
                <w:color w:val="auto"/>
              </w:rPr>
            </w:pPr>
            <w:r>
              <w:rPr>
                <w:rFonts w:ascii="Arial" w:cs="Arial" w:eastAsia="Arial" w:hAnsi="Arial"/>
                <w:sz w:val="16"/>
                <w:szCs w:val="16"/>
                <w:color w:val="auto"/>
              </w:rPr>
              <w:t>1,338</w:t>
            </w:r>
          </w:p>
        </w:tc>
        <w:tc>
          <w:tcPr>
            <w:tcW w:w="180" w:type="dxa"/>
            <w:vAlign w:val="bottom"/>
          </w:tcPr>
          <w:p>
            <w:pPr>
              <w:spacing w:after="0"/>
              <w:rPr>
                <w:sz w:val="15"/>
                <w:szCs w:val="15"/>
                <w:color w:val="auto"/>
              </w:rPr>
            </w:pPr>
          </w:p>
        </w:tc>
        <w:tc>
          <w:tcPr>
            <w:tcW w:w="1260" w:type="dxa"/>
            <w:vAlign w:val="bottom"/>
          </w:tcPr>
          <w:p>
            <w:pPr>
              <w:jc w:val="right"/>
              <w:spacing w:after="0" w:line="176" w:lineRule="exact"/>
              <w:rPr>
                <w:sz w:val="20"/>
                <w:szCs w:val="20"/>
                <w:color w:val="auto"/>
              </w:rPr>
            </w:pPr>
            <w:r>
              <w:rPr>
                <w:rFonts w:ascii="Arial" w:cs="Arial" w:eastAsia="Arial" w:hAnsi="Arial"/>
                <w:sz w:val="16"/>
                <w:szCs w:val="16"/>
                <w:color w:val="auto"/>
              </w:rPr>
              <w:t>1,138</w:t>
            </w:r>
          </w:p>
        </w:tc>
        <w:tc>
          <w:tcPr>
            <w:tcW w:w="0" w:type="dxa"/>
            <w:vAlign w:val="bottom"/>
          </w:tcPr>
          <w:p>
            <w:pPr>
              <w:spacing w:after="0"/>
              <w:rPr>
                <w:sz w:val="1"/>
                <w:szCs w:val="1"/>
                <w:color w:val="auto"/>
              </w:rPr>
            </w:pPr>
          </w:p>
        </w:tc>
      </w:tr>
      <w:tr>
        <w:trPr>
          <w:trHeight w:val="176"/>
        </w:trPr>
        <w:tc>
          <w:tcPr>
            <w:tcW w:w="180" w:type="dxa"/>
            <w:vAlign w:val="bottom"/>
          </w:tcPr>
          <w:p>
            <w:pPr>
              <w:spacing w:after="0"/>
              <w:rPr>
                <w:sz w:val="15"/>
                <w:szCs w:val="15"/>
                <w:color w:val="auto"/>
              </w:rPr>
            </w:pPr>
          </w:p>
        </w:tc>
        <w:tc>
          <w:tcPr>
            <w:tcW w:w="8400" w:type="dxa"/>
            <w:vAlign w:val="bottom"/>
          </w:tcPr>
          <w:p>
            <w:pPr>
              <w:spacing w:after="0" w:line="176" w:lineRule="exact"/>
              <w:rPr>
                <w:sz w:val="20"/>
                <w:szCs w:val="20"/>
                <w:color w:val="auto"/>
              </w:rPr>
            </w:pPr>
            <w:r>
              <w:rPr>
                <w:rFonts w:ascii="Arial" w:cs="Arial" w:eastAsia="Arial" w:hAnsi="Arial"/>
                <w:sz w:val="16"/>
                <w:szCs w:val="16"/>
                <w:color w:val="auto"/>
              </w:rPr>
              <w:t>Retained earnings</w:t>
            </w:r>
          </w:p>
        </w:tc>
        <w:tc>
          <w:tcPr>
            <w:tcW w:w="200" w:type="dxa"/>
            <w:vAlign w:val="bottom"/>
          </w:tcPr>
          <w:p>
            <w:pPr>
              <w:spacing w:after="0"/>
              <w:rPr>
                <w:sz w:val="15"/>
                <w:szCs w:val="15"/>
                <w:color w:val="auto"/>
              </w:rPr>
            </w:pPr>
          </w:p>
        </w:tc>
        <w:tc>
          <w:tcPr>
            <w:tcW w:w="1200" w:type="dxa"/>
            <w:vAlign w:val="bottom"/>
          </w:tcPr>
          <w:p>
            <w:pPr>
              <w:jc w:val="right"/>
              <w:spacing w:after="0" w:line="176" w:lineRule="exact"/>
              <w:rPr>
                <w:sz w:val="20"/>
                <w:szCs w:val="20"/>
                <w:color w:val="auto"/>
              </w:rPr>
            </w:pPr>
            <w:r>
              <w:rPr>
                <w:rFonts w:ascii="Arial" w:cs="Arial" w:eastAsia="Arial" w:hAnsi="Arial"/>
                <w:sz w:val="16"/>
                <w:szCs w:val="16"/>
                <w:color w:val="auto"/>
              </w:rPr>
              <w:t>2,140</w:t>
            </w:r>
          </w:p>
        </w:tc>
        <w:tc>
          <w:tcPr>
            <w:tcW w:w="180" w:type="dxa"/>
            <w:vAlign w:val="bottom"/>
          </w:tcPr>
          <w:p>
            <w:pPr>
              <w:spacing w:after="0"/>
              <w:rPr>
                <w:sz w:val="15"/>
                <w:szCs w:val="15"/>
                <w:color w:val="auto"/>
              </w:rPr>
            </w:pPr>
          </w:p>
        </w:tc>
        <w:tc>
          <w:tcPr>
            <w:tcW w:w="1260" w:type="dxa"/>
            <w:vAlign w:val="bottom"/>
          </w:tcPr>
          <w:p>
            <w:pPr>
              <w:jc w:val="right"/>
              <w:spacing w:after="0" w:line="176" w:lineRule="exact"/>
              <w:rPr>
                <w:sz w:val="20"/>
                <w:szCs w:val="20"/>
                <w:color w:val="auto"/>
              </w:rPr>
            </w:pPr>
            <w:r>
              <w:rPr>
                <w:rFonts w:ascii="Arial" w:cs="Arial" w:eastAsia="Arial" w:hAnsi="Arial"/>
                <w:sz w:val="16"/>
                <w:szCs w:val="16"/>
                <w:color w:val="auto"/>
              </w:rPr>
              <w:t>1,980</w:t>
            </w:r>
          </w:p>
        </w:tc>
        <w:tc>
          <w:tcPr>
            <w:tcW w:w="0" w:type="dxa"/>
            <w:vAlign w:val="bottom"/>
          </w:tcPr>
          <w:p>
            <w:pPr>
              <w:spacing w:after="0"/>
              <w:rPr>
                <w:sz w:val="1"/>
                <w:szCs w:val="1"/>
                <w:color w:val="auto"/>
              </w:rPr>
            </w:pPr>
          </w:p>
        </w:tc>
      </w:tr>
      <w:tr>
        <w:trPr>
          <w:trHeight w:val="194"/>
        </w:trPr>
        <w:tc>
          <w:tcPr>
            <w:tcW w:w="8580" w:type="dxa"/>
            <w:vAlign w:val="bottom"/>
            <w:gridSpan w:val="2"/>
          </w:tcPr>
          <w:p>
            <w:pPr>
              <w:ind w:left="180"/>
              <w:spacing w:after="0"/>
              <w:rPr>
                <w:sz w:val="20"/>
                <w:szCs w:val="20"/>
                <w:color w:val="auto"/>
              </w:rPr>
            </w:pPr>
            <w:r>
              <w:rPr>
                <w:rFonts w:ascii="Arial" w:cs="Arial" w:eastAsia="Arial" w:hAnsi="Arial"/>
                <w:sz w:val="16"/>
                <w:szCs w:val="16"/>
                <w:color w:val="auto"/>
              </w:rPr>
              <w:t>Accumulated other comprehensive income (loss)</w:t>
            </w:r>
          </w:p>
        </w:tc>
        <w:tc>
          <w:tcPr>
            <w:tcW w:w="2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w:t>
            </w:r>
          </w:p>
        </w:tc>
        <w:tc>
          <w:tcPr>
            <w:tcW w:w="1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w:t>
            </w:r>
          </w:p>
        </w:tc>
        <w:tc>
          <w:tcPr>
            <w:tcW w:w="0" w:type="dxa"/>
            <w:vAlign w:val="bottom"/>
          </w:tcPr>
          <w:p>
            <w:pPr>
              <w:spacing w:after="0"/>
              <w:rPr>
                <w:sz w:val="1"/>
                <w:szCs w:val="1"/>
                <w:color w:val="auto"/>
              </w:rPr>
            </w:pPr>
          </w:p>
        </w:tc>
      </w:tr>
      <w:tr>
        <w:trPr>
          <w:trHeight w:val="164"/>
        </w:trPr>
        <w:tc>
          <w:tcPr>
            <w:tcW w:w="180" w:type="dxa"/>
            <w:vAlign w:val="bottom"/>
          </w:tcPr>
          <w:p>
            <w:pPr>
              <w:spacing w:after="0"/>
              <w:rPr>
                <w:sz w:val="14"/>
                <w:szCs w:val="14"/>
                <w:color w:val="auto"/>
              </w:rPr>
            </w:pPr>
          </w:p>
        </w:tc>
        <w:tc>
          <w:tcPr>
            <w:tcW w:w="8400" w:type="dxa"/>
            <w:vAlign w:val="bottom"/>
          </w:tcPr>
          <w:p>
            <w:pPr>
              <w:ind w:left="180"/>
              <w:spacing w:after="0" w:line="164" w:lineRule="exact"/>
              <w:rPr>
                <w:sz w:val="20"/>
                <w:szCs w:val="20"/>
                <w:color w:val="auto"/>
              </w:rPr>
            </w:pPr>
            <w:r>
              <w:rPr>
                <w:rFonts w:ascii="Arial" w:cs="Arial" w:eastAsia="Arial" w:hAnsi="Arial"/>
                <w:sz w:val="16"/>
                <w:szCs w:val="16"/>
                <w:color w:val="auto"/>
              </w:rPr>
              <w:t>Total SDG&amp;E shareholder's equity</w:t>
            </w:r>
          </w:p>
        </w:tc>
        <w:tc>
          <w:tcPr>
            <w:tcW w:w="200" w:type="dxa"/>
            <w:vAlign w:val="bottom"/>
          </w:tcPr>
          <w:p>
            <w:pPr>
              <w:spacing w:after="0"/>
              <w:rPr>
                <w:sz w:val="14"/>
                <w:szCs w:val="14"/>
                <w:color w:val="auto"/>
              </w:rPr>
            </w:pPr>
          </w:p>
        </w:tc>
        <w:tc>
          <w:tcPr>
            <w:tcW w:w="1200" w:type="dxa"/>
            <w:vAlign w:val="bottom"/>
          </w:tcPr>
          <w:p>
            <w:pPr>
              <w:jc w:val="right"/>
              <w:spacing w:after="0" w:line="164" w:lineRule="exact"/>
              <w:rPr>
                <w:sz w:val="20"/>
                <w:szCs w:val="20"/>
                <w:color w:val="auto"/>
              </w:rPr>
            </w:pPr>
            <w:r>
              <w:rPr>
                <w:rFonts w:ascii="Arial" w:cs="Arial" w:eastAsia="Arial" w:hAnsi="Arial"/>
                <w:sz w:val="16"/>
                <w:szCs w:val="16"/>
                <w:color w:val="auto"/>
              </w:rPr>
              <w:t>3,468</w:t>
            </w:r>
          </w:p>
        </w:tc>
        <w:tc>
          <w:tcPr>
            <w:tcW w:w="180" w:type="dxa"/>
            <w:vAlign w:val="bottom"/>
          </w:tcPr>
          <w:p>
            <w:pPr>
              <w:spacing w:after="0"/>
              <w:rPr>
                <w:sz w:val="14"/>
                <w:szCs w:val="14"/>
                <w:color w:val="auto"/>
              </w:rPr>
            </w:pPr>
          </w:p>
        </w:tc>
        <w:tc>
          <w:tcPr>
            <w:tcW w:w="1260" w:type="dxa"/>
            <w:vAlign w:val="bottom"/>
          </w:tcPr>
          <w:p>
            <w:pPr>
              <w:jc w:val="right"/>
              <w:spacing w:after="0" w:line="164" w:lineRule="exact"/>
              <w:rPr>
                <w:sz w:val="20"/>
                <w:szCs w:val="20"/>
                <w:color w:val="auto"/>
              </w:rPr>
            </w:pPr>
            <w:r>
              <w:rPr>
                <w:rFonts w:ascii="Arial" w:cs="Arial" w:eastAsia="Arial" w:hAnsi="Arial"/>
                <w:sz w:val="16"/>
                <w:szCs w:val="16"/>
                <w:color w:val="auto"/>
              </w:rPr>
              <w:t>3,108</w:t>
            </w:r>
          </w:p>
        </w:tc>
        <w:tc>
          <w:tcPr>
            <w:tcW w:w="0" w:type="dxa"/>
            <w:vAlign w:val="bottom"/>
          </w:tcPr>
          <w:p>
            <w:pPr>
              <w:spacing w:after="0"/>
              <w:rPr>
                <w:sz w:val="1"/>
                <w:szCs w:val="1"/>
                <w:color w:val="auto"/>
              </w:rPr>
            </w:pPr>
          </w:p>
        </w:tc>
      </w:tr>
      <w:tr>
        <w:trPr>
          <w:trHeight w:val="194"/>
        </w:trPr>
        <w:tc>
          <w:tcPr>
            <w:tcW w:w="180" w:type="dxa"/>
            <w:vAlign w:val="bottom"/>
          </w:tcPr>
          <w:p>
            <w:pPr>
              <w:spacing w:after="0"/>
              <w:rPr>
                <w:sz w:val="16"/>
                <w:szCs w:val="16"/>
                <w:color w:val="auto"/>
              </w:rPr>
            </w:pPr>
          </w:p>
        </w:tc>
        <w:tc>
          <w:tcPr>
            <w:tcW w:w="8400" w:type="dxa"/>
            <w:vAlign w:val="bottom"/>
          </w:tcPr>
          <w:p>
            <w:pPr>
              <w:spacing w:after="0"/>
              <w:rPr>
                <w:sz w:val="20"/>
                <w:szCs w:val="20"/>
                <w:color w:val="auto"/>
              </w:rPr>
            </w:pPr>
            <w:r>
              <w:rPr>
                <w:rFonts w:ascii="Arial" w:cs="Arial" w:eastAsia="Arial" w:hAnsi="Arial"/>
                <w:sz w:val="16"/>
                <w:szCs w:val="16"/>
                <w:color w:val="auto"/>
              </w:rPr>
              <w:t>Noncontrolling interest</w:t>
            </w:r>
          </w:p>
        </w:tc>
        <w:tc>
          <w:tcPr>
            <w:tcW w:w="2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89</w:t>
            </w:r>
          </w:p>
        </w:tc>
        <w:tc>
          <w:tcPr>
            <w:tcW w:w="1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113</w:t>
            </w:r>
          </w:p>
        </w:tc>
        <w:tc>
          <w:tcPr>
            <w:tcW w:w="0" w:type="dxa"/>
            <w:vAlign w:val="bottom"/>
          </w:tcPr>
          <w:p>
            <w:pPr>
              <w:spacing w:after="0"/>
              <w:rPr>
                <w:sz w:val="1"/>
                <w:szCs w:val="1"/>
                <w:color w:val="auto"/>
              </w:rPr>
            </w:pPr>
          </w:p>
        </w:tc>
      </w:tr>
      <w:tr>
        <w:trPr>
          <w:trHeight w:val="183"/>
        </w:trPr>
        <w:tc>
          <w:tcPr>
            <w:tcW w:w="180" w:type="dxa"/>
            <w:vAlign w:val="bottom"/>
          </w:tcPr>
          <w:p>
            <w:pPr>
              <w:spacing w:after="0"/>
              <w:rPr>
                <w:sz w:val="15"/>
                <w:szCs w:val="15"/>
                <w:color w:val="auto"/>
              </w:rPr>
            </w:pPr>
          </w:p>
        </w:tc>
        <w:tc>
          <w:tcPr>
            <w:tcW w:w="8400" w:type="dxa"/>
            <w:vAlign w:val="bottom"/>
          </w:tcPr>
          <w:p>
            <w:pPr>
              <w:ind w:left="180"/>
              <w:spacing w:after="0" w:line="176" w:lineRule="exact"/>
              <w:rPr>
                <w:sz w:val="20"/>
                <w:szCs w:val="20"/>
                <w:color w:val="auto"/>
              </w:rPr>
            </w:pPr>
            <w:r>
              <w:rPr>
                <w:rFonts w:ascii="Arial" w:cs="Arial" w:eastAsia="Arial" w:hAnsi="Arial"/>
                <w:sz w:val="16"/>
                <w:szCs w:val="16"/>
                <w:color w:val="auto"/>
              </w:rPr>
              <w:t>Total equity</w:t>
            </w:r>
          </w:p>
        </w:tc>
        <w:tc>
          <w:tcPr>
            <w:tcW w:w="20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6"/>
                <w:szCs w:val="16"/>
                <w:color w:val="auto"/>
              </w:rPr>
              <w:t>3,557</w:t>
            </w:r>
          </w:p>
        </w:tc>
        <w:tc>
          <w:tcPr>
            <w:tcW w:w="18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6"/>
                <w:szCs w:val="16"/>
                <w:color w:val="auto"/>
              </w:rPr>
              <w:t>3,221</w:t>
            </w:r>
          </w:p>
        </w:tc>
        <w:tc>
          <w:tcPr>
            <w:tcW w:w="0" w:type="dxa"/>
            <w:vAlign w:val="bottom"/>
          </w:tcPr>
          <w:p>
            <w:pPr>
              <w:spacing w:after="0"/>
              <w:rPr>
                <w:sz w:val="1"/>
                <w:szCs w:val="1"/>
                <w:color w:val="auto"/>
              </w:rPr>
            </w:pPr>
          </w:p>
        </w:tc>
      </w:tr>
      <w:tr>
        <w:trPr>
          <w:trHeight w:val="183"/>
        </w:trPr>
        <w:tc>
          <w:tcPr>
            <w:tcW w:w="8580" w:type="dxa"/>
            <w:vAlign w:val="bottom"/>
            <w:tcBorders>
              <w:bottom w:val="single" w:sz="8" w:color="auto"/>
            </w:tcBorders>
            <w:gridSpan w:val="2"/>
          </w:tcPr>
          <w:p>
            <w:pPr>
              <w:spacing w:after="0" w:line="176" w:lineRule="exact"/>
              <w:rPr>
                <w:sz w:val="20"/>
                <w:szCs w:val="20"/>
                <w:color w:val="auto"/>
              </w:rPr>
            </w:pPr>
            <w:r>
              <w:rPr>
                <w:rFonts w:ascii="Arial" w:cs="Arial" w:eastAsia="Arial" w:hAnsi="Arial"/>
                <w:sz w:val="16"/>
                <w:szCs w:val="16"/>
                <w:color w:val="auto"/>
              </w:rPr>
              <w:t>Total liabilities and equity</w:t>
            </w:r>
          </w:p>
        </w:tc>
        <w:tc>
          <w:tcPr>
            <w:tcW w:w="200" w:type="dxa"/>
            <w:vAlign w:val="bottom"/>
            <w:tcBorders>
              <w:bottom w:val="single" w:sz="8" w:color="auto"/>
            </w:tcBorders>
          </w:tcPr>
          <w:p>
            <w:pPr>
              <w:jc w:val="right"/>
              <w:ind w:right="44"/>
              <w:spacing w:after="0"/>
              <w:rPr>
                <w:sz w:val="20"/>
                <w:szCs w:val="20"/>
                <w:color w:val="auto"/>
              </w:rPr>
            </w:pPr>
            <w:r>
              <w:rPr>
                <w:rFonts w:ascii="Arial" w:cs="Arial" w:eastAsia="Arial" w:hAnsi="Arial"/>
                <w:sz w:val="15"/>
                <w:szCs w:val="15"/>
                <w:color w:val="auto"/>
                <w:w w:val="71"/>
              </w:rPr>
              <w:t>$</w:t>
            </w:r>
          </w:p>
        </w:tc>
        <w:tc>
          <w:tcPr>
            <w:tcW w:w="120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6"/>
                <w:szCs w:val="16"/>
                <w:color w:val="auto"/>
              </w:rPr>
              <w:t>12,366</w:t>
            </w:r>
          </w:p>
        </w:tc>
        <w:tc>
          <w:tcPr>
            <w:tcW w:w="18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6"/>
                <w:szCs w:val="16"/>
                <w:color w:val="auto"/>
              </w:rPr>
              <w:t>12,077</w:t>
            </w:r>
          </w:p>
        </w:tc>
        <w:tc>
          <w:tcPr>
            <w:tcW w:w="0" w:type="dxa"/>
            <w:vAlign w:val="bottom"/>
          </w:tcPr>
          <w:p>
            <w:pPr>
              <w:spacing w:after="0"/>
              <w:rPr>
                <w:sz w:val="1"/>
                <w:szCs w:val="1"/>
                <w:color w:val="auto"/>
              </w:rPr>
            </w:pPr>
          </w:p>
        </w:tc>
      </w:tr>
      <w:tr>
        <w:trPr>
          <w:trHeight w:val="191"/>
        </w:trPr>
        <w:tc>
          <w:tcPr>
            <w:tcW w:w="180" w:type="dxa"/>
            <w:vAlign w:val="bottom"/>
          </w:tcPr>
          <w:p>
            <w:pPr>
              <w:spacing w:after="0"/>
              <w:rPr>
                <w:sz w:val="20"/>
                <w:szCs w:val="20"/>
                <w:color w:val="auto"/>
              </w:rPr>
            </w:pPr>
            <w:r>
              <w:rPr>
                <w:rFonts w:ascii="Arial" w:cs="Arial" w:eastAsia="Arial" w:hAnsi="Arial"/>
                <w:sz w:val="14"/>
                <w:szCs w:val="14"/>
                <w:i w:val="1"/>
                <w:iCs w:val="1"/>
                <w:color w:val="auto"/>
                <w:w w:val="93"/>
              </w:rPr>
              <w:t>(1)</w:t>
            </w:r>
          </w:p>
        </w:tc>
        <w:tc>
          <w:tcPr>
            <w:tcW w:w="8400" w:type="dxa"/>
            <w:vAlign w:val="bottom"/>
          </w:tcPr>
          <w:p>
            <w:pPr>
              <w:ind w:left="320"/>
              <w:spacing w:after="0"/>
              <w:rPr>
                <w:sz w:val="20"/>
                <w:szCs w:val="20"/>
                <w:color w:val="auto"/>
              </w:rPr>
            </w:pPr>
            <w:r>
              <w:rPr>
                <w:rFonts w:ascii="Arial" w:cs="Arial" w:eastAsia="Arial" w:hAnsi="Arial"/>
                <w:sz w:val="14"/>
                <w:szCs w:val="14"/>
                <w:i w:val="1"/>
                <w:iCs w:val="1"/>
                <w:color w:val="auto"/>
              </w:rPr>
              <w:t>Derived from audited financial statements.</w:t>
            </w:r>
          </w:p>
        </w:tc>
        <w:tc>
          <w:tcPr>
            <w:tcW w:w="2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8580" w:type="dxa"/>
            <w:vAlign w:val="bottom"/>
            <w:gridSpan w:val="2"/>
          </w:tcPr>
          <w:p>
            <w:pPr>
              <w:spacing w:after="0"/>
              <w:rPr>
                <w:sz w:val="20"/>
                <w:szCs w:val="20"/>
                <w:color w:val="auto"/>
              </w:rPr>
            </w:pPr>
            <w:r>
              <w:rPr>
                <w:rFonts w:ascii="Arial" w:cs="Arial" w:eastAsia="Arial" w:hAnsi="Arial"/>
                <w:sz w:val="14"/>
                <w:szCs w:val="14"/>
                <w:i w:val="1"/>
                <w:iCs w:val="1"/>
                <w:color w:val="auto"/>
              </w:rPr>
              <w:t>See Notes to Condensed Consolidated Financial Statements.</w:t>
            </w:r>
          </w:p>
        </w:tc>
        <w:tc>
          <w:tcPr>
            <w:tcW w:w="2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513" w:right="239" w:bottom="1440" w:gutter="0" w:footer="0" w:header="0"/>
        </w:sectPr>
      </w:pPr>
    </w:p>
    <w:bookmarkStart w:id="14" w:name="page15"/>
    <w:bookmarkEnd w:id="14"/>
    <w:p>
      <w:pPr>
        <w:spacing w:after="0"/>
        <w:rPr>
          <w:sz w:val="20"/>
          <w:szCs w:val="20"/>
          <w:color w:val="auto"/>
        </w:rPr>
      </w:pPr>
      <w:r>
        <w:rPr>
          <w:rFonts w:ascii="Arial" w:cs="Arial" w:eastAsia="Arial" w:hAnsi="Arial"/>
          <w:sz w:val="16"/>
          <w:szCs w:val="16"/>
          <w:b w:val="1"/>
          <w:bCs w:val="1"/>
          <w:color w:val="auto"/>
        </w:rPr>
        <w:t>SAN DIEGO GAS &amp; ELECTRIC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-104775</wp:posOffset>
            </wp:positionV>
            <wp:extent cx="7246620" cy="3346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334645"/>
                    </a:xfrm>
                    <a:prstGeom prst="rect">
                      <a:avLst/>
                    </a:prstGeom>
                    <a:noFill/>
                  </pic:spPr>
                </pic:pic>
              </a:graphicData>
            </a:graphic>
          </wp:anchor>
        </w:drawing>
      </w:r>
    </w:p>
    <w:p>
      <w:pPr>
        <w:spacing w:after="0"/>
        <w:rPr>
          <w:sz w:val="20"/>
          <w:szCs w:val="20"/>
          <w:color w:val="auto"/>
        </w:rPr>
      </w:pPr>
      <w:r>
        <w:rPr>
          <w:rFonts w:ascii="Arial" w:cs="Arial" w:eastAsia="Arial" w:hAnsi="Arial"/>
          <w:sz w:val="16"/>
          <w:szCs w:val="16"/>
          <w:b w:val="1"/>
          <w:bCs w:val="1"/>
          <w:color w:val="auto"/>
        </w:rPr>
        <w:t>CONDENSED CONSOLIDATED STATEMENTS OF CASH FLOWS</w:t>
      </w:r>
    </w:p>
    <w:p>
      <w:pPr>
        <w:spacing w:after="0" w:line="8"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(Dollars in millions)</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8540" w:type="dxa"/>
            <w:vAlign w:val="bottom"/>
          </w:tcPr>
          <w:p>
            <w:pPr>
              <w:spacing w:after="0"/>
              <w:rPr>
                <w:sz w:val="14"/>
                <w:szCs w:val="14"/>
                <w:color w:val="auto"/>
              </w:rPr>
            </w:pPr>
          </w:p>
        </w:tc>
        <w:tc>
          <w:tcPr>
            <w:tcW w:w="2420" w:type="dxa"/>
            <w:vAlign w:val="bottom"/>
            <w:tcBorders>
              <w:bottom w:val="single" w:sz="8" w:color="auto"/>
            </w:tcBorders>
            <w:gridSpan w:val="3"/>
          </w:tcPr>
          <w:p>
            <w:pPr>
              <w:ind w:left="560"/>
              <w:spacing w:after="0"/>
              <w:rPr>
                <w:sz w:val="20"/>
                <w:szCs w:val="20"/>
                <w:color w:val="auto"/>
              </w:rPr>
            </w:pPr>
            <w:r>
              <w:rPr>
                <w:rFonts w:ascii="Arial" w:cs="Arial" w:eastAsia="Arial" w:hAnsi="Arial"/>
                <w:sz w:val="14"/>
                <w:szCs w:val="14"/>
                <w:color w:val="auto"/>
              </w:rPr>
              <w:t>Six months ended June 30,</w:t>
            </w:r>
          </w:p>
        </w:tc>
        <w:tc>
          <w:tcPr>
            <w:tcW w:w="4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854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ind w:left="580"/>
              <w:spacing w:after="0"/>
              <w:rPr>
                <w:sz w:val="20"/>
                <w:szCs w:val="20"/>
                <w:color w:val="auto"/>
              </w:rPr>
            </w:pPr>
            <w:r>
              <w:rPr>
                <w:rFonts w:ascii="Arial" w:cs="Arial" w:eastAsia="Arial" w:hAnsi="Arial"/>
                <w:sz w:val="14"/>
                <w:szCs w:val="14"/>
                <w:color w:val="auto"/>
              </w:rPr>
              <w:t>2011</w:t>
            </w:r>
          </w:p>
        </w:tc>
        <w:tc>
          <w:tcPr>
            <w:tcW w:w="52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2010</w:t>
            </w:r>
          </w:p>
        </w:tc>
        <w:tc>
          <w:tcPr>
            <w:tcW w:w="4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8540" w:type="dxa"/>
            <w:vAlign w:val="bottom"/>
            <w:vMerge w:val="restart"/>
          </w:tcPr>
          <w:p>
            <w:pPr>
              <w:spacing w:after="0"/>
              <w:rPr>
                <w:sz w:val="20"/>
                <w:szCs w:val="20"/>
                <w:color w:val="auto"/>
              </w:rPr>
            </w:pPr>
            <w:r>
              <w:rPr>
                <w:rFonts w:ascii="Arial" w:cs="Arial" w:eastAsia="Arial" w:hAnsi="Arial"/>
                <w:sz w:val="16"/>
                <w:szCs w:val="16"/>
                <w:color w:val="auto"/>
              </w:rPr>
              <w:t>CASH FLOWS FROM OPERATING ACTIVITIES</w:t>
            </w:r>
          </w:p>
        </w:tc>
        <w:tc>
          <w:tcPr>
            <w:tcW w:w="980" w:type="dxa"/>
            <w:vAlign w:val="bottom"/>
          </w:tcPr>
          <w:p>
            <w:pPr>
              <w:spacing w:after="0"/>
              <w:rPr>
                <w:sz w:val="16"/>
                <w:szCs w:val="16"/>
                <w:color w:val="auto"/>
              </w:rPr>
            </w:pPr>
          </w:p>
        </w:tc>
        <w:tc>
          <w:tcPr>
            <w:tcW w:w="1440" w:type="dxa"/>
            <w:vAlign w:val="bottom"/>
            <w:gridSpan w:val="2"/>
          </w:tcPr>
          <w:p>
            <w:pPr>
              <w:jc w:val="right"/>
              <w:ind w:right="541"/>
              <w:spacing w:after="0"/>
              <w:rPr>
                <w:sz w:val="20"/>
                <w:szCs w:val="20"/>
                <w:color w:val="auto"/>
              </w:rPr>
            </w:pPr>
            <w:r>
              <w:rPr>
                <w:rFonts w:ascii="Arial" w:cs="Arial" w:eastAsia="Arial" w:hAnsi="Arial"/>
                <w:sz w:val="14"/>
                <w:szCs w:val="14"/>
                <w:color w:val="auto"/>
              </w:rPr>
              <w:t>(unaudited)</w:t>
            </w:r>
          </w:p>
        </w:tc>
        <w:tc>
          <w:tcPr>
            <w:tcW w:w="4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8540" w:type="dxa"/>
            <w:vAlign w:val="bottom"/>
            <w:vMerge w:val="continue"/>
          </w:tcPr>
          <w:p>
            <w:pPr>
              <w:spacing w:after="0"/>
              <w:rPr>
                <w:sz w:val="12"/>
                <w:szCs w:val="12"/>
                <w:color w:val="auto"/>
              </w:rPr>
            </w:pPr>
          </w:p>
        </w:tc>
        <w:tc>
          <w:tcPr>
            <w:tcW w:w="9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5"/>
        </w:trPr>
        <w:tc>
          <w:tcPr>
            <w:tcW w:w="8540" w:type="dxa"/>
            <w:vAlign w:val="bottom"/>
          </w:tcPr>
          <w:p>
            <w:pPr>
              <w:ind w:left="180"/>
              <w:spacing w:after="0"/>
              <w:rPr>
                <w:sz w:val="20"/>
                <w:szCs w:val="20"/>
                <w:color w:val="auto"/>
              </w:rPr>
            </w:pPr>
            <w:r>
              <w:rPr>
                <w:rFonts w:ascii="Arial" w:cs="Arial" w:eastAsia="Arial" w:hAnsi="Arial"/>
                <w:sz w:val="16"/>
                <w:szCs w:val="16"/>
                <w:color w:val="auto"/>
              </w:rPr>
              <w:t>Net income</w:t>
            </w:r>
          </w:p>
        </w:tc>
        <w:tc>
          <w:tcPr>
            <w:tcW w:w="980" w:type="dxa"/>
            <w:vAlign w:val="bottom"/>
          </w:tcPr>
          <w:p>
            <w:pPr>
              <w:jc w:val="right"/>
              <w:ind w:right="802"/>
              <w:spacing w:after="0"/>
              <w:rPr>
                <w:sz w:val="20"/>
                <w:szCs w:val="20"/>
                <w:color w:val="auto"/>
              </w:rPr>
            </w:pPr>
            <w:r>
              <w:rPr>
                <w:rFonts w:ascii="Arial" w:cs="Arial" w:eastAsia="Arial" w:hAnsi="Arial"/>
                <w:sz w:val="16"/>
                <w:szCs w:val="16"/>
                <w:color w:val="auto"/>
                <w:w w:val="89"/>
              </w:rPr>
              <w:t>$</w:t>
            </w:r>
          </w:p>
        </w:tc>
        <w:tc>
          <w:tcPr>
            <w:tcW w:w="520" w:type="dxa"/>
            <w:vAlign w:val="bottom"/>
          </w:tcPr>
          <w:p>
            <w:pPr>
              <w:jc w:val="right"/>
              <w:spacing w:after="0"/>
              <w:rPr>
                <w:sz w:val="20"/>
                <w:szCs w:val="20"/>
                <w:color w:val="auto"/>
              </w:rPr>
            </w:pPr>
            <w:r>
              <w:rPr>
                <w:rFonts w:ascii="Arial" w:cs="Arial" w:eastAsia="Arial" w:hAnsi="Arial"/>
                <w:sz w:val="16"/>
                <w:szCs w:val="16"/>
                <w:color w:val="auto"/>
              </w:rPr>
              <w:t>147</w:t>
            </w:r>
          </w:p>
        </w:tc>
        <w:tc>
          <w:tcPr>
            <w:tcW w:w="920" w:type="dxa"/>
            <w:vAlign w:val="bottom"/>
          </w:tcPr>
          <w:p>
            <w:pPr>
              <w:jc w:val="right"/>
              <w:ind w:right="741"/>
              <w:spacing w:after="0"/>
              <w:rPr>
                <w:sz w:val="20"/>
                <w:szCs w:val="20"/>
                <w:color w:val="auto"/>
              </w:rPr>
            </w:pPr>
            <w:r>
              <w:rPr>
                <w:rFonts w:ascii="Arial" w:cs="Arial" w:eastAsia="Arial" w:hAnsi="Arial"/>
                <w:sz w:val="16"/>
                <w:szCs w:val="16"/>
                <w:color w:val="auto"/>
                <w:w w:val="89"/>
              </w:rPr>
              <w:t>$</w:t>
            </w:r>
          </w:p>
        </w:tc>
        <w:tc>
          <w:tcPr>
            <w:tcW w:w="460" w:type="dxa"/>
            <w:vAlign w:val="bottom"/>
          </w:tcPr>
          <w:p>
            <w:pPr>
              <w:jc w:val="right"/>
              <w:spacing w:after="0"/>
              <w:rPr>
                <w:sz w:val="20"/>
                <w:szCs w:val="20"/>
                <w:color w:val="auto"/>
              </w:rPr>
            </w:pPr>
            <w:r>
              <w:rPr>
                <w:rFonts w:ascii="Arial" w:cs="Arial" w:eastAsia="Arial" w:hAnsi="Arial"/>
                <w:sz w:val="16"/>
                <w:szCs w:val="16"/>
                <w:color w:val="auto"/>
              </w:rPr>
              <w:t>131</w:t>
            </w:r>
          </w:p>
        </w:tc>
        <w:tc>
          <w:tcPr>
            <w:tcW w:w="0" w:type="dxa"/>
            <w:vAlign w:val="bottom"/>
          </w:tcPr>
          <w:p>
            <w:pPr>
              <w:spacing w:after="0"/>
              <w:rPr>
                <w:sz w:val="1"/>
                <w:szCs w:val="1"/>
                <w:color w:val="auto"/>
              </w:rPr>
            </w:pPr>
          </w:p>
        </w:tc>
      </w:tr>
      <w:tr>
        <w:trPr>
          <w:trHeight w:val="183"/>
        </w:trPr>
        <w:tc>
          <w:tcPr>
            <w:tcW w:w="8540" w:type="dxa"/>
            <w:vAlign w:val="bottom"/>
          </w:tcPr>
          <w:p>
            <w:pPr>
              <w:ind w:left="180"/>
              <w:spacing w:after="0"/>
              <w:rPr>
                <w:sz w:val="20"/>
                <w:szCs w:val="20"/>
                <w:color w:val="auto"/>
              </w:rPr>
            </w:pPr>
            <w:r>
              <w:rPr>
                <w:rFonts w:ascii="Arial" w:cs="Arial" w:eastAsia="Arial" w:hAnsi="Arial"/>
                <w:sz w:val="16"/>
                <w:szCs w:val="16"/>
                <w:color w:val="auto"/>
              </w:rPr>
              <w:t>Adjustments to reconcile net income to net cash provided by</w:t>
            </w:r>
          </w:p>
        </w:tc>
        <w:tc>
          <w:tcPr>
            <w:tcW w:w="9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8540" w:type="dxa"/>
            <w:vAlign w:val="bottom"/>
          </w:tcPr>
          <w:p>
            <w:pPr>
              <w:ind w:left="360"/>
              <w:spacing w:after="0" w:line="176" w:lineRule="exact"/>
              <w:rPr>
                <w:sz w:val="20"/>
                <w:szCs w:val="20"/>
                <w:color w:val="auto"/>
              </w:rPr>
            </w:pPr>
            <w:r>
              <w:rPr>
                <w:rFonts w:ascii="Arial" w:cs="Arial" w:eastAsia="Arial" w:hAnsi="Arial"/>
                <w:sz w:val="16"/>
                <w:szCs w:val="16"/>
                <w:color w:val="auto"/>
              </w:rPr>
              <w:t>operating activities:</w:t>
            </w:r>
          </w:p>
        </w:tc>
        <w:tc>
          <w:tcPr>
            <w:tcW w:w="9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8540" w:type="dxa"/>
            <w:vAlign w:val="bottom"/>
          </w:tcPr>
          <w:p>
            <w:pPr>
              <w:ind w:left="540"/>
              <w:spacing w:after="0" w:line="176" w:lineRule="exact"/>
              <w:rPr>
                <w:sz w:val="20"/>
                <w:szCs w:val="20"/>
                <w:color w:val="auto"/>
              </w:rPr>
            </w:pPr>
            <w:r>
              <w:rPr>
                <w:rFonts w:ascii="Arial" w:cs="Arial" w:eastAsia="Arial" w:hAnsi="Arial"/>
                <w:sz w:val="16"/>
                <w:szCs w:val="16"/>
                <w:color w:val="auto"/>
              </w:rPr>
              <w:t>Depreciation and amortization</w:t>
            </w:r>
          </w:p>
        </w:tc>
        <w:tc>
          <w:tcPr>
            <w:tcW w:w="980" w:type="dxa"/>
            <w:vAlign w:val="bottom"/>
          </w:tcPr>
          <w:p>
            <w:pPr>
              <w:spacing w:after="0"/>
              <w:rPr>
                <w:sz w:val="15"/>
                <w:szCs w:val="15"/>
                <w:color w:val="auto"/>
              </w:rPr>
            </w:pPr>
          </w:p>
        </w:tc>
        <w:tc>
          <w:tcPr>
            <w:tcW w:w="520" w:type="dxa"/>
            <w:vAlign w:val="bottom"/>
          </w:tcPr>
          <w:p>
            <w:pPr>
              <w:jc w:val="right"/>
              <w:spacing w:after="0" w:line="176" w:lineRule="exact"/>
              <w:rPr>
                <w:sz w:val="20"/>
                <w:szCs w:val="20"/>
                <w:color w:val="auto"/>
              </w:rPr>
            </w:pPr>
            <w:r>
              <w:rPr>
                <w:rFonts w:ascii="Arial" w:cs="Arial" w:eastAsia="Arial" w:hAnsi="Arial"/>
                <w:sz w:val="16"/>
                <w:szCs w:val="16"/>
                <w:color w:val="auto"/>
              </w:rPr>
              <w:t>208</w:t>
            </w:r>
          </w:p>
        </w:tc>
        <w:tc>
          <w:tcPr>
            <w:tcW w:w="920" w:type="dxa"/>
            <w:vAlign w:val="bottom"/>
          </w:tcPr>
          <w:p>
            <w:pPr>
              <w:spacing w:after="0"/>
              <w:rPr>
                <w:sz w:val="15"/>
                <w:szCs w:val="15"/>
                <w:color w:val="auto"/>
              </w:rPr>
            </w:pPr>
          </w:p>
        </w:tc>
        <w:tc>
          <w:tcPr>
            <w:tcW w:w="460" w:type="dxa"/>
            <w:vAlign w:val="bottom"/>
          </w:tcPr>
          <w:p>
            <w:pPr>
              <w:jc w:val="right"/>
              <w:spacing w:after="0" w:line="176" w:lineRule="exact"/>
              <w:rPr>
                <w:sz w:val="20"/>
                <w:szCs w:val="20"/>
                <w:color w:val="auto"/>
              </w:rPr>
            </w:pPr>
            <w:r>
              <w:rPr>
                <w:rFonts w:ascii="Arial" w:cs="Arial" w:eastAsia="Arial" w:hAnsi="Arial"/>
                <w:sz w:val="16"/>
                <w:szCs w:val="16"/>
                <w:color w:val="auto"/>
              </w:rPr>
              <w:t>187</w:t>
            </w:r>
          </w:p>
        </w:tc>
        <w:tc>
          <w:tcPr>
            <w:tcW w:w="0" w:type="dxa"/>
            <w:vAlign w:val="bottom"/>
          </w:tcPr>
          <w:p>
            <w:pPr>
              <w:spacing w:after="0"/>
              <w:rPr>
                <w:sz w:val="1"/>
                <w:szCs w:val="1"/>
                <w:color w:val="auto"/>
              </w:rPr>
            </w:pPr>
          </w:p>
        </w:tc>
      </w:tr>
      <w:tr>
        <w:trPr>
          <w:trHeight w:val="176"/>
        </w:trPr>
        <w:tc>
          <w:tcPr>
            <w:tcW w:w="8540" w:type="dxa"/>
            <w:vAlign w:val="bottom"/>
          </w:tcPr>
          <w:p>
            <w:pPr>
              <w:ind w:left="540"/>
              <w:spacing w:after="0" w:line="176" w:lineRule="exact"/>
              <w:rPr>
                <w:sz w:val="20"/>
                <w:szCs w:val="20"/>
                <w:color w:val="auto"/>
              </w:rPr>
            </w:pPr>
            <w:r>
              <w:rPr>
                <w:rFonts w:ascii="Arial" w:cs="Arial" w:eastAsia="Arial" w:hAnsi="Arial"/>
                <w:sz w:val="16"/>
                <w:szCs w:val="16"/>
                <w:color w:val="auto"/>
              </w:rPr>
              <w:t>Deferred income taxes and investment tax credits</w:t>
            </w:r>
          </w:p>
        </w:tc>
        <w:tc>
          <w:tcPr>
            <w:tcW w:w="980" w:type="dxa"/>
            <w:vAlign w:val="bottom"/>
          </w:tcPr>
          <w:p>
            <w:pPr>
              <w:spacing w:after="0"/>
              <w:rPr>
                <w:sz w:val="15"/>
                <w:szCs w:val="15"/>
                <w:color w:val="auto"/>
              </w:rPr>
            </w:pPr>
          </w:p>
        </w:tc>
        <w:tc>
          <w:tcPr>
            <w:tcW w:w="520" w:type="dxa"/>
            <w:vAlign w:val="bottom"/>
          </w:tcPr>
          <w:p>
            <w:pPr>
              <w:jc w:val="right"/>
              <w:spacing w:after="0" w:line="176" w:lineRule="exact"/>
              <w:rPr>
                <w:sz w:val="20"/>
                <w:szCs w:val="20"/>
                <w:color w:val="auto"/>
              </w:rPr>
            </w:pPr>
            <w:r>
              <w:rPr>
                <w:rFonts w:ascii="Arial" w:cs="Arial" w:eastAsia="Arial" w:hAnsi="Arial"/>
                <w:sz w:val="16"/>
                <w:szCs w:val="16"/>
                <w:color w:val="auto"/>
              </w:rPr>
              <w:t>167</w:t>
            </w:r>
          </w:p>
        </w:tc>
        <w:tc>
          <w:tcPr>
            <w:tcW w:w="920" w:type="dxa"/>
            <w:vAlign w:val="bottom"/>
          </w:tcPr>
          <w:p>
            <w:pPr>
              <w:spacing w:after="0"/>
              <w:rPr>
                <w:sz w:val="15"/>
                <w:szCs w:val="15"/>
                <w:color w:val="auto"/>
              </w:rPr>
            </w:pPr>
          </w:p>
        </w:tc>
        <w:tc>
          <w:tcPr>
            <w:tcW w:w="460" w:type="dxa"/>
            <w:vAlign w:val="bottom"/>
          </w:tcPr>
          <w:p>
            <w:pPr>
              <w:jc w:val="right"/>
              <w:spacing w:after="0" w:line="176" w:lineRule="exact"/>
              <w:rPr>
                <w:sz w:val="20"/>
                <w:szCs w:val="20"/>
                <w:color w:val="auto"/>
              </w:rPr>
            </w:pPr>
            <w:r>
              <w:rPr>
                <w:rFonts w:ascii="Arial" w:cs="Arial" w:eastAsia="Arial" w:hAnsi="Arial"/>
                <w:sz w:val="16"/>
                <w:szCs w:val="16"/>
                <w:color w:val="auto"/>
              </w:rPr>
              <w:t>23</w:t>
            </w:r>
          </w:p>
        </w:tc>
        <w:tc>
          <w:tcPr>
            <w:tcW w:w="0" w:type="dxa"/>
            <w:vAlign w:val="bottom"/>
          </w:tcPr>
          <w:p>
            <w:pPr>
              <w:spacing w:after="0"/>
              <w:rPr>
                <w:sz w:val="1"/>
                <w:szCs w:val="1"/>
                <w:color w:val="auto"/>
              </w:rPr>
            </w:pPr>
          </w:p>
        </w:tc>
      </w:tr>
      <w:tr>
        <w:trPr>
          <w:trHeight w:val="176"/>
        </w:trPr>
        <w:tc>
          <w:tcPr>
            <w:tcW w:w="8540" w:type="dxa"/>
            <w:vAlign w:val="bottom"/>
          </w:tcPr>
          <w:p>
            <w:pPr>
              <w:ind w:left="540"/>
              <w:spacing w:after="0" w:line="176" w:lineRule="exact"/>
              <w:rPr>
                <w:sz w:val="20"/>
                <w:szCs w:val="20"/>
                <w:color w:val="auto"/>
              </w:rPr>
            </w:pPr>
            <w:r>
              <w:rPr>
                <w:rFonts w:ascii="Arial" w:cs="Arial" w:eastAsia="Arial" w:hAnsi="Arial"/>
                <w:sz w:val="16"/>
                <w:szCs w:val="16"/>
                <w:color w:val="auto"/>
              </w:rPr>
              <w:t>Fixed price contracts and other derivatives</w:t>
            </w:r>
          </w:p>
        </w:tc>
        <w:tc>
          <w:tcPr>
            <w:tcW w:w="980" w:type="dxa"/>
            <w:vAlign w:val="bottom"/>
          </w:tcPr>
          <w:p>
            <w:pPr>
              <w:spacing w:after="0"/>
              <w:rPr>
                <w:sz w:val="15"/>
                <w:szCs w:val="15"/>
                <w:color w:val="auto"/>
              </w:rPr>
            </w:pPr>
          </w:p>
        </w:tc>
        <w:tc>
          <w:tcPr>
            <w:tcW w:w="520" w:type="dxa"/>
            <w:vAlign w:val="bottom"/>
          </w:tcPr>
          <w:p>
            <w:pPr>
              <w:jc w:val="right"/>
              <w:spacing w:after="0" w:line="176" w:lineRule="exact"/>
              <w:rPr>
                <w:sz w:val="20"/>
                <w:szCs w:val="20"/>
                <w:color w:val="auto"/>
              </w:rPr>
            </w:pPr>
            <w:r>
              <w:rPr>
                <w:rFonts w:ascii="Arial" w:cs="Arial" w:eastAsia="Arial" w:hAnsi="Arial"/>
                <w:sz w:val="16"/>
                <w:szCs w:val="16"/>
                <w:color w:val="auto"/>
              </w:rPr>
              <w:t>(6)</w:t>
            </w:r>
          </w:p>
        </w:tc>
        <w:tc>
          <w:tcPr>
            <w:tcW w:w="920" w:type="dxa"/>
            <w:vAlign w:val="bottom"/>
          </w:tcPr>
          <w:p>
            <w:pPr>
              <w:spacing w:after="0"/>
              <w:rPr>
                <w:sz w:val="15"/>
                <w:szCs w:val="15"/>
                <w:color w:val="auto"/>
              </w:rPr>
            </w:pPr>
          </w:p>
        </w:tc>
        <w:tc>
          <w:tcPr>
            <w:tcW w:w="460" w:type="dxa"/>
            <w:vAlign w:val="bottom"/>
          </w:tcPr>
          <w:p>
            <w:pPr>
              <w:jc w:val="right"/>
              <w:spacing w:after="0" w:line="176" w:lineRule="exact"/>
              <w:rPr>
                <w:sz w:val="20"/>
                <w:szCs w:val="20"/>
                <w:color w:val="auto"/>
              </w:rPr>
            </w:pPr>
            <w:r>
              <w:rPr>
                <w:rFonts w:ascii="Arial" w:cs="Arial" w:eastAsia="Arial" w:hAnsi="Arial"/>
                <w:sz w:val="16"/>
                <w:szCs w:val="16"/>
                <w:color w:val="auto"/>
              </w:rPr>
              <w:t>28</w:t>
            </w:r>
          </w:p>
        </w:tc>
        <w:tc>
          <w:tcPr>
            <w:tcW w:w="0" w:type="dxa"/>
            <w:vAlign w:val="bottom"/>
          </w:tcPr>
          <w:p>
            <w:pPr>
              <w:spacing w:after="0"/>
              <w:rPr>
                <w:sz w:val="1"/>
                <w:szCs w:val="1"/>
                <w:color w:val="auto"/>
              </w:rPr>
            </w:pPr>
          </w:p>
        </w:tc>
      </w:tr>
      <w:tr>
        <w:trPr>
          <w:trHeight w:val="176"/>
        </w:trPr>
        <w:tc>
          <w:tcPr>
            <w:tcW w:w="8540" w:type="dxa"/>
            <w:vAlign w:val="bottom"/>
          </w:tcPr>
          <w:p>
            <w:pPr>
              <w:ind w:left="540"/>
              <w:spacing w:after="0" w:line="176" w:lineRule="exact"/>
              <w:rPr>
                <w:sz w:val="20"/>
                <w:szCs w:val="20"/>
                <w:color w:val="auto"/>
              </w:rPr>
            </w:pPr>
            <w:r>
              <w:rPr>
                <w:rFonts w:ascii="Arial" w:cs="Arial" w:eastAsia="Arial" w:hAnsi="Arial"/>
                <w:sz w:val="16"/>
                <w:szCs w:val="16"/>
                <w:color w:val="auto"/>
              </w:rPr>
              <w:t>Other</w:t>
            </w:r>
          </w:p>
        </w:tc>
        <w:tc>
          <w:tcPr>
            <w:tcW w:w="980" w:type="dxa"/>
            <w:vAlign w:val="bottom"/>
          </w:tcPr>
          <w:p>
            <w:pPr>
              <w:spacing w:after="0"/>
              <w:rPr>
                <w:sz w:val="15"/>
                <w:szCs w:val="15"/>
                <w:color w:val="auto"/>
              </w:rPr>
            </w:pPr>
          </w:p>
        </w:tc>
        <w:tc>
          <w:tcPr>
            <w:tcW w:w="520" w:type="dxa"/>
            <w:vAlign w:val="bottom"/>
          </w:tcPr>
          <w:p>
            <w:pPr>
              <w:jc w:val="right"/>
              <w:spacing w:after="0" w:line="176" w:lineRule="exact"/>
              <w:rPr>
                <w:sz w:val="20"/>
                <w:szCs w:val="20"/>
                <w:color w:val="auto"/>
              </w:rPr>
            </w:pPr>
            <w:r>
              <w:rPr>
                <w:rFonts w:ascii="Arial" w:cs="Arial" w:eastAsia="Arial" w:hAnsi="Arial"/>
                <w:sz w:val="16"/>
                <w:szCs w:val="16"/>
                <w:color w:val="auto"/>
              </w:rPr>
              <w:t>(20)</w:t>
            </w:r>
          </w:p>
        </w:tc>
        <w:tc>
          <w:tcPr>
            <w:tcW w:w="920" w:type="dxa"/>
            <w:vAlign w:val="bottom"/>
          </w:tcPr>
          <w:p>
            <w:pPr>
              <w:spacing w:after="0"/>
              <w:rPr>
                <w:sz w:val="15"/>
                <w:szCs w:val="15"/>
                <w:color w:val="auto"/>
              </w:rPr>
            </w:pPr>
          </w:p>
        </w:tc>
        <w:tc>
          <w:tcPr>
            <w:tcW w:w="460" w:type="dxa"/>
            <w:vAlign w:val="bottom"/>
          </w:tcPr>
          <w:p>
            <w:pPr>
              <w:jc w:val="right"/>
              <w:spacing w:after="0" w:line="176" w:lineRule="exact"/>
              <w:rPr>
                <w:sz w:val="20"/>
                <w:szCs w:val="20"/>
                <w:color w:val="auto"/>
              </w:rPr>
            </w:pPr>
            <w:r>
              <w:rPr>
                <w:rFonts w:ascii="Arial" w:cs="Arial" w:eastAsia="Arial" w:hAnsi="Arial"/>
                <w:sz w:val="16"/>
                <w:szCs w:val="16"/>
                <w:color w:val="auto"/>
              </w:rPr>
              <w:t>(14)</w:t>
            </w:r>
          </w:p>
        </w:tc>
        <w:tc>
          <w:tcPr>
            <w:tcW w:w="0" w:type="dxa"/>
            <w:vAlign w:val="bottom"/>
          </w:tcPr>
          <w:p>
            <w:pPr>
              <w:spacing w:after="0"/>
              <w:rPr>
                <w:sz w:val="1"/>
                <w:szCs w:val="1"/>
                <w:color w:val="auto"/>
              </w:rPr>
            </w:pPr>
          </w:p>
        </w:tc>
      </w:tr>
      <w:tr>
        <w:trPr>
          <w:trHeight w:val="176"/>
        </w:trPr>
        <w:tc>
          <w:tcPr>
            <w:tcW w:w="8540" w:type="dxa"/>
            <w:vAlign w:val="bottom"/>
          </w:tcPr>
          <w:p>
            <w:pPr>
              <w:ind w:left="180"/>
              <w:spacing w:after="0" w:line="176" w:lineRule="exact"/>
              <w:rPr>
                <w:sz w:val="20"/>
                <w:szCs w:val="20"/>
                <w:color w:val="auto"/>
              </w:rPr>
            </w:pPr>
            <w:r>
              <w:rPr>
                <w:rFonts w:ascii="Arial" w:cs="Arial" w:eastAsia="Arial" w:hAnsi="Arial"/>
                <w:sz w:val="16"/>
                <w:szCs w:val="16"/>
                <w:color w:val="auto"/>
              </w:rPr>
              <w:t>Net change in other working capital components</w:t>
            </w:r>
          </w:p>
        </w:tc>
        <w:tc>
          <w:tcPr>
            <w:tcW w:w="980" w:type="dxa"/>
            <w:vAlign w:val="bottom"/>
          </w:tcPr>
          <w:p>
            <w:pPr>
              <w:spacing w:after="0"/>
              <w:rPr>
                <w:sz w:val="15"/>
                <w:szCs w:val="15"/>
                <w:color w:val="auto"/>
              </w:rPr>
            </w:pPr>
          </w:p>
        </w:tc>
        <w:tc>
          <w:tcPr>
            <w:tcW w:w="520" w:type="dxa"/>
            <w:vAlign w:val="bottom"/>
          </w:tcPr>
          <w:p>
            <w:pPr>
              <w:jc w:val="right"/>
              <w:spacing w:after="0" w:line="176" w:lineRule="exact"/>
              <w:rPr>
                <w:sz w:val="20"/>
                <w:szCs w:val="20"/>
                <w:color w:val="auto"/>
              </w:rPr>
            </w:pPr>
            <w:r>
              <w:rPr>
                <w:rFonts w:ascii="Arial" w:cs="Arial" w:eastAsia="Arial" w:hAnsi="Arial"/>
                <w:sz w:val="16"/>
                <w:szCs w:val="16"/>
                <w:color w:val="auto"/>
              </w:rPr>
              <w:t>52</w:t>
            </w:r>
          </w:p>
        </w:tc>
        <w:tc>
          <w:tcPr>
            <w:tcW w:w="920" w:type="dxa"/>
            <w:vAlign w:val="bottom"/>
          </w:tcPr>
          <w:p>
            <w:pPr>
              <w:spacing w:after="0"/>
              <w:rPr>
                <w:sz w:val="15"/>
                <w:szCs w:val="15"/>
                <w:color w:val="auto"/>
              </w:rPr>
            </w:pPr>
          </w:p>
        </w:tc>
        <w:tc>
          <w:tcPr>
            <w:tcW w:w="460" w:type="dxa"/>
            <w:vAlign w:val="bottom"/>
          </w:tcPr>
          <w:p>
            <w:pPr>
              <w:jc w:val="right"/>
              <w:spacing w:after="0" w:line="176" w:lineRule="exact"/>
              <w:rPr>
                <w:sz w:val="20"/>
                <w:szCs w:val="20"/>
                <w:color w:val="auto"/>
              </w:rPr>
            </w:pPr>
            <w:r>
              <w:rPr>
                <w:rFonts w:ascii="Arial" w:cs="Arial" w:eastAsia="Arial" w:hAnsi="Arial"/>
                <w:sz w:val="16"/>
                <w:szCs w:val="16"/>
                <w:color w:val="auto"/>
              </w:rPr>
              <w:t>(133)</w:t>
            </w:r>
          </w:p>
        </w:tc>
        <w:tc>
          <w:tcPr>
            <w:tcW w:w="0" w:type="dxa"/>
            <w:vAlign w:val="bottom"/>
          </w:tcPr>
          <w:p>
            <w:pPr>
              <w:spacing w:after="0"/>
              <w:rPr>
                <w:sz w:val="1"/>
                <w:szCs w:val="1"/>
                <w:color w:val="auto"/>
              </w:rPr>
            </w:pPr>
          </w:p>
        </w:tc>
      </w:tr>
      <w:tr>
        <w:trPr>
          <w:trHeight w:val="176"/>
        </w:trPr>
        <w:tc>
          <w:tcPr>
            <w:tcW w:w="8540" w:type="dxa"/>
            <w:vAlign w:val="bottom"/>
          </w:tcPr>
          <w:p>
            <w:pPr>
              <w:ind w:left="180"/>
              <w:spacing w:after="0" w:line="176" w:lineRule="exact"/>
              <w:rPr>
                <w:sz w:val="20"/>
                <w:szCs w:val="20"/>
                <w:color w:val="auto"/>
              </w:rPr>
            </w:pPr>
            <w:r>
              <w:rPr>
                <w:rFonts w:ascii="Arial" w:cs="Arial" w:eastAsia="Arial" w:hAnsi="Arial"/>
                <w:sz w:val="16"/>
                <w:szCs w:val="16"/>
                <w:color w:val="auto"/>
              </w:rPr>
              <w:t>Changes in other assets</w:t>
            </w:r>
          </w:p>
        </w:tc>
        <w:tc>
          <w:tcPr>
            <w:tcW w:w="980" w:type="dxa"/>
            <w:vAlign w:val="bottom"/>
          </w:tcPr>
          <w:p>
            <w:pPr>
              <w:spacing w:after="0"/>
              <w:rPr>
                <w:sz w:val="15"/>
                <w:szCs w:val="15"/>
                <w:color w:val="auto"/>
              </w:rPr>
            </w:pPr>
          </w:p>
        </w:tc>
        <w:tc>
          <w:tcPr>
            <w:tcW w:w="520" w:type="dxa"/>
            <w:vAlign w:val="bottom"/>
          </w:tcPr>
          <w:p>
            <w:pPr>
              <w:jc w:val="right"/>
              <w:spacing w:after="0" w:line="176" w:lineRule="exact"/>
              <w:rPr>
                <w:sz w:val="20"/>
                <w:szCs w:val="20"/>
                <w:color w:val="auto"/>
              </w:rPr>
            </w:pPr>
            <w:r>
              <w:rPr>
                <w:rFonts w:ascii="Arial" w:cs="Arial" w:eastAsia="Arial" w:hAnsi="Arial"/>
                <w:sz w:val="16"/>
                <w:szCs w:val="16"/>
                <w:color w:val="auto"/>
              </w:rPr>
              <w:t>15</w:t>
            </w:r>
          </w:p>
        </w:tc>
        <w:tc>
          <w:tcPr>
            <w:tcW w:w="920" w:type="dxa"/>
            <w:vAlign w:val="bottom"/>
          </w:tcPr>
          <w:p>
            <w:pPr>
              <w:spacing w:after="0"/>
              <w:rPr>
                <w:sz w:val="15"/>
                <w:szCs w:val="15"/>
                <w:color w:val="auto"/>
              </w:rPr>
            </w:pPr>
          </w:p>
        </w:tc>
        <w:tc>
          <w:tcPr>
            <w:tcW w:w="460" w:type="dxa"/>
            <w:vAlign w:val="bottom"/>
          </w:tcPr>
          <w:p>
            <w:pPr>
              <w:jc w:val="right"/>
              <w:spacing w:after="0" w:line="176" w:lineRule="exact"/>
              <w:rPr>
                <w:sz w:val="20"/>
                <w:szCs w:val="20"/>
                <w:color w:val="auto"/>
              </w:rPr>
            </w:pPr>
            <w:r>
              <w:rPr>
                <w:rFonts w:ascii="Arial" w:cs="Arial" w:eastAsia="Arial" w:hAnsi="Arial"/>
                <w:sz w:val="16"/>
                <w:szCs w:val="16"/>
                <w:color w:val="auto"/>
              </w:rPr>
              <w:t>9</w:t>
            </w:r>
          </w:p>
        </w:tc>
        <w:tc>
          <w:tcPr>
            <w:tcW w:w="0" w:type="dxa"/>
            <w:vAlign w:val="bottom"/>
          </w:tcPr>
          <w:p>
            <w:pPr>
              <w:spacing w:after="0"/>
              <w:rPr>
                <w:sz w:val="1"/>
                <w:szCs w:val="1"/>
                <w:color w:val="auto"/>
              </w:rPr>
            </w:pPr>
          </w:p>
        </w:tc>
      </w:tr>
      <w:tr>
        <w:trPr>
          <w:trHeight w:val="194"/>
        </w:trPr>
        <w:tc>
          <w:tcPr>
            <w:tcW w:w="8540" w:type="dxa"/>
            <w:vAlign w:val="bottom"/>
          </w:tcPr>
          <w:p>
            <w:pPr>
              <w:ind w:left="180"/>
              <w:spacing w:after="0"/>
              <w:rPr>
                <w:sz w:val="20"/>
                <w:szCs w:val="20"/>
                <w:color w:val="auto"/>
              </w:rPr>
            </w:pPr>
            <w:r>
              <w:rPr>
                <w:rFonts w:ascii="Arial" w:cs="Arial" w:eastAsia="Arial" w:hAnsi="Arial"/>
                <w:sz w:val="16"/>
                <w:szCs w:val="16"/>
                <w:color w:val="auto"/>
              </w:rPr>
              <w:t>Changes in other liabilities</w:t>
            </w:r>
          </w:p>
        </w:tc>
        <w:tc>
          <w:tcPr>
            <w:tcW w:w="98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w:t>
            </w:r>
          </w:p>
        </w:tc>
        <w:tc>
          <w:tcPr>
            <w:tcW w:w="92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w:t>
            </w:r>
          </w:p>
        </w:tc>
        <w:tc>
          <w:tcPr>
            <w:tcW w:w="0" w:type="dxa"/>
            <w:vAlign w:val="bottom"/>
          </w:tcPr>
          <w:p>
            <w:pPr>
              <w:spacing w:after="0"/>
              <w:rPr>
                <w:sz w:val="1"/>
                <w:szCs w:val="1"/>
                <w:color w:val="auto"/>
              </w:rPr>
            </w:pPr>
          </w:p>
        </w:tc>
      </w:tr>
      <w:tr>
        <w:trPr>
          <w:trHeight w:val="183"/>
        </w:trPr>
        <w:tc>
          <w:tcPr>
            <w:tcW w:w="8540" w:type="dxa"/>
            <w:vAlign w:val="bottom"/>
          </w:tcPr>
          <w:p>
            <w:pPr>
              <w:ind w:left="360"/>
              <w:spacing w:after="0" w:line="176" w:lineRule="exact"/>
              <w:rPr>
                <w:sz w:val="20"/>
                <w:szCs w:val="20"/>
                <w:color w:val="auto"/>
              </w:rPr>
            </w:pPr>
            <w:r>
              <w:rPr>
                <w:rFonts w:ascii="Arial" w:cs="Arial" w:eastAsia="Arial" w:hAnsi="Arial"/>
                <w:sz w:val="16"/>
                <w:szCs w:val="16"/>
                <w:color w:val="auto"/>
              </w:rPr>
              <w:t>Net cash provided by operating activities</w:t>
            </w:r>
          </w:p>
        </w:tc>
        <w:tc>
          <w:tcPr>
            <w:tcW w:w="98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6"/>
                <w:szCs w:val="16"/>
                <w:color w:val="auto"/>
              </w:rPr>
              <w:t>556</w:t>
            </w:r>
          </w:p>
        </w:tc>
        <w:tc>
          <w:tcPr>
            <w:tcW w:w="92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6"/>
                <w:szCs w:val="16"/>
                <w:color w:val="auto"/>
              </w:rPr>
              <w:t>221</w:t>
            </w:r>
          </w:p>
        </w:tc>
        <w:tc>
          <w:tcPr>
            <w:tcW w:w="0" w:type="dxa"/>
            <w:vAlign w:val="bottom"/>
          </w:tcPr>
          <w:p>
            <w:pPr>
              <w:spacing w:after="0"/>
              <w:rPr>
                <w:sz w:val="1"/>
                <w:szCs w:val="1"/>
                <w:color w:val="auto"/>
              </w:rPr>
            </w:pPr>
          </w:p>
        </w:tc>
      </w:tr>
      <w:tr>
        <w:trPr>
          <w:trHeight w:val="367"/>
        </w:trPr>
        <w:tc>
          <w:tcPr>
            <w:tcW w:w="8540" w:type="dxa"/>
            <w:vAlign w:val="bottom"/>
          </w:tcPr>
          <w:p>
            <w:pPr>
              <w:spacing w:after="0"/>
              <w:rPr>
                <w:sz w:val="20"/>
                <w:szCs w:val="20"/>
                <w:color w:val="auto"/>
              </w:rPr>
            </w:pPr>
            <w:r>
              <w:rPr>
                <w:rFonts w:ascii="Arial" w:cs="Arial" w:eastAsia="Arial" w:hAnsi="Arial"/>
                <w:sz w:val="16"/>
                <w:szCs w:val="16"/>
                <w:color w:val="auto"/>
              </w:rPr>
              <w:t>CASH FLOWS FROM INVESTING ACTIVITIES</w:t>
            </w:r>
          </w:p>
        </w:tc>
        <w:tc>
          <w:tcPr>
            <w:tcW w:w="9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8540" w:type="dxa"/>
            <w:vAlign w:val="bottom"/>
          </w:tcPr>
          <w:p>
            <w:pPr>
              <w:ind w:left="180"/>
              <w:spacing w:after="0" w:line="176" w:lineRule="exact"/>
              <w:rPr>
                <w:sz w:val="20"/>
                <w:szCs w:val="20"/>
                <w:color w:val="auto"/>
              </w:rPr>
            </w:pPr>
            <w:r>
              <w:rPr>
                <w:rFonts w:ascii="Arial" w:cs="Arial" w:eastAsia="Arial" w:hAnsi="Arial"/>
                <w:sz w:val="16"/>
                <w:szCs w:val="16"/>
                <w:color w:val="auto"/>
              </w:rPr>
              <w:t>Expenditures for property, plant and equipment</w:t>
            </w:r>
          </w:p>
        </w:tc>
        <w:tc>
          <w:tcPr>
            <w:tcW w:w="980" w:type="dxa"/>
            <w:vAlign w:val="bottom"/>
          </w:tcPr>
          <w:p>
            <w:pPr>
              <w:spacing w:after="0"/>
              <w:rPr>
                <w:sz w:val="15"/>
                <w:szCs w:val="15"/>
                <w:color w:val="auto"/>
              </w:rPr>
            </w:pPr>
          </w:p>
        </w:tc>
        <w:tc>
          <w:tcPr>
            <w:tcW w:w="520" w:type="dxa"/>
            <w:vAlign w:val="bottom"/>
          </w:tcPr>
          <w:p>
            <w:pPr>
              <w:jc w:val="right"/>
              <w:spacing w:after="0" w:line="176" w:lineRule="exact"/>
              <w:rPr>
                <w:sz w:val="20"/>
                <w:szCs w:val="20"/>
                <w:color w:val="auto"/>
              </w:rPr>
            </w:pPr>
            <w:r>
              <w:rPr>
                <w:rFonts w:ascii="Arial" w:cs="Arial" w:eastAsia="Arial" w:hAnsi="Arial"/>
                <w:sz w:val="16"/>
                <w:szCs w:val="16"/>
                <w:color w:val="auto"/>
              </w:rPr>
              <w:t>(714)</w:t>
            </w:r>
          </w:p>
        </w:tc>
        <w:tc>
          <w:tcPr>
            <w:tcW w:w="920" w:type="dxa"/>
            <w:vAlign w:val="bottom"/>
          </w:tcPr>
          <w:p>
            <w:pPr>
              <w:spacing w:after="0"/>
              <w:rPr>
                <w:sz w:val="15"/>
                <w:szCs w:val="15"/>
                <w:color w:val="auto"/>
              </w:rPr>
            </w:pPr>
          </w:p>
        </w:tc>
        <w:tc>
          <w:tcPr>
            <w:tcW w:w="460" w:type="dxa"/>
            <w:vAlign w:val="bottom"/>
          </w:tcPr>
          <w:p>
            <w:pPr>
              <w:jc w:val="right"/>
              <w:spacing w:after="0" w:line="176" w:lineRule="exact"/>
              <w:rPr>
                <w:sz w:val="20"/>
                <w:szCs w:val="20"/>
                <w:color w:val="auto"/>
              </w:rPr>
            </w:pPr>
            <w:r>
              <w:rPr>
                <w:rFonts w:ascii="Arial" w:cs="Arial" w:eastAsia="Arial" w:hAnsi="Arial"/>
                <w:sz w:val="16"/>
                <w:szCs w:val="16"/>
                <w:color w:val="auto"/>
              </w:rPr>
              <w:t>(522)</w:t>
            </w:r>
          </w:p>
        </w:tc>
        <w:tc>
          <w:tcPr>
            <w:tcW w:w="0" w:type="dxa"/>
            <w:vAlign w:val="bottom"/>
          </w:tcPr>
          <w:p>
            <w:pPr>
              <w:spacing w:after="0"/>
              <w:rPr>
                <w:sz w:val="1"/>
                <w:szCs w:val="1"/>
                <w:color w:val="auto"/>
              </w:rPr>
            </w:pPr>
          </w:p>
        </w:tc>
      </w:tr>
      <w:tr>
        <w:trPr>
          <w:trHeight w:val="176"/>
        </w:trPr>
        <w:tc>
          <w:tcPr>
            <w:tcW w:w="8540" w:type="dxa"/>
            <w:vAlign w:val="bottom"/>
          </w:tcPr>
          <w:p>
            <w:pPr>
              <w:ind w:left="180"/>
              <w:spacing w:after="0" w:line="176" w:lineRule="exact"/>
              <w:rPr>
                <w:sz w:val="20"/>
                <w:szCs w:val="20"/>
                <w:color w:val="auto"/>
              </w:rPr>
            </w:pPr>
            <w:r>
              <w:rPr>
                <w:rFonts w:ascii="Arial" w:cs="Arial" w:eastAsia="Arial" w:hAnsi="Arial"/>
                <w:sz w:val="16"/>
                <w:szCs w:val="16"/>
                <w:color w:val="auto"/>
              </w:rPr>
              <w:t>Purchases of nuclear decommissioning trust assets</w:t>
            </w:r>
          </w:p>
        </w:tc>
        <w:tc>
          <w:tcPr>
            <w:tcW w:w="980" w:type="dxa"/>
            <w:vAlign w:val="bottom"/>
          </w:tcPr>
          <w:p>
            <w:pPr>
              <w:spacing w:after="0"/>
              <w:rPr>
                <w:sz w:val="15"/>
                <w:szCs w:val="15"/>
                <w:color w:val="auto"/>
              </w:rPr>
            </w:pPr>
          </w:p>
        </w:tc>
        <w:tc>
          <w:tcPr>
            <w:tcW w:w="520" w:type="dxa"/>
            <w:vAlign w:val="bottom"/>
          </w:tcPr>
          <w:p>
            <w:pPr>
              <w:jc w:val="right"/>
              <w:spacing w:after="0" w:line="176" w:lineRule="exact"/>
              <w:rPr>
                <w:sz w:val="20"/>
                <w:szCs w:val="20"/>
                <w:color w:val="auto"/>
              </w:rPr>
            </w:pPr>
            <w:r>
              <w:rPr>
                <w:rFonts w:ascii="Arial" w:cs="Arial" w:eastAsia="Arial" w:hAnsi="Arial"/>
                <w:sz w:val="16"/>
                <w:szCs w:val="16"/>
                <w:color w:val="auto"/>
              </w:rPr>
              <w:t>(95)</w:t>
            </w:r>
          </w:p>
        </w:tc>
        <w:tc>
          <w:tcPr>
            <w:tcW w:w="920" w:type="dxa"/>
            <w:vAlign w:val="bottom"/>
          </w:tcPr>
          <w:p>
            <w:pPr>
              <w:spacing w:after="0"/>
              <w:rPr>
                <w:sz w:val="15"/>
                <w:szCs w:val="15"/>
                <w:color w:val="auto"/>
              </w:rPr>
            </w:pPr>
          </w:p>
        </w:tc>
        <w:tc>
          <w:tcPr>
            <w:tcW w:w="460" w:type="dxa"/>
            <w:vAlign w:val="bottom"/>
          </w:tcPr>
          <w:p>
            <w:pPr>
              <w:jc w:val="right"/>
              <w:spacing w:after="0" w:line="176" w:lineRule="exact"/>
              <w:rPr>
                <w:sz w:val="20"/>
                <w:szCs w:val="20"/>
                <w:color w:val="auto"/>
              </w:rPr>
            </w:pPr>
            <w:r>
              <w:rPr>
                <w:rFonts w:ascii="Arial" w:cs="Arial" w:eastAsia="Arial" w:hAnsi="Arial"/>
                <w:sz w:val="16"/>
                <w:szCs w:val="16"/>
                <w:color w:val="auto"/>
              </w:rPr>
              <w:t>(155)</w:t>
            </w:r>
          </w:p>
        </w:tc>
        <w:tc>
          <w:tcPr>
            <w:tcW w:w="0" w:type="dxa"/>
            <w:vAlign w:val="bottom"/>
          </w:tcPr>
          <w:p>
            <w:pPr>
              <w:spacing w:after="0"/>
              <w:rPr>
                <w:sz w:val="1"/>
                <w:szCs w:val="1"/>
                <w:color w:val="auto"/>
              </w:rPr>
            </w:pPr>
          </w:p>
        </w:tc>
      </w:tr>
      <w:tr>
        <w:trPr>
          <w:trHeight w:val="176"/>
        </w:trPr>
        <w:tc>
          <w:tcPr>
            <w:tcW w:w="8540" w:type="dxa"/>
            <w:vAlign w:val="bottom"/>
          </w:tcPr>
          <w:p>
            <w:pPr>
              <w:ind w:left="180"/>
              <w:spacing w:after="0" w:line="176" w:lineRule="exact"/>
              <w:rPr>
                <w:sz w:val="20"/>
                <w:szCs w:val="20"/>
                <w:color w:val="auto"/>
              </w:rPr>
            </w:pPr>
            <w:r>
              <w:rPr>
                <w:rFonts w:ascii="Arial" w:cs="Arial" w:eastAsia="Arial" w:hAnsi="Arial"/>
                <w:sz w:val="16"/>
                <w:szCs w:val="16"/>
                <w:color w:val="auto"/>
              </w:rPr>
              <w:t>Proceeds from sales by nuclear decommissioning trusts</w:t>
            </w:r>
          </w:p>
        </w:tc>
        <w:tc>
          <w:tcPr>
            <w:tcW w:w="980" w:type="dxa"/>
            <w:vAlign w:val="bottom"/>
          </w:tcPr>
          <w:p>
            <w:pPr>
              <w:spacing w:after="0"/>
              <w:rPr>
                <w:sz w:val="15"/>
                <w:szCs w:val="15"/>
                <w:color w:val="auto"/>
              </w:rPr>
            </w:pPr>
          </w:p>
        </w:tc>
        <w:tc>
          <w:tcPr>
            <w:tcW w:w="520" w:type="dxa"/>
            <w:vAlign w:val="bottom"/>
          </w:tcPr>
          <w:p>
            <w:pPr>
              <w:jc w:val="right"/>
              <w:spacing w:after="0" w:line="176" w:lineRule="exact"/>
              <w:rPr>
                <w:sz w:val="20"/>
                <w:szCs w:val="20"/>
                <w:color w:val="auto"/>
              </w:rPr>
            </w:pPr>
            <w:r>
              <w:rPr>
                <w:rFonts w:ascii="Arial" w:cs="Arial" w:eastAsia="Arial" w:hAnsi="Arial"/>
                <w:sz w:val="16"/>
                <w:szCs w:val="16"/>
                <w:color w:val="auto"/>
              </w:rPr>
              <w:t>90</w:t>
            </w:r>
          </w:p>
        </w:tc>
        <w:tc>
          <w:tcPr>
            <w:tcW w:w="920" w:type="dxa"/>
            <w:vAlign w:val="bottom"/>
          </w:tcPr>
          <w:p>
            <w:pPr>
              <w:spacing w:after="0"/>
              <w:rPr>
                <w:sz w:val="15"/>
                <w:szCs w:val="15"/>
                <w:color w:val="auto"/>
              </w:rPr>
            </w:pPr>
          </w:p>
        </w:tc>
        <w:tc>
          <w:tcPr>
            <w:tcW w:w="460" w:type="dxa"/>
            <w:vAlign w:val="bottom"/>
          </w:tcPr>
          <w:p>
            <w:pPr>
              <w:jc w:val="right"/>
              <w:spacing w:after="0" w:line="176" w:lineRule="exact"/>
              <w:rPr>
                <w:sz w:val="20"/>
                <w:szCs w:val="20"/>
                <w:color w:val="auto"/>
              </w:rPr>
            </w:pPr>
            <w:r>
              <w:rPr>
                <w:rFonts w:ascii="Arial" w:cs="Arial" w:eastAsia="Arial" w:hAnsi="Arial"/>
                <w:sz w:val="16"/>
                <w:szCs w:val="16"/>
                <w:color w:val="auto"/>
              </w:rPr>
              <w:t>150</w:t>
            </w:r>
          </w:p>
        </w:tc>
        <w:tc>
          <w:tcPr>
            <w:tcW w:w="0" w:type="dxa"/>
            <w:vAlign w:val="bottom"/>
          </w:tcPr>
          <w:p>
            <w:pPr>
              <w:spacing w:after="0"/>
              <w:rPr>
                <w:sz w:val="1"/>
                <w:szCs w:val="1"/>
                <w:color w:val="auto"/>
              </w:rPr>
            </w:pPr>
          </w:p>
        </w:tc>
      </w:tr>
      <w:tr>
        <w:trPr>
          <w:trHeight w:val="176"/>
        </w:trPr>
        <w:tc>
          <w:tcPr>
            <w:tcW w:w="8540" w:type="dxa"/>
            <w:vAlign w:val="bottom"/>
          </w:tcPr>
          <w:p>
            <w:pPr>
              <w:ind w:left="180"/>
              <w:spacing w:after="0" w:line="176" w:lineRule="exact"/>
              <w:rPr>
                <w:sz w:val="20"/>
                <w:szCs w:val="20"/>
                <w:color w:val="auto"/>
              </w:rPr>
            </w:pPr>
            <w:r>
              <w:rPr>
                <w:rFonts w:ascii="Arial" w:cs="Arial" w:eastAsia="Arial" w:hAnsi="Arial"/>
                <w:sz w:val="16"/>
                <w:szCs w:val="16"/>
                <w:color w:val="auto"/>
              </w:rPr>
              <w:t>Decrease in loans to affiliates, net</w:t>
            </w:r>
          </w:p>
        </w:tc>
        <w:tc>
          <w:tcPr>
            <w:tcW w:w="980" w:type="dxa"/>
            <w:vAlign w:val="bottom"/>
          </w:tcPr>
          <w:p>
            <w:pPr>
              <w:spacing w:after="0"/>
              <w:rPr>
                <w:sz w:val="15"/>
                <w:szCs w:val="15"/>
                <w:color w:val="auto"/>
              </w:rPr>
            </w:pPr>
          </w:p>
        </w:tc>
        <w:tc>
          <w:tcPr>
            <w:tcW w:w="520" w:type="dxa"/>
            <w:vAlign w:val="bottom"/>
          </w:tcPr>
          <w:p>
            <w:pPr>
              <w:jc w:val="right"/>
              <w:spacing w:after="0" w:line="176" w:lineRule="exact"/>
              <w:rPr>
                <w:sz w:val="20"/>
                <w:szCs w:val="20"/>
                <w:color w:val="auto"/>
              </w:rPr>
            </w:pPr>
            <w:r>
              <w:rPr>
                <w:rFonts w:ascii="Arial" w:cs="Arial" w:eastAsia="Arial" w:hAnsi="Arial"/>
                <w:sz w:val="16"/>
                <w:szCs w:val="16"/>
                <w:color w:val="auto"/>
              </w:rPr>
              <w:t>―</w:t>
            </w:r>
          </w:p>
        </w:tc>
        <w:tc>
          <w:tcPr>
            <w:tcW w:w="920" w:type="dxa"/>
            <w:vAlign w:val="bottom"/>
          </w:tcPr>
          <w:p>
            <w:pPr>
              <w:spacing w:after="0"/>
              <w:rPr>
                <w:sz w:val="15"/>
                <w:szCs w:val="15"/>
                <w:color w:val="auto"/>
              </w:rPr>
            </w:pPr>
          </w:p>
        </w:tc>
        <w:tc>
          <w:tcPr>
            <w:tcW w:w="460" w:type="dxa"/>
            <w:vAlign w:val="bottom"/>
          </w:tcPr>
          <w:p>
            <w:pPr>
              <w:jc w:val="right"/>
              <w:spacing w:after="0" w:line="176" w:lineRule="exact"/>
              <w:rPr>
                <w:sz w:val="20"/>
                <w:szCs w:val="20"/>
                <w:color w:val="auto"/>
              </w:rPr>
            </w:pPr>
            <w:r>
              <w:rPr>
                <w:rFonts w:ascii="Arial" w:cs="Arial" w:eastAsia="Arial" w:hAnsi="Arial"/>
                <w:sz w:val="16"/>
                <w:szCs w:val="16"/>
                <w:color w:val="auto"/>
              </w:rPr>
              <w:t>14</w:t>
            </w:r>
          </w:p>
        </w:tc>
        <w:tc>
          <w:tcPr>
            <w:tcW w:w="0" w:type="dxa"/>
            <w:vAlign w:val="bottom"/>
          </w:tcPr>
          <w:p>
            <w:pPr>
              <w:spacing w:after="0"/>
              <w:rPr>
                <w:sz w:val="1"/>
                <w:szCs w:val="1"/>
                <w:color w:val="auto"/>
              </w:rPr>
            </w:pPr>
          </w:p>
        </w:tc>
      </w:tr>
      <w:tr>
        <w:trPr>
          <w:trHeight w:val="176"/>
        </w:trPr>
        <w:tc>
          <w:tcPr>
            <w:tcW w:w="8540" w:type="dxa"/>
            <w:vAlign w:val="bottom"/>
          </w:tcPr>
          <w:p>
            <w:pPr>
              <w:ind w:left="180"/>
              <w:spacing w:after="0" w:line="176" w:lineRule="exact"/>
              <w:rPr>
                <w:sz w:val="20"/>
                <w:szCs w:val="20"/>
                <w:color w:val="auto"/>
              </w:rPr>
            </w:pPr>
            <w:r>
              <w:rPr>
                <w:rFonts w:ascii="Arial" w:cs="Arial" w:eastAsia="Arial" w:hAnsi="Arial"/>
                <w:sz w:val="16"/>
                <w:szCs w:val="16"/>
                <w:color w:val="auto"/>
              </w:rPr>
              <w:t>Decrease in restricted cash</w:t>
            </w:r>
          </w:p>
        </w:tc>
        <w:tc>
          <w:tcPr>
            <w:tcW w:w="980" w:type="dxa"/>
            <w:vAlign w:val="bottom"/>
          </w:tcPr>
          <w:p>
            <w:pPr>
              <w:spacing w:after="0"/>
              <w:rPr>
                <w:sz w:val="15"/>
                <w:szCs w:val="15"/>
                <w:color w:val="auto"/>
              </w:rPr>
            </w:pPr>
          </w:p>
        </w:tc>
        <w:tc>
          <w:tcPr>
            <w:tcW w:w="520" w:type="dxa"/>
            <w:vAlign w:val="bottom"/>
          </w:tcPr>
          <w:p>
            <w:pPr>
              <w:jc w:val="right"/>
              <w:spacing w:after="0" w:line="176" w:lineRule="exact"/>
              <w:rPr>
                <w:sz w:val="20"/>
                <w:szCs w:val="20"/>
                <w:color w:val="auto"/>
              </w:rPr>
            </w:pPr>
            <w:r>
              <w:rPr>
                <w:rFonts w:ascii="Arial" w:cs="Arial" w:eastAsia="Arial" w:hAnsi="Arial"/>
                <w:sz w:val="16"/>
                <w:szCs w:val="16"/>
                <w:color w:val="auto"/>
              </w:rPr>
              <w:t>257</w:t>
            </w:r>
          </w:p>
        </w:tc>
        <w:tc>
          <w:tcPr>
            <w:tcW w:w="920" w:type="dxa"/>
            <w:vAlign w:val="bottom"/>
          </w:tcPr>
          <w:p>
            <w:pPr>
              <w:spacing w:after="0"/>
              <w:rPr>
                <w:sz w:val="15"/>
                <w:szCs w:val="15"/>
                <w:color w:val="auto"/>
              </w:rPr>
            </w:pPr>
          </w:p>
        </w:tc>
        <w:tc>
          <w:tcPr>
            <w:tcW w:w="460" w:type="dxa"/>
            <w:vAlign w:val="bottom"/>
          </w:tcPr>
          <w:p>
            <w:pPr>
              <w:jc w:val="right"/>
              <w:spacing w:after="0" w:line="176" w:lineRule="exact"/>
              <w:rPr>
                <w:sz w:val="20"/>
                <w:szCs w:val="20"/>
                <w:color w:val="auto"/>
              </w:rPr>
            </w:pPr>
            <w:r>
              <w:rPr>
                <w:rFonts w:ascii="Arial" w:cs="Arial" w:eastAsia="Arial" w:hAnsi="Arial"/>
                <w:sz w:val="16"/>
                <w:szCs w:val="16"/>
                <w:color w:val="auto"/>
              </w:rPr>
              <w:t>45</w:t>
            </w:r>
          </w:p>
        </w:tc>
        <w:tc>
          <w:tcPr>
            <w:tcW w:w="0" w:type="dxa"/>
            <w:vAlign w:val="bottom"/>
          </w:tcPr>
          <w:p>
            <w:pPr>
              <w:spacing w:after="0"/>
              <w:rPr>
                <w:sz w:val="1"/>
                <w:szCs w:val="1"/>
                <w:color w:val="auto"/>
              </w:rPr>
            </w:pPr>
          </w:p>
        </w:tc>
      </w:tr>
      <w:tr>
        <w:trPr>
          <w:trHeight w:val="176"/>
        </w:trPr>
        <w:tc>
          <w:tcPr>
            <w:tcW w:w="8540" w:type="dxa"/>
            <w:vAlign w:val="bottom"/>
          </w:tcPr>
          <w:p>
            <w:pPr>
              <w:ind w:left="180"/>
              <w:spacing w:after="0" w:line="176" w:lineRule="exact"/>
              <w:rPr>
                <w:sz w:val="20"/>
                <w:szCs w:val="20"/>
                <w:color w:val="auto"/>
              </w:rPr>
            </w:pPr>
            <w:r>
              <w:rPr>
                <w:rFonts w:ascii="Arial" w:cs="Arial" w:eastAsia="Arial" w:hAnsi="Arial"/>
                <w:sz w:val="16"/>
                <w:szCs w:val="16"/>
                <w:color w:val="auto"/>
              </w:rPr>
              <w:t>Increase in restricted cash</w:t>
            </w:r>
          </w:p>
        </w:tc>
        <w:tc>
          <w:tcPr>
            <w:tcW w:w="980" w:type="dxa"/>
            <w:vAlign w:val="bottom"/>
          </w:tcPr>
          <w:p>
            <w:pPr>
              <w:spacing w:after="0"/>
              <w:rPr>
                <w:sz w:val="15"/>
                <w:szCs w:val="15"/>
                <w:color w:val="auto"/>
              </w:rPr>
            </w:pPr>
          </w:p>
        </w:tc>
        <w:tc>
          <w:tcPr>
            <w:tcW w:w="520" w:type="dxa"/>
            <w:vAlign w:val="bottom"/>
          </w:tcPr>
          <w:p>
            <w:pPr>
              <w:jc w:val="right"/>
              <w:spacing w:after="0" w:line="176" w:lineRule="exact"/>
              <w:rPr>
                <w:sz w:val="20"/>
                <w:szCs w:val="20"/>
                <w:color w:val="auto"/>
              </w:rPr>
            </w:pPr>
            <w:r>
              <w:rPr>
                <w:rFonts w:ascii="Arial" w:cs="Arial" w:eastAsia="Arial" w:hAnsi="Arial"/>
                <w:sz w:val="16"/>
                <w:szCs w:val="16"/>
                <w:color w:val="auto"/>
              </w:rPr>
              <w:t>(329)</w:t>
            </w:r>
          </w:p>
        </w:tc>
        <w:tc>
          <w:tcPr>
            <w:tcW w:w="920" w:type="dxa"/>
            <w:vAlign w:val="bottom"/>
          </w:tcPr>
          <w:p>
            <w:pPr>
              <w:spacing w:after="0"/>
              <w:rPr>
                <w:sz w:val="15"/>
                <w:szCs w:val="15"/>
                <w:color w:val="auto"/>
              </w:rPr>
            </w:pPr>
          </w:p>
        </w:tc>
        <w:tc>
          <w:tcPr>
            <w:tcW w:w="460" w:type="dxa"/>
            <w:vAlign w:val="bottom"/>
          </w:tcPr>
          <w:p>
            <w:pPr>
              <w:jc w:val="right"/>
              <w:spacing w:after="0" w:line="176" w:lineRule="exact"/>
              <w:rPr>
                <w:sz w:val="20"/>
                <w:szCs w:val="20"/>
                <w:color w:val="auto"/>
              </w:rPr>
            </w:pPr>
            <w:r>
              <w:rPr>
                <w:rFonts w:ascii="Arial" w:cs="Arial" w:eastAsia="Arial" w:hAnsi="Arial"/>
                <w:sz w:val="16"/>
                <w:szCs w:val="16"/>
                <w:color w:val="auto"/>
              </w:rPr>
              <w:t>(40)</w:t>
            </w:r>
          </w:p>
        </w:tc>
        <w:tc>
          <w:tcPr>
            <w:tcW w:w="0" w:type="dxa"/>
            <w:vAlign w:val="bottom"/>
          </w:tcPr>
          <w:p>
            <w:pPr>
              <w:spacing w:after="0"/>
              <w:rPr>
                <w:sz w:val="1"/>
                <w:szCs w:val="1"/>
                <w:color w:val="auto"/>
              </w:rPr>
            </w:pPr>
          </w:p>
        </w:tc>
      </w:tr>
      <w:tr>
        <w:trPr>
          <w:trHeight w:val="194"/>
        </w:trPr>
        <w:tc>
          <w:tcPr>
            <w:tcW w:w="8540" w:type="dxa"/>
            <w:vAlign w:val="bottom"/>
          </w:tcPr>
          <w:p>
            <w:pPr>
              <w:ind w:left="180"/>
              <w:spacing w:after="0"/>
              <w:rPr>
                <w:sz w:val="20"/>
                <w:szCs w:val="20"/>
                <w:color w:val="auto"/>
              </w:rPr>
            </w:pPr>
            <w:r>
              <w:rPr>
                <w:rFonts w:ascii="Arial" w:cs="Arial" w:eastAsia="Arial" w:hAnsi="Arial"/>
                <w:sz w:val="16"/>
                <w:szCs w:val="16"/>
                <w:color w:val="auto"/>
              </w:rPr>
              <w:t>Other</w:t>
            </w:r>
          </w:p>
        </w:tc>
        <w:tc>
          <w:tcPr>
            <w:tcW w:w="98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183"/>
        </w:trPr>
        <w:tc>
          <w:tcPr>
            <w:tcW w:w="8540" w:type="dxa"/>
            <w:vAlign w:val="bottom"/>
          </w:tcPr>
          <w:p>
            <w:pPr>
              <w:ind w:left="360"/>
              <w:spacing w:after="0" w:line="176" w:lineRule="exact"/>
              <w:rPr>
                <w:sz w:val="20"/>
                <w:szCs w:val="20"/>
                <w:color w:val="auto"/>
              </w:rPr>
            </w:pPr>
            <w:r>
              <w:rPr>
                <w:rFonts w:ascii="Arial" w:cs="Arial" w:eastAsia="Arial" w:hAnsi="Arial"/>
                <w:sz w:val="16"/>
                <w:szCs w:val="16"/>
                <w:color w:val="auto"/>
              </w:rPr>
              <w:t>Net cash used in investing activities</w:t>
            </w:r>
          </w:p>
        </w:tc>
        <w:tc>
          <w:tcPr>
            <w:tcW w:w="98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6"/>
                <w:szCs w:val="16"/>
                <w:color w:val="auto"/>
              </w:rPr>
              <w:t>(791)</w:t>
            </w:r>
          </w:p>
        </w:tc>
        <w:tc>
          <w:tcPr>
            <w:tcW w:w="92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6"/>
                <w:szCs w:val="16"/>
                <w:color w:val="auto"/>
              </w:rPr>
              <w:t>(509)</w:t>
            </w:r>
          </w:p>
        </w:tc>
        <w:tc>
          <w:tcPr>
            <w:tcW w:w="0" w:type="dxa"/>
            <w:vAlign w:val="bottom"/>
          </w:tcPr>
          <w:p>
            <w:pPr>
              <w:spacing w:after="0"/>
              <w:rPr>
                <w:sz w:val="1"/>
                <w:szCs w:val="1"/>
                <w:color w:val="auto"/>
              </w:rPr>
            </w:pPr>
          </w:p>
        </w:tc>
      </w:tr>
      <w:tr>
        <w:trPr>
          <w:trHeight w:val="367"/>
        </w:trPr>
        <w:tc>
          <w:tcPr>
            <w:tcW w:w="8540" w:type="dxa"/>
            <w:vAlign w:val="bottom"/>
          </w:tcPr>
          <w:p>
            <w:pPr>
              <w:spacing w:after="0"/>
              <w:rPr>
                <w:sz w:val="20"/>
                <w:szCs w:val="20"/>
                <w:color w:val="auto"/>
              </w:rPr>
            </w:pPr>
            <w:r>
              <w:rPr>
                <w:rFonts w:ascii="Arial" w:cs="Arial" w:eastAsia="Arial" w:hAnsi="Arial"/>
                <w:sz w:val="16"/>
                <w:szCs w:val="16"/>
                <w:color w:val="auto"/>
              </w:rPr>
              <w:t>CASH FLOWS FROM FINANCING ACTIVITIES</w:t>
            </w:r>
          </w:p>
        </w:tc>
        <w:tc>
          <w:tcPr>
            <w:tcW w:w="9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8540" w:type="dxa"/>
            <w:vAlign w:val="bottom"/>
          </w:tcPr>
          <w:p>
            <w:pPr>
              <w:ind w:left="180"/>
              <w:spacing w:after="0" w:line="176" w:lineRule="exact"/>
              <w:rPr>
                <w:sz w:val="20"/>
                <w:szCs w:val="20"/>
                <w:color w:val="auto"/>
              </w:rPr>
            </w:pPr>
            <w:r>
              <w:rPr>
                <w:rFonts w:ascii="Arial" w:cs="Arial" w:eastAsia="Arial" w:hAnsi="Arial"/>
                <w:sz w:val="16"/>
                <w:szCs w:val="16"/>
                <w:color w:val="auto"/>
              </w:rPr>
              <w:t>Capital contribution</w:t>
            </w:r>
          </w:p>
        </w:tc>
        <w:tc>
          <w:tcPr>
            <w:tcW w:w="980" w:type="dxa"/>
            <w:vAlign w:val="bottom"/>
          </w:tcPr>
          <w:p>
            <w:pPr>
              <w:spacing w:after="0"/>
              <w:rPr>
                <w:sz w:val="15"/>
                <w:szCs w:val="15"/>
                <w:color w:val="auto"/>
              </w:rPr>
            </w:pPr>
          </w:p>
        </w:tc>
        <w:tc>
          <w:tcPr>
            <w:tcW w:w="520" w:type="dxa"/>
            <w:vAlign w:val="bottom"/>
          </w:tcPr>
          <w:p>
            <w:pPr>
              <w:jc w:val="right"/>
              <w:spacing w:after="0" w:line="176" w:lineRule="exact"/>
              <w:rPr>
                <w:sz w:val="20"/>
                <w:szCs w:val="20"/>
                <w:color w:val="auto"/>
              </w:rPr>
            </w:pPr>
            <w:r>
              <w:rPr>
                <w:rFonts w:ascii="Arial" w:cs="Arial" w:eastAsia="Arial" w:hAnsi="Arial"/>
                <w:sz w:val="16"/>
                <w:szCs w:val="16"/>
                <w:color w:val="auto"/>
              </w:rPr>
              <w:t>200</w:t>
            </w:r>
          </w:p>
        </w:tc>
        <w:tc>
          <w:tcPr>
            <w:tcW w:w="920" w:type="dxa"/>
            <w:vAlign w:val="bottom"/>
          </w:tcPr>
          <w:p>
            <w:pPr>
              <w:spacing w:after="0"/>
              <w:rPr>
                <w:sz w:val="15"/>
                <w:szCs w:val="15"/>
                <w:color w:val="auto"/>
              </w:rPr>
            </w:pPr>
          </w:p>
        </w:tc>
        <w:tc>
          <w:tcPr>
            <w:tcW w:w="460" w:type="dxa"/>
            <w:vAlign w:val="bottom"/>
          </w:tcPr>
          <w:p>
            <w:pPr>
              <w:jc w:val="right"/>
              <w:spacing w:after="0" w:line="176" w:lineRule="exact"/>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76"/>
        </w:trPr>
        <w:tc>
          <w:tcPr>
            <w:tcW w:w="8540" w:type="dxa"/>
            <w:vAlign w:val="bottom"/>
          </w:tcPr>
          <w:p>
            <w:pPr>
              <w:ind w:left="180"/>
              <w:spacing w:after="0" w:line="176" w:lineRule="exact"/>
              <w:rPr>
                <w:sz w:val="20"/>
                <w:szCs w:val="20"/>
                <w:color w:val="auto"/>
              </w:rPr>
            </w:pPr>
            <w:r>
              <w:rPr>
                <w:rFonts w:ascii="Arial" w:cs="Arial" w:eastAsia="Arial" w:hAnsi="Arial"/>
                <w:sz w:val="16"/>
                <w:szCs w:val="16"/>
                <w:color w:val="auto"/>
              </w:rPr>
              <w:t>Preferred dividends paid</w:t>
            </w:r>
          </w:p>
        </w:tc>
        <w:tc>
          <w:tcPr>
            <w:tcW w:w="980" w:type="dxa"/>
            <w:vAlign w:val="bottom"/>
          </w:tcPr>
          <w:p>
            <w:pPr>
              <w:spacing w:after="0"/>
              <w:rPr>
                <w:sz w:val="15"/>
                <w:szCs w:val="15"/>
                <w:color w:val="auto"/>
              </w:rPr>
            </w:pPr>
          </w:p>
        </w:tc>
        <w:tc>
          <w:tcPr>
            <w:tcW w:w="520" w:type="dxa"/>
            <w:vAlign w:val="bottom"/>
          </w:tcPr>
          <w:p>
            <w:pPr>
              <w:jc w:val="right"/>
              <w:spacing w:after="0" w:line="176" w:lineRule="exact"/>
              <w:rPr>
                <w:sz w:val="20"/>
                <w:szCs w:val="20"/>
                <w:color w:val="auto"/>
              </w:rPr>
            </w:pPr>
            <w:r>
              <w:rPr>
                <w:rFonts w:ascii="Arial" w:cs="Arial" w:eastAsia="Arial" w:hAnsi="Arial"/>
                <w:sz w:val="16"/>
                <w:szCs w:val="16"/>
                <w:color w:val="auto"/>
              </w:rPr>
              <w:t>(2)</w:t>
            </w:r>
          </w:p>
        </w:tc>
        <w:tc>
          <w:tcPr>
            <w:tcW w:w="920" w:type="dxa"/>
            <w:vAlign w:val="bottom"/>
          </w:tcPr>
          <w:p>
            <w:pPr>
              <w:spacing w:after="0"/>
              <w:rPr>
                <w:sz w:val="15"/>
                <w:szCs w:val="15"/>
                <w:color w:val="auto"/>
              </w:rPr>
            </w:pPr>
          </w:p>
        </w:tc>
        <w:tc>
          <w:tcPr>
            <w:tcW w:w="460" w:type="dxa"/>
            <w:vAlign w:val="bottom"/>
          </w:tcPr>
          <w:p>
            <w:pPr>
              <w:jc w:val="right"/>
              <w:spacing w:after="0" w:line="176" w:lineRule="exact"/>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176"/>
        </w:trPr>
        <w:tc>
          <w:tcPr>
            <w:tcW w:w="8540" w:type="dxa"/>
            <w:vAlign w:val="bottom"/>
          </w:tcPr>
          <w:p>
            <w:pPr>
              <w:ind w:left="180"/>
              <w:spacing w:after="0" w:line="176" w:lineRule="exact"/>
              <w:rPr>
                <w:sz w:val="20"/>
                <w:szCs w:val="20"/>
                <w:color w:val="auto"/>
              </w:rPr>
            </w:pPr>
            <w:r>
              <w:rPr>
                <w:rFonts w:ascii="Arial" w:cs="Arial" w:eastAsia="Arial" w:hAnsi="Arial"/>
                <w:sz w:val="16"/>
                <w:szCs w:val="16"/>
                <w:color w:val="auto"/>
              </w:rPr>
              <w:t>Issuances of long-term debt</w:t>
            </w:r>
          </w:p>
        </w:tc>
        <w:tc>
          <w:tcPr>
            <w:tcW w:w="980" w:type="dxa"/>
            <w:vAlign w:val="bottom"/>
          </w:tcPr>
          <w:p>
            <w:pPr>
              <w:spacing w:after="0"/>
              <w:rPr>
                <w:sz w:val="15"/>
                <w:szCs w:val="15"/>
                <w:color w:val="auto"/>
              </w:rPr>
            </w:pPr>
          </w:p>
        </w:tc>
        <w:tc>
          <w:tcPr>
            <w:tcW w:w="520" w:type="dxa"/>
            <w:vAlign w:val="bottom"/>
          </w:tcPr>
          <w:p>
            <w:pPr>
              <w:jc w:val="right"/>
              <w:spacing w:after="0" w:line="176" w:lineRule="exact"/>
              <w:rPr>
                <w:sz w:val="20"/>
                <w:szCs w:val="20"/>
                <w:color w:val="auto"/>
              </w:rPr>
            </w:pPr>
            <w:r>
              <w:rPr>
                <w:rFonts w:ascii="Arial" w:cs="Arial" w:eastAsia="Arial" w:hAnsi="Arial"/>
                <w:sz w:val="16"/>
                <w:szCs w:val="16"/>
                <w:color w:val="auto"/>
              </w:rPr>
              <w:t>―</w:t>
            </w:r>
          </w:p>
        </w:tc>
        <w:tc>
          <w:tcPr>
            <w:tcW w:w="920" w:type="dxa"/>
            <w:vAlign w:val="bottom"/>
          </w:tcPr>
          <w:p>
            <w:pPr>
              <w:spacing w:after="0"/>
              <w:rPr>
                <w:sz w:val="15"/>
                <w:szCs w:val="15"/>
                <w:color w:val="auto"/>
              </w:rPr>
            </w:pPr>
          </w:p>
        </w:tc>
        <w:tc>
          <w:tcPr>
            <w:tcW w:w="460" w:type="dxa"/>
            <w:vAlign w:val="bottom"/>
          </w:tcPr>
          <w:p>
            <w:pPr>
              <w:jc w:val="right"/>
              <w:spacing w:after="0" w:line="176" w:lineRule="exact"/>
              <w:rPr>
                <w:sz w:val="20"/>
                <w:szCs w:val="20"/>
                <w:color w:val="auto"/>
              </w:rPr>
            </w:pPr>
            <w:r>
              <w:rPr>
                <w:rFonts w:ascii="Arial" w:cs="Arial" w:eastAsia="Arial" w:hAnsi="Arial"/>
                <w:sz w:val="16"/>
                <w:szCs w:val="16"/>
                <w:color w:val="auto"/>
              </w:rPr>
              <w:t>250</w:t>
            </w:r>
          </w:p>
        </w:tc>
        <w:tc>
          <w:tcPr>
            <w:tcW w:w="0" w:type="dxa"/>
            <w:vAlign w:val="bottom"/>
          </w:tcPr>
          <w:p>
            <w:pPr>
              <w:spacing w:after="0"/>
              <w:rPr>
                <w:sz w:val="1"/>
                <w:szCs w:val="1"/>
                <w:color w:val="auto"/>
              </w:rPr>
            </w:pPr>
          </w:p>
        </w:tc>
      </w:tr>
      <w:tr>
        <w:trPr>
          <w:trHeight w:val="176"/>
        </w:trPr>
        <w:tc>
          <w:tcPr>
            <w:tcW w:w="8540" w:type="dxa"/>
            <w:vAlign w:val="bottom"/>
          </w:tcPr>
          <w:p>
            <w:pPr>
              <w:ind w:left="180"/>
              <w:spacing w:after="0" w:line="176" w:lineRule="exact"/>
              <w:rPr>
                <w:sz w:val="20"/>
                <w:szCs w:val="20"/>
                <w:color w:val="auto"/>
              </w:rPr>
            </w:pPr>
            <w:r>
              <w:rPr>
                <w:rFonts w:ascii="Arial" w:cs="Arial" w:eastAsia="Arial" w:hAnsi="Arial"/>
                <w:sz w:val="16"/>
                <w:szCs w:val="16"/>
                <w:color w:val="auto"/>
              </w:rPr>
              <w:t>Payments on long-term debt</w:t>
            </w:r>
          </w:p>
        </w:tc>
        <w:tc>
          <w:tcPr>
            <w:tcW w:w="980" w:type="dxa"/>
            <w:vAlign w:val="bottom"/>
          </w:tcPr>
          <w:p>
            <w:pPr>
              <w:spacing w:after="0"/>
              <w:rPr>
                <w:sz w:val="15"/>
                <w:szCs w:val="15"/>
                <w:color w:val="auto"/>
              </w:rPr>
            </w:pPr>
          </w:p>
        </w:tc>
        <w:tc>
          <w:tcPr>
            <w:tcW w:w="520" w:type="dxa"/>
            <w:vAlign w:val="bottom"/>
          </w:tcPr>
          <w:p>
            <w:pPr>
              <w:jc w:val="right"/>
              <w:spacing w:after="0" w:line="176" w:lineRule="exact"/>
              <w:rPr>
                <w:sz w:val="20"/>
                <w:szCs w:val="20"/>
                <w:color w:val="auto"/>
              </w:rPr>
            </w:pPr>
            <w:r>
              <w:rPr>
                <w:rFonts w:ascii="Arial" w:cs="Arial" w:eastAsia="Arial" w:hAnsi="Arial"/>
                <w:sz w:val="16"/>
                <w:szCs w:val="16"/>
                <w:color w:val="auto"/>
              </w:rPr>
              <w:t>(5)</w:t>
            </w:r>
          </w:p>
        </w:tc>
        <w:tc>
          <w:tcPr>
            <w:tcW w:w="920" w:type="dxa"/>
            <w:vAlign w:val="bottom"/>
          </w:tcPr>
          <w:p>
            <w:pPr>
              <w:spacing w:after="0"/>
              <w:rPr>
                <w:sz w:val="15"/>
                <w:szCs w:val="15"/>
                <w:color w:val="auto"/>
              </w:rPr>
            </w:pPr>
          </w:p>
        </w:tc>
        <w:tc>
          <w:tcPr>
            <w:tcW w:w="460" w:type="dxa"/>
            <w:vAlign w:val="bottom"/>
          </w:tcPr>
          <w:p>
            <w:pPr>
              <w:jc w:val="right"/>
              <w:spacing w:after="0" w:line="176" w:lineRule="exact"/>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176"/>
        </w:trPr>
        <w:tc>
          <w:tcPr>
            <w:tcW w:w="8540" w:type="dxa"/>
            <w:vAlign w:val="bottom"/>
          </w:tcPr>
          <w:p>
            <w:pPr>
              <w:ind w:left="180"/>
              <w:spacing w:after="0" w:line="176" w:lineRule="exact"/>
              <w:rPr>
                <w:sz w:val="20"/>
                <w:szCs w:val="20"/>
                <w:color w:val="auto"/>
              </w:rPr>
            </w:pPr>
            <w:r>
              <w:rPr>
                <w:rFonts w:ascii="Arial" w:cs="Arial" w:eastAsia="Arial" w:hAnsi="Arial"/>
                <w:sz w:val="16"/>
                <w:szCs w:val="16"/>
                <w:color w:val="auto"/>
              </w:rPr>
              <w:t>Increase in short-term debt, net</w:t>
            </w:r>
          </w:p>
        </w:tc>
        <w:tc>
          <w:tcPr>
            <w:tcW w:w="980" w:type="dxa"/>
            <w:vAlign w:val="bottom"/>
          </w:tcPr>
          <w:p>
            <w:pPr>
              <w:spacing w:after="0"/>
              <w:rPr>
                <w:sz w:val="15"/>
                <w:szCs w:val="15"/>
                <w:color w:val="auto"/>
              </w:rPr>
            </w:pPr>
          </w:p>
        </w:tc>
        <w:tc>
          <w:tcPr>
            <w:tcW w:w="520" w:type="dxa"/>
            <w:vAlign w:val="bottom"/>
          </w:tcPr>
          <w:p>
            <w:pPr>
              <w:jc w:val="right"/>
              <w:spacing w:after="0" w:line="176" w:lineRule="exact"/>
              <w:rPr>
                <w:sz w:val="20"/>
                <w:szCs w:val="20"/>
                <w:color w:val="auto"/>
              </w:rPr>
            </w:pPr>
            <w:r>
              <w:rPr>
                <w:rFonts w:ascii="Arial" w:cs="Arial" w:eastAsia="Arial" w:hAnsi="Arial"/>
                <w:sz w:val="16"/>
                <w:szCs w:val="16"/>
                <w:color w:val="auto"/>
              </w:rPr>
              <w:t>―</w:t>
            </w:r>
          </w:p>
        </w:tc>
        <w:tc>
          <w:tcPr>
            <w:tcW w:w="920" w:type="dxa"/>
            <w:vAlign w:val="bottom"/>
          </w:tcPr>
          <w:p>
            <w:pPr>
              <w:spacing w:after="0"/>
              <w:rPr>
                <w:sz w:val="15"/>
                <w:szCs w:val="15"/>
                <w:color w:val="auto"/>
              </w:rPr>
            </w:pPr>
          </w:p>
        </w:tc>
        <w:tc>
          <w:tcPr>
            <w:tcW w:w="460" w:type="dxa"/>
            <w:vAlign w:val="bottom"/>
          </w:tcPr>
          <w:p>
            <w:pPr>
              <w:jc w:val="right"/>
              <w:spacing w:after="0" w:line="176" w:lineRule="exact"/>
              <w:rPr>
                <w:sz w:val="20"/>
                <w:szCs w:val="20"/>
                <w:color w:val="auto"/>
              </w:rPr>
            </w:pPr>
            <w:r>
              <w:rPr>
                <w:rFonts w:ascii="Arial" w:cs="Arial" w:eastAsia="Arial" w:hAnsi="Arial"/>
                <w:sz w:val="16"/>
                <w:szCs w:val="16"/>
                <w:color w:val="auto"/>
              </w:rPr>
              <w:t>63</w:t>
            </w:r>
          </w:p>
        </w:tc>
        <w:tc>
          <w:tcPr>
            <w:tcW w:w="0" w:type="dxa"/>
            <w:vAlign w:val="bottom"/>
          </w:tcPr>
          <w:p>
            <w:pPr>
              <w:spacing w:after="0"/>
              <w:rPr>
                <w:sz w:val="1"/>
                <w:szCs w:val="1"/>
                <w:color w:val="auto"/>
              </w:rPr>
            </w:pPr>
          </w:p>
        </w:tc>
      </w:tr>
      <w:tr>
        <w:trPr>
          <w:trHeight w:val="194"/>
        </w:trPr>
        <w:tc>
          <w:tcPr>
            <w:tcW w:w="8540" w:type="dxa"/>
            <w:vAlign w:val="bottom"/>
          </w:tcPr>
          <w:p>
            <w:pPr>
              <w:ind w:left="180"/>
              <w:spacing w:after="0"/>
              <w:rPr>
                <w:sz w:val="20"/>
                <w:szCs w:val="20"/>
                <w:color w:val="auto"/>
              </w:rPr>
            </w:pPr>
            <w:r>
              <w:rPr>
                <w:rFonts w:ascii="Arial" w:cs="Arial" w:eastAsia="Arial" w:hAnsi="Arial"/>
                <w:sz w:val="16"/>
                <w:szCs w:val="16"/>
                <w:color w:val="auto"/>
              </w:rPr>
              <w:t>Other</w:t>
            </w:r>
          </w:p>
        </w:tc>
        <w:tc>
          <w:tcPr>
            <w:tcW w:w="98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183"/>
        </w:trPr>
        <w:tc>
          <w:tcPr>
            <w:tcW w:w="8540" w:type="dxa"/>
            <w:vAlign w:val="bottom"/>
          </w:tcPr>
          <w:p>
            <w:pPr>
              <w:ind w:left="360"/>
              <w:spacing w:after="0" w:line="176" w:lineRule="exact"/>
              <w:rPr>
                <w:sz w:val="20"/>
                <w:szCs w:val="20"/>
                <w:color w:val="auto"/>
              </w:rPr>
            </w:pPr>
            <w:r>
              <w:rPr>
                <w:rFonts w:ascii="Arial" w:cs="Arial" w:eastAsia="Arial" w:hAnsi="Arial"/>
                <w:sz w:val="16"/>
                <w:szCs w:val="16"/>
                <w:color w:val="auto"/>
              </w:rPr>
              <w:t>Net cash provided by financing activities</w:t>
            </w:r>
          </w:p>
        </w:tc>
        <w:tc>
          <w:tcPr>
            <w:tcW w:w="98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6"/>
                <w:szCs w:val="16"/>
                <w:color w:val="auto"/>
              </w:rPr>
              <w:t>193</w:t>
            </w:r>
          </w:p>
        </w:tc>
        <w:tc>
          <w:tcPr>
            <w:tcW w:w="92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6"/>
                <w:szCs w:val="16"/>
                <w:color w:val="auto"/>
              </w:rPr>
              <w:t>303</w:t>
            </w:r>
          </w:p>
        </w:tc>
        <w:tc>
          <w:tcPr>
            <w:tcW w:w="0" w:type="dxa"/>
            <w:vAlign w:val="bottom"/>
          </w:tcPr>
          <w:p>
            <w:pPr>
              <w:spacing w:after="0"/>
              <w:rPr>
                <w:sz w:val="1"/>
                <w:szCs w:val="1"/>
                <w:color w:val="auto"/>
              </w:rPr>
            </w:pPr>
          </w:p>
        </w:tc>
      </w:tr>
      <w:tr>
        <w:trPr>
          <w:trHeight w:val="340"/>
        </w:trPr>
        <w:tc>
          <w:tcPr>
            <w:tcW w:w="8540" w:type="dxa"/>
            <w:vAlign w:val="bottom"/>
          </w:tcPr>
          <w:p>
            <w:pPr>
              <w:spacing w:after="0"/>
              <w:rPr>
                <w:sz w:val="20"/>
                <w:szCs w:val="20"/>
                <w:color w:val="auto"/>
              </w:rPr>
            </w:pPr>
            <w:r>
              <w:rPr>
                <w:rFonts w:ascii="Arial" w:cs="Arial" w:eastAsia="Arial" w:hAnsi="Arial"/>
                <w:sz w:val="16"/>
                <w:szCs w:val="16"/>
                <w:color w:val="auto"/>
              </w:rPr>
              <w:t>(Decrease) increase in cash and cash equivalents</w:t>
            </w:r>
          </w:p>
        </w:tc>
        <w:tc>
          <w:tcPr>
            <w:tcW w:w="98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(42)</w:t>
            </w:r>
          </w:p>
        </w:tc>
        <w:tc>
          <w:tcPr>
            <w:tcW w:w="920" w:type="dxa"/>
            <w:vAlign w:val="bottom"/>
          </w:tcPr>
          <w:p>
            <w:pPr>
              <w:spacing w:after="0"/>
              <w:rPr>
                <w:sz w:val="24"/>
                <w:szCs w:val="24"/>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15</w:t>
            </w:r>
          </w:p>
        </w:tc>
        <w:tc>
          <w:tcPr>
            <w:tcW w:w="0" w:type="dxa"/>
            <w:vAlign w:val="bottom"/>
          </w:tcPr>
          <w:p>
            <w:pPr>
              <w:spacing w:after="0"/>
              <w:rPr>
                <w:sz w:val="1"/>
                <w:szCs w:val="1"/>
                <w:color w:val="auto"/>
              </w:rPr>
            </w:pPr>
          </w:p>
        </w:tc>
      </w:tr>
      <w:tr>
        <w:trPr>
          <w:trHeight w:val="194"/>
        </w:trPr>
        <w:tc>
          <w:tcPr>
            <w:tcW w:w="8540" w:type="dxa"/>
            <w:vAlign w:val="bottom"/>
          </w:tcPr>
          <w:p>
            <w:pPr>
              <w:spacing w:after="0"/>
              <w:rPr>
                <w:sz w:val="20"/>
                <w:szCs w:val="20"/>
                <w:color w:val="auto"/>
              </w:rPr>
            </w:pPr>
            <w:r>
              <w:rPr>
                <w:rFonts w:ascii="Arial" w:cs="Arial" w:eastAsia="Arial" w:hAnsi="Arial"/>
                <w:sz w:val="16"/>
                <w:szCs w:val="16"/>
                <w:color w:val="auto"/>
              </w:rPr>
              <w:t>Cash and cash equivalents, January 1</w:t>
            </w:r>
          </w:p>
        </w:tc>
        <w:tc>
          <w:tcPr>
            <w:tcW w:w="98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127</w:t>
            </w:r>
          </w:p>
        </w:tc>
        <w:tc>
          <w:tcPr>
            <w:tcW w:w="92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w:t>
            </w:r>
          </w:p>
        </w:tc>
        <w:tc>
          <w:tcPr>
            <w:tcW w:w="0" w:type="dxa"/>
            <w:vAlign w:val="bottom"/>
          </w:tcPr>
          <w:p>
            <w:pPr>
              <w:spacing w:after="0"/>
              <w:rPr>
                <w:sz w:val="1"/>
                <w:szCs w:val="1"/>
                <w:color w:val="auto"/>
              </w:rPr>
            </w:pPr>
          </w:p>
        </w:tc>
      </w:tr>
      <w:tr>
        <w:trPr>
          <w:trHeight w:val="183"/>
        </w:trPr>
        <w:tc>
          <w:tcPr>
            <w:tcW w:w="8540" w:type="dxa"/>
            <w:vAlign w:val="bottom"/>
          </w:tcPr>
          <w:p>
            <w:pPr>
              <w:spacing w:after="0" w:line="176" w:lineRule="exact"/>
              <w:rPr>
                <w:sz w:val="20"/>
                <w:szCs w:val="20"/>
                <w:color w:val="auto"/>
              </w:rPr>
            </w:pPr>
            <w:r>
              <w:rPr>
                <w:rFonts w:ascii="Arial" w:cs="Arial" w:eastAsia="Arial" w:hAnsi="Arial"/>
                <w:sz w:val="16"/>
                <w:szCs w:val="16"/>
                <w:color w:val="auto"/>
              </w:rPr>
              <w:t>Cash and cash equivalents, June 30</w:t>
            </w:r>
          </w:p>
        </w:tc>
        <w:tc>
          <w:tcPr>
            <w:tcW w:w="980" w:type="dxa"/>
            <w:vAlign w:val="bottom"/>
            <w:tcBorders>
              <w:bottom w:val="single" w:sz="8" w:color="auto"/>
            </w:tcBorders>
          </w:tcPr>
          <w:p>
            <w:pPr>
              <w:jc w:val="right"/>
              <w:ind w:right="802"/>
              <w:spacing w:after="0" w:line="176" w:lineRule="exact"/>
              <w:rPr>
                <w:sz w:val="20"/>
                <w:szCs w:val="20"/>
                <w:color w:val="auto"/>
              </w:rPr>
            </w:pPr>
            <w:r>
              <w:rPr>
                <w:rFonts w:ascii="Arial" w:cs="Arial" w:eastAsia="Arial" w:hAnsi="Arial"/>
                <w:sz w:val="16"/>
                <w:szCs w:val="16"/>
                <w:color w:val="auto"/>
                <w:w w:val="89"/>
              </w:rPr>
              <w:t>$</w:t>
            </w:r>
          </w:p>
        </w:tc>
        <w:tc>
          <w:tcPr>
            <w:tcW w:w="52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6"/>
                <w:szCs w:val="16"/>
                <w:color w:val="auto"/>
              </w:rPr>
              <w:t>85</w:t>
            </w:r>
          </w:p>
        </w:tc>
        <w:tc>
          <w:tcPr>
            <w:tcW w:w="920" w:type="dxa"/>
            <w:vAlign w:val="bottom"/>
            <w:tcBorders>
              <w:bottom w:val="single" w:sz="8" w:color="auto"/>
            </w:tcBorders>
          </w:tcPr>
          <w:p>
            <w:pPr>
              <w:jc w:val="right"/>
              <w:ind w:right="741"/>
              <w:spacing w:after="0" w:line="176" w:lineRule="exact"/>
              <w:rPr>
                <w:sz w:val="20"/>
                <w:szCs w:val="20"/>
                <w:color w:val="auto"/>
              </w:rPr>
            </w:pPr>
            <w:r>
              <w:rPr>
                <w:rFonts w:ascii="Arial" w:cs="Arial" w:eastAsia="Arial" w:hAnsi="Arial"/>
                <w:sz w:val="16"/>
                <w:szCs w:val="16"/>
                <w:color w:val="auto"/>
                <w:w w:val="89"/>
              </w:rPr>
              <w:t>$</w:t>
            </w:r>
          </w:p>
        </w:tc>
        <w:tc>
          <w:tcPr>
            <w:tcW w:w="46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6"/>
                <w:szCs w:val="16"/>
                <w:color w:val="auto"/>
              </w:rPr>
              <w:t>28</w:t>
            </w:r>
          </w:p>
        </w:tc>
        <w:tc>
          <w:tcPr>
            <w:tcW w:w="0" w:type="dxa"/>
            <w:vAlign w:val="bottom"/>
          </w:tcPr>
          <w:p>
            <w:pPr>
              <w:spacing w:after="0"/>
              <w:rPr>
                <w:sz w:val="1"/>
                <w:szCs w:val="1"/>
                <w:color w:val="auto"/>
              </w:rPr>
            </w:pPr>
          </w:p>
        </w:tc>
      </w:tr>
      <w:tr>
        <w:trPr>
          <w:trHeight w:val="340"/>
        </w:trPr>
        <w:tc>
          <w:tcPr>
            <w:tcW w:w="8540" w:type="dxa"/>
            <w:vAlign w:val="bottom"/>
          </w:tcPr>
          <w:p>
            <w:pPr>
              <w:spacing w:after="0"/>
              <w:rPr>
                <w:sz w:val="20"/>
                <w:szCs w:val="20"/>
                <w:color w:val="auto"/>
              </w:rPr>
            </w:pPr>
            <w:r>
              <w:rPr>
                <w:rFonts w:ascii="Arial" w:cs="Arial" w:eastAsia="Arial" w:hAnsi="Arial"/>
                <w:sz w:val="16"/>
                <w:szCs w:val="16"/>
                <w:color w:val="auto"/>
              </w:rPr>
              <w:t>SUPPLEMENTAL DISCLOSURE OF CASH FLOW INFORMATION</w:t>
            </w:r>
          </w:p>
        </w:tc>
        <w:tc>
          <w:tcPr>
            <w:tcW w:w="9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8540" w:type="dxa"/>
            <w:vAlign w:val="bottom"/>
          </w:tcPr>
          <w:p>
            <w:pPr>
              <w:ind w:left="180"/>
              <w:spacing w:after="0" w:line="176" w:lineRule="exact"/>
              <w:rPr>
                <w:sz w:val="20"/>
                <w:szCs w:val="20"/>
                <w:color w:val="auto"/>
              </w:rPr>
            </w:pPr>
            <w:r>
              <w:rPr>
                <w:rFonts w:ascii="Arial" w:cs="Arial" w:eastAsia="Arial" w:hAnsi="Arial"/>
                <w:sz w:val="16"/>
                <w:szCs w:val="16"/>
                <w:color w:val="auto"/>
              </w:rPr>
              <w:t>Interest payments, net of amounts capitalized</w:t>
            </w:r>
          </w:p>
        </w:tc>
        <w:tc>
          <w:tcPr>
            <w:tcW w:w="980" w:type="dxa"/>
            <w:vAlign w:val="bottom"/>
          </w:tcPr>
          <w:p>
            <w:pPr>
              <w:jc w:val="right"/>
              <w:ind w:right="802"/>
              <w:spacing w:after="0" w:line="176" w:lineRule="exact"/>
              <w:rPr>
                <w:sz w:val="20"/>
                <w:szCs w:val="20"/>
                <w:color w:val="auto"/>
              </w:rPr>
            </w:pPr>
            <w:r>
              <w:rPr>
                <w:rFonts w:ascii="Arial" w:cs="Arial" w:eastAsia="Arial" w:hAnsi="Arial"/>
                <w:sz w:val="16"/>
                <w:szCs w:val="16"/>
                <w:color w:val="auto"/>
                <w:w w:val="89"/>
              </w:rPr>
              <w:t>$</w:t>
            </w:r>
          </w:p>
        </w:tc>
        <w:tc>
          <w:tcPr>
            <w:tcW w:w="520" w:type="dxa"/>
            <w:vAlign w:val="bottom"/>
          </w:tcPr>
          <w:p>
            <w:pPr>
              <w:jc w:val="right"/>
              <w:spacing w:after="0" w:line="176" w:lineRule="exact"/>
              <w:rPr>
                <w:sz w:val="20"/>
                <w:szCs w:val="20"/>
                <w:color w:val="auto"/>
              </w:rPr>
            </w:pPr>
            <w:r>
              <w:rPr>
                <w:rFonts w:ascii="Arial" w:cs="Arial" w:eastAsia="Arial" w:hAnsi="Arial"/>
                <w:sz w:val="16"/>
                <w:szCs w:val="16"/>
                <w:color w:val="auto"/>
              </w:rPr>
              <w:t>64</w:t>
            </w:r>
          </w:p>
        </w:tc>
        <w:tc>
          <w:tcPr>
            <w:tcW w:w="920" w:type="dxa"/>
            <w:vAlign w:val="bottom"/>
          </w:tcPr>
          <w:p>
            <w:pPr>
              <w:jc w:val="right"/>
              <w:ind w:right="741"/>
              <w:spacing w:after="0" w:line="176" w:lineRule="exact"/>
              <w:rPr>
                <w:sz w:val="20"/>
                <w:szCs w:val="20"/>
                <w:color w:val="auto"/>
              </w:rPr>
            </w:pPr>
            <w:r>
              <w:rPr>
                <w:rFonts w:ascii="Arial" w:cs="Arial" w:eastAsia="Arial" w:hAnsi="Arial"/>
                <w:sz w:val="16"/>
                <w:szCs w:val="16"/>
                <w:color w:val="auto"/>
                <w:w w:val="89"/>
              </w:rPr>
              <w:t>$</w:t>
            </w:r>
          </w:p>
        </w:tc>
        <w:tc>
          <w:tcPr>
            <w:tcW w:w="460" w:type="dxa"/>
            <w:vAlign w:val="bottom"/>
          </w:tcPr>
          <w:p>
            <w:pPr>
              <w:jc w:val="right"/>
              <w:spacing w:after="0" w:line="176" w:lineRule="exact"/>
              <w:rPr>
                <w:sz w:val="20"/>
                <w:szCs w:val="20"/>
                <w:color w:val="auto"/>
              </w:rPr>
            </w:pPr>
            <w:r>
              <w:rPr>
                <w:rFonts w:ascii="Arial" w:cs="Arial" w:eastAsia="Arial" w:hAnsi="Arial"/>
                <w:sz w:val="16"/>
                <w:szCs w:val="16"/>
                <w:color w:val="auto"/>
              </w:rPr>
              <w:t>58</w:t>
            </w:r>
          </w:p>
        </w:tc>
        <w:tc>
          <w:tcPr>
            <w:tcW w:w="0" w:type="dxa"/>
            <w:vAlign w:val="bottom"/>
          </w:tcPr>
          <w:p>
            <w:pPr>
              <w:spacing w:after="0"/>
              <w:rPr>
                <w:sz w:val="1"/>
                <w:szCs w:val="1"/>
                <w:color w:val="auto"/>
              </w:rPr>
            </w:pPr>
          </w:p>
        </w:tc>
      </w:tr>
      <w:tr>
        <w:trPr>
          <w:trHeight w:val="195"/>
        </w:trPr>
        <w:tc>
          <w:tcPr>
            <w:tcW w:w="8540" w:type="dxa"/>
            <w:vAlign w:val="bottom"/>
          </w:tcPr>
          <w:p>
            <w:pPr>
              <w:ind w:left="180"/>
              <w:spacing w:after="0"/>
              <w:rPr>
                <w:sz w:val="20"/>
                <w:szCs w:val="20"/>
                <w:color w:val="auto"/>
              </w:rPr>
            </w:pPr>
            <w:r>
              <w:rPr>
                <w:rFonts w:ascii="Arial" w:cs="Arial" w:eastAsia="Arial" w:hAnsi="Arial"/>
                <w:sz w:val="16"/>
                <w:szCs w:val="16"/>
                <w:color w:val="auto"/>
              </w:rPr>
              <w:t>Income tax payments, net</w:t>
            </w:r>
          </w:p>
        </w:tc>
        <w:tc>
          <w:tcPr>
            <w:tcW w:w="98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29</w:t>
            </w:r>
          </w:p>
        </w:tc>
        <w:tc>
          <w:tcPr>
            <w:tcW w:w="92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49</w:t>
            </w:r>
          </w:p>
        </w:tc>
        <w:tc>
          <w:tcPr>
            <w:tcW w:w="0" w:type="dxa"/>
            <w:vAlign w:val="bottom"/>
          </w:tcPr>
          <w:p>
            <w:pPr>
              <w:spacing w:after="0"/>
              <w:rPr>
                <w:sz w:val="1"/>
                <w:szCs w:val="1"/>
                <w:color w:val="auto"/>
              </w:rPr>
            </w:pPr>
          </w:p>
        </w:tc>
      </w:tr>
      <w:tr>
        <w:trPr>
          <w:trHeight w:val="332"/>
        </w:trPr>
        <w:tc>
          <w:tcPr>
            <w:tcW w:w="8540" w:type="dxa"/>
            <w:vAlign w:val="bottom"/>
          </w:tcPr>
          <w:p>
            <w:pPr>
              <w:spacing w:after="0"/>
              <w:rPr>
                <w:sz w:val="20"/>
                <w:szCs w:val="20"/>
                <w:color w:val="auto"/>
              </w:rPr>
            </w:pPr>
            <w:r>
              <w:rPr>
                <w:rFonts w:ascii="Arial" w:cs="Arial" w:eastAsia="Arial" w:hAnsi="Arial"/>
                <w:sz w:val="16"/>
                <w:szCs w:val="16"/>
                <w:color w:val="auto"/>
              </w:rPr>
              <w:t>SUPPLEMENTAL DISCLOSURE OF NONCASH ACTIVITIES</w:t>
            </w:r>
          </w:p>
        </w:tc>
        <w:tc>
          <w:tcPr>
            <w:tcW w:w="9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8540" w:type="dxa"/>
            <w:vAlign w:val="bottom"/>
          </w:tcPr>
          <w:p>
            <w:pPr>
              <w:ind w:left="180"/>
              <w:spacing w:after="0" w:line="176" w:lineRule="exact"/>
              <w:rPr>
                <w:sz w:val="20"/>
                <w:szCs w:val="20"/>
                <w:color w:val="auto"/>
              </w:rPr>
            </w:pPr>
            <w:r>
              <w:rPr>
                <w:rFonts w:ascii="Arial" w:cs="Arial" w:eastAsia="Arial" w:hAnsi="Arial"/>
                <w:sz w:val="16"/>
                <w:szCs w:val="16"/>
                <w:color w:val="auto"/>
              </w:rPr>
              <w:t>Increase in capital lease obligations for investments in property, plant, and equipment</w:t>
            </w:r>
          </w:p>
        </w:tc>
        <w:tc>
          <w:tcPr>
            <w:tcW w:w="980" w:type="dxa"/>
            <w:vAlign w:val="bottom"/>
          </w:tcPr>
          <w:p>
            <w:pPr>
              <w:jc w:val="right"/>
              <w:ind w:right="802"/>
              <w:spacing w:after="0" w:line="176" w:lineRule="exact"/>
              <w:rPr>
                <w:sz w:val="20"/>
                <w:szCs w:val="20"/>
                <w:color w:val="auto"/>
              </w:rPr>
            </w:pPr>
            <w:r>
              <w:rPr>
                <w:rFonts w:ascii="Arial" w:cs="Arial" w:eastAsia="Arial" w:hAnsi="Arial"/>
                <w:sz w:val="16"/>
                <w:szCs w:val="16"/>
                <w:color w:val="auto"/>
                <w:w w:val="89"/>
              </w:rPr>
              <w:t>$</w:t>
            </w:r>
          </w:p>
        </w:tc>
        <w:tc>
          <w:tcPr>
            <w:tcW w:w="1440" w:type="dxa"/>
            <w:vAlign w:val="bottom"/>
            <w:gridSpan w:val="2"/>
          </w:tcPr>
          <w:p>
            <w:pPr>
              <w:jc w:val="right"/>
              <w:ind w:right="741"/>
              <w:spacing w:after="0" w:line="176" w:lineRule="exact"/>
              <w:rPr>
                <w:sz w:val="20"/>
                <w:szCs w:val="20"/>
                <w:color w:val="auto"/>
              </w:rPr>
            </w:pPr>
            <w:r>
              <w:rPr>
                <w:rFonts w:ascii="Arial" w:cs="Arial" w:eastAsia="Arial" w:hAnsi="Arial"/>
                <w:sz w:val="16"/>
                <w:szCs w:val="16"/>
                <w:color w:val="auto"/>
              </w:rPr>
              <w:t>― $</w:t>
            </w:r>
          </w:p>
        </w:tc>
        <w:tc>
          <w:tcPr>
            <w:tcW w:w="460" w:type="dxa"/>
            <w:vAlign w:val="bottom"/>
          </w:tcPr>
          <w:p>
            <w:pPr>
              <w:jc w:val="right"/>
              <w:spacing w:after="0" w:line="176" w:lineRule="exact"/>
              <w:rPr>
                <w:sz w:val="20"/>
                <w:szCs w:val="20"/>
                <w:color w:val="auto"/>
              </w:rPr>
            </w:pPr>
            <w:r>
              <w:rPr>
                <w:rFonts w:ascii="Arial" w:cs="Arial" w:eastAsia="Arial" w:hAnsi="Arial"/>
                <w:sz w:val="16"/>
                <w:szCs w:val="16"/>
                <w:color w:val="auto"/>
              </w:rPr>
              <w:t>183</w:t>
            </w:r>
          </w:p>
        </w:tc>
        <w:tc>
          <w:tcPr>
            <w:tcW w:w="0" w:type="dxa"/>
            <w:vAlign w:val="bottom"/>
          </w:tcPr>
          <w:p>
            <w:pPr>
              <w:spacing w:after="0"/>
              <w:rPr>
                <w:sz w:val="1"/>
                <w:szCs w:val="1"/>
                <w:color w:val="auto"/>
              </w:rPr>
            </w:pPr>
          </w:p>
        </w:tc>
      </w:tr>
      <w:tr>
        <w:trPr>
          <w:trHeight w:val="176"/>
        </w:trPr>
        <w:tc>
          <w:tcPr>
            <w:tcW w:w="8540" w:type="dxa"/>
            <w:vAlign w:val="bottom"/>
          </w:tcPr>
          <w:p>
            <w:pPr>
              <w:ind w:left="180"/>
              <w:spacing w:after="0" w:line="176" w:lineRule="exact"/>
              <w:rPr>
                <w:sz w:val="20"/>
                <w:szCs w:val="20"/>
                <w:color w:val="auto"/>
              </w:rPr>
            </w:pPr>
            <w:r>
              <w:rPr>
                <w:rFonts w:ascii="Arial" w:cs="Arial" w:eastAsia="Arial" w:hAnsi="Arial"/>
                <w:sz w:val="16"/>
                <w:szCs w:val="16"/>
                <w:color w:val="auto"/>
              </w:rPr>
              <w:t>Accrued capital expenditures</w:t>
            </w:r>
          </w:p>
        </w:tc>
        <w:tc>
          <w:tcPr>
            <w:tcW w:w="980" w:type="dxa"/>
            <w:vAlign w:val="bottom"/>
          </w:tcPr>
          <w:p>
            <w:pPr>
              <w:spacing w:after="0"/>
              <w:rPr>
                <w:sz w:val="15"/>
                <w:szCs w:val="15"/>
                <w:color w:val="auto"/>
              </w:rPr>
            </w:pPr>
          </w:p>
        </w:tc>
        <w:tc>
          <w:tcPr>
            <w:tcW w:w="520" w:type="dxa"/>
            <w:vAlign w:val="bottom"/>
          </w:tcPr>
          <w:p>
            <w:pPr>
              <w:jc w:val="right"/>
              <w:spacing w:after="0" w:line="176" w:lineRule="exact"/>
              <w:rPr>
                <w:sz w:val="20"/>
                <w:szCs w:val="20"/>
                <w:color w:val="auto"/>
              </w:rPr>
            </w:pPr>
            <w:r>
              <w:rPr>
                <w:rFonts w:ascii="Arial" w:cs="Arial" w:eastAsia="Arial" w:hAnsi="Arial"/>
                <w:sz w:val="16"/>
                <w:szCs w:val="16"/>
                <w:color w:val="auto"/>
              </w:rPr>
              <w:t>131</w:t>
            </w:r>
          </w:p>
        </w:tc>
        <w:tc>
          <w:tcPr>
            <w:tcW w:w="920" w:type="dxa"/>
            <w:vAlign w:val="bottom"/>
          </w:tcPr>
          <w:p>
            <w:pPr>
              <w:spacing w:after="0"/>
              <w:rPr>
                <w:sz w:val="15"/>
                <w:szCs w:val="15"/>
                <w:color w:val="auto"/>
              </w:rPr>
            </w:pPr>
          </w:p>
        </w:tc>
        <w:tc>
          <w:tcPr>
            <w:tcW w:w="460" w:type="dxa"/>
            <w:vAlign w:val="bottom"/>
          </w:tcPr>
          <w:p>
            <w:pPr>
              <w:jc w:val="right"/>
              <w:spacing w:after="0" w:line="176" w:lineRule="exact"/>
              <w:rPr>
                <w:sz w:val="20"/>
                <w:szCs w:val="20"/>
                <w:color w:val="auto"/>
              </w:rPr>
            </w:pPr>
            <w:r>
              <w:rPr>
                <w:rFonts w:ascii="Arial" w:cs="Arial" w:eastAsia="Arial" w:hAnsi="Arial"/>
                <w:sz w:val="16"/>
                <w:szCs w:val="16"/>
                <w:color w:val="auto"/>
              </w:rPr>
              <w:t>109</w:t>
            </w:r>
          </w:p>
        </w:tc>
        <w:tc>
          <w:tcPr>
            <w:tcW w:w="0" w:type="dxa"/>
            <w:vAlign w:val="bottom"/>
          </w:tcPr>
          <w:p>
            <w:pPr>
              <w:spacing w:after="0"/>
              <w:rPr>
                <w:sz w:val="1"/>
                <w:szCs w:val="1"/>
                <w:color w:val="auto"/>
              </w:rPr>
            </w:pPr>
          </w:p>
        </w:tc>
      </w:tr>
      <w:tr>
        <w:trPr>
          <w:trHeight w:val="195"/>
        </w:trPr>
        <w:tc>
          <w:tcPr>
            <w:tcW w:w="8540" w:type="dxa"/>
            <w:vAlign w:val="bottom"/>
          </w:tcPr>
          <w:p>
            <w:pPr>
              <w:ind w:left="180"/>
              <w:spacing w:after="0"/>
              <w:rPr>
                <w:sz w:val="20"/>
                <w:szCs w:val="20"/>
                <w:color w:val="auto"/>
              </w:rPr>
            </w:pPr>
            <w:r>
              <w:rPr>
                <w:rFonts w:ascii="Arial" w:cs="Arial" w:eastAsia="Arial" w:hAnsi="Arial"/>
                <w:sz w:val="16"/>
                <w:szCs w:val="16"/>
                <w:color w:val="auto"/>
              </w:rPr>
              <w:t>Dividends declared but not paid</w:t>
            </w:r>
          </w:p>
        </w:tc>
        <w:tc>
          <w:tcPr>
            <w:tcW w:w="98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1</w:t>
            </w:r>
          </w:p>
        </w:tc>
        <w:tc>
          <w:tcPr>
            <w:tcW w:w="92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wp:posOffset>
            </wp:positionV>
            <wp:extent cx="72466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rPr>
          <w:sz w:val="20"/>
          <w:szCs w:val="20"/>
          <w:color w:val="auto"/>
        </w:rPr>
      </w:pPr>
      <w:r>
        <w:rPr>
          <w:rFonts w:ascii="Arial" w:cs="Arial" w:eastAsia="Arial" w:hAnsi="Arial"/>
          <w:sz w:val="14"/>
          <w:szCs w:val="14"/>
          <w:i w:val="1"/>
          <w:iCs w:val="1"/>
          <w:color w:val="auto"/>
        </w:rPr>
        <w:t>See Notes to Condensed Consolidated Financial Statements.</w:t>
      </w:r>
    </w:p>
    <w:p>
      <w:pPr>
        <w:sectPr>
          <w:pgSz w:w="11900" w:h="16838" w:orient="portrait"/>
          <w:cols w:equalWidth="0" w:num="1">
            <w:col w:w="11420"/>
          </w:cols>
          <w:pgMar w:left="240" w:top="513" w:right="239" w:bottom="1440" w:gutter="0" w:footer="0" w:header="0"/>
        </w:sectPr>
      </w:pPr>
    </w:p>
    <w:bookmarkStart w:id="15" w:name="page16"/>
    <w:bookmarkEnd w:id="15"/>
    <w:p>
      <w:pPr>
        <w:spacing w:after="0"/>
        <w:rPr>
          <w:sz w:val="20"/>
          <w:szCs w:val="20"/>
          <w:color w:val="auto"/>
        </w:rPr>
      </w:pPr>
      <w:r>
        <w:rPr>
          <w:rFonts w:ascii="Arial" w:cs="Arial" w:eastAsia="Arial" w:hAnsi="Arial"/>
          <w:sz w:val="16"/>
          <w:szCs w:val="16"/>
          <w:b w:val="1"/>
          <w:bCs w:val="1"/>
          <w:color w:val="auto"/>
        </w:rPr>
        <w:t>SOUTHERN CALIFORNIA GAS COMPANY AND SUBSIDIARIES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-104775</wp:posOffset>
            </wp:positionV>
            <wp:extent cx="7246620" cy="3346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334645"/>
                    </a:xfrm>
                    <a:prstGeom prst="rect">
                      <a:avLst/>
                    </a:prstGeom>
                    <a:noFill/>
                  </pic:spPr>
                </pic:pic>
              </a:graphicData>
            </a:graphic>
          </wp:anchor>
        </w:drawing>
      </w:r>
    </w:p>
    <w:p>
      <w:pPr>
        <w:spacing w:after="0"/>
        <w:rPr>
          <w:sz w:val="20"/>
          <w:szCs w:val="20"/>
          <w:color w:val="auto"/>
        </w:rPr>
      </w:pPr>
      <w:r>
        <w:rPr>
          <w:rFonts w:ascii="Arial" w:cs="Arial" w:eastAsia="Arial" w:hAnsi="Arial"/>
          <w:sz w:val="16"/>
          <w:szCs w:val="16"/>
          <w:b w:val="1"/>
          <w:bCs w:val="1"/>
          <w:color w:val="auto"/>
        </w:rPr>
        <w:t>CONDENSED CONSOLIDATED STATEMENTS OF OPERATIONS</w:t>
      </w:r>
    </w:p>
    <w:p>
      <w:pPr>
        <w:spacing w:after="0" w:line="8"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(Dollars in millions)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430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24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color w:val="auto"/>
              </w:rPr>
              <w:t>Three months ended June 30,</w:t>
            </w:r>
          </w:p>
        </w:tc>
        <w:tc>
          <w:tcPr>
            <w:tcW w:w="4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2400" w:type="dxa"/>
            <w:vAlign w:val="bottom"/>
            <w:tcBorders>
              <w:bottom w:val="single" w:sz="8" w:color="auto"/>
            </w:tcBorders>
            <w:gridSpan w:val="3"/>
          </w:tcPr>
          <w:p>
            <w:pPr>
              <w:jc w:val="right"/>
              <w:ind w:right="480"/>
              <w:spacing w:after="0"/>
              <w:rPr>
                <w:sz w:val="20"/>
                <w:szCs w:val="20"/>
                <w:color w:val="auto"/>
              </w:rPr>
            </w:pPr>
            <w:r>
              <w:rPr>
                <w:rFonts w:ascii="Arial" w:cs="Arial" w:eastAsia="Arial" w:hAnsi="Arial"/>
                <w:sz w:val="14"/>
                <w:szCs w:val="14"/>
                <w:color w:val="auto"/>
              </w:rPr>
              <w:t>Six months ended June 30,</w:t>
            </w:r>
          </w:p>
        </w:tc>
      </w:tr>
      <w:tr>
        <w:trPr>
          <w:trHeight w:val="183"/>
        </w:trPr>
        <w:tc>
          <w:tcPr>
            <w:tcW w:w="4300" w:type="dxa"/>
            <w:vAlign w:val="bottom"/>
            <w:tcBorders>
              <w:bottom w:val="single" w:sz="8" w:color="auto"/>
            </w:tcBorders>
          </w:tcPr>
          <w:p>
            <w:pPr>
              <w:spacing w:after="0"/>
              <w:rPr>
                <w:sz w:val="15"/>
                <w:szCs w:val="15"/>
                <w:color w:val="auto"/>
              </w:rPr>
            </w:pPr>
          </w:p>
        </w:tc>
        <w:tc>
          <w:tcPr>
            <w:tcW w:w="2400" w:type="dxa"/>
            <w:vAlign w:val="bottom"/>
            <w:tcBorders>
              <w:bottom w:val="single" w:sz="8" w:color="auto"/>
            </w:tcBorders>
            <w:gridSpan w:val="2"/>
          </w:tcPr>
          <w:p>
            <w:pPr>
              <w:jc w:val="right"/>
              <w:ind w:right="46"/>
              <w:spacing w:after="0"/>
              <w:rPr>
                <w:sz w:val="20"/>
                <w:szCs w:val="20"/>
                <w:color w:val="auto"/>
              </w:rPr>
            </w:pPr>
            <w:r>
              <w:rPr>
                <w:rFonts w:ascii="Arial" w:cs="Arial" w:eastAsia="Arial" w:hAnsi="Arial"/>
                <w:sz w:val="14"/>
                <w:szCs w:val="14"/>
                <w:color w:val="auto"/>
              </w:rPr>
              <w:t>2011</w:t>
            </w:r>
          </w:p>
        </w:tc>
        <w:tc>
          <w:tcPr>
            <w:tcW w:w="44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105"/>
              <w:spacing w:after="0"/>
              <w:rPr>
                <w:sz w:val="20"/>
                <w:szCs w:val="20"/>
                <w:color w:val="auto"/>
              </w:rPr>
            </w:pPr>
            <w:r>
              <w:rPr>
                <w:rFonts w:ascii="Arial" w:cs="Arial" w:eastAsia="Arial" w:hAnsi="Arial"/>
                <w:sz w:val="14"/>
                <w:szCs w:val="14"/>
                <w:color w:val="auto"/>
              </w:rPr>
              <w:t>2010</w:t>
            </w:r>
          </w:p>
        </w:tc>
        <w:tc>
          <w:tcPr>
            <w:tcW w:w="40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500"/>
              <w:spacing w:after="0"/>
              <w:rPr>
                <w:sz w:val="20"/>
                <w:szCs w:val="20"/>
                <w:color w:val="auto"/>
              </w:rPr>
            </w:pPr>
            <w:r>
              <w:rPr>
                <w:rFonts w:ascii="Arial" w:cs="Arial" w:eastAsia="Arial" w:hAnsi="Arial"/>
                <w:sz w:val="14"/>
                <w:szCs w:val="14"/>
                <w:color w:val="auto"/>
              </w:rPr>
              <w:t>2011</w:t>
            </w:r>
          </w:p>
        </w:tc>
        <w:tc>
          <w:tcPr>
            <w:tcW w:w="32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500"/>
              <w:spacing w:after="0"/>
              <w:rPr>
                <w:sz w:val="20"/>
                <w:szCs w:val="20"/>
                <w:color w:val="auto"/>
              </w:rPr>
            </w:pPr>
            <w:r>
              <w:rPr>
                <w:rFonts w:ascii="Arial" w:cs="Arial" w:eastAsia="Arial" w:hAnsi="Arial"/>
                <w:sz w:val="14"/>
                <w:szCs w:val="14"/>
                <w:color w:val="auto"/>
              </w:rPr>
              <w:t>2010</w:t>
            </w:r>
          </w:p>
        </w:tc>
      </w:tr>
      <w:tr>
        <w:trPr>
          <w:trHeight w:val="191"/>
        </w:trPr>
        <w:tc>
          <w:tcPr>
            <w:tcW w:w="430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860" w:type="dxa"/>
            <w:vAlign w:val="bottom"/>
            <w:gridSpan w:val="2"/>
          </w:tcPr>
          <w:p>
            <w:pPr>
              <w:jc w:val="right"/>
              <w:ind w:right="4"/>
              <w:spacing w:after="0"/>
              <w:rPr>
                <w:sz w:val="20"/>
                <w:szCs w:val="20"/>
                <w:color w:val="auto"/>
              </w:rPr>
            </w:pPr>
            <w:r>
              <w:rPr>
                <w:rFonts w:ascii="Arial" w:cs="Arial" w:eastAsia="Arial" w:hAnsi="Arial"/>
                <w:sz w:val="14"/>
                <w:szCs w:val="14"/>
                <w:color w:val="auto"/>
              </w:rPr>
              <w:t>(unaudited)</w:t>
            </w:r>
          </w:p>
        </w:tc>
        <w:tc>
          <w:tcPr>
            <w:tcW w:w="9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343"/>
        </w:trPr>
        <w:tc>
          <w:tcPr>
            <w:tcW w:w="4300" w:type="dxa"/>
            <w:vAlign w:val="bottom"/>
          </w:tcPr>
          <w:p>
            <w:pPr>
              <w:spacing w:after="0"/>
              <w:rPr>
                <w:sz w:val="20"/>
                <w:szCs w:val="20"/>
                <w:color w:val="auto"/>
              </w:rPr>
            </w:pPr>
            <w:r>
              <w:rPr>
                <w:rFonts w:ascii="Arial" w:cs="Arial" w:eastAsia="Arial" w:hAnsi="Arial"/>
                <w:sz w:val="16"/>
                <w:szCs w:val="16"/>
                <w:color w:val="auto"/>
              </w:rPr>
              <w:t>Operating revenues</w:t>
            </w:r>
          </w:p>
        </w:tc>
        <w:tc>
          <w:tcPr>
            <w:tcW w:w="2400" w:type="dxa"/>
            <w:vAlign w:val="bottom"/>
            <w:gridSpan w:val="2"/>
          </w:tcPr>
          <w:p>
            <w:pPr>
              <w:jc w:val="right"/>
              <w:ind w:right="806"/>
              <w:spacing w:after="0"/>
              <w:rPr>
                <w:sz w:val="20"/>
                <w:szCs w:val="20"/>
                <w:color w:val="auto"/>
              </w:rPr>
            </w:pPr>
            <w:r>
              <w:rPr>
                <w:rFonts w:ascii="Arial" w:cs="Arial" w:eastAsia="Arial" w:hAnsi="Arial"/>
                <w:sz w:val="16"/>
                <w:szCs w:val="16"/>
                <w:color w:val="auto"/>
              </w:rPr>
              <w:t>$</w:t>
            </w:r>
          </w:p>
        </w:tc>
        <w:tc>
          <w:tcPr>
            <w:tcW w:w="440" w:type="dxa"/>
            <w:vAlign w:val="bottom"/>
          </w:tcPr>
          <w:p>
            <w:pPr>
              <w:jc w:val="right"/>
              <w:spacing w:after="0"/>
              <w:rPr>
                <w:sz w:val="20"/>
                <w:szCs w:val="20"/>
                <w:color w:val="auto"/>
              </w:rPr>
            </w:pPr>
            <w:r>
              <w:rPr>
                <w:rFonts w:ascii="Arial" w:cs="Arial" w:eastAsia="Arial" w:hAnsi="Arial"/>
                <w:sz w:val="16"/>
                <w:szCs w:val="16"/>
                <w:color w:val="auto"/>
              </w:rPr>
              <w:t>876</w:t>
            </w:r>
          </w:p>
        </w:tc>
        <w:tc>
          <w:tcPr>
            <w:tcW w:w="1020" w:type="dxa"/>
            <w:vAlign w:val="bottom"/>
          </w:tcPr>
          <w:p>
            <w:pPr>
              <w:jc w:val="right"/>
              <w:ind w:right="865"/>
              <w:spacing w:after="0"/>
              <w:rPr>
                <w:sz w:val="20"/>
                <w:szCs w:val="20"/>
                <w:color w:val="auto"/>
              </w:rPr>
            </w:pPr>
            <w:r>
              <w:rPr>
                <w:rFonts w:ascii="Arial" w:cs="Arial" w:eastAsia="Arial" w:hAnsi="Arial"/>
                <w:sz w:val="15"/>
                <w:szCs w:val="15"/>
                <w:color w:val="auto"/>
                <w:w w:val="71"/>
              </w:rPr>
              <w:t>$</w:t>
            </w:r>
          </w:p>
        </w:tc>
        <w:tc>
          <w:tcPr>
            <w:tcW w:w="400" w:type="dxa"/>
            <w:vAlign w:val="bottom"/>
          </w:tcPr>
          <w:p>
            <w:pPr>
              <w:jc w:val="right"/>
              <w:spacing w:after="0"/>
              <w:rPr>
                <w:sz w:val="20"/>
                <w:szCs w:val="20"/>
                <w:color w:val="auto"/>
              </w:rPr>
            </w:pPr>
            <w:r>
              <w:rPr>
                <w:rFonts w:ascii="Arial" w:cs="Arial" w:eastAsia="Arial" w:hAnsi="Arial"/>
                <w:sz w:val="16"/>
                <w:szCs w:val="16"/>
                <w:color w:val="auto"/>
              </w:rPr>
              <w:t>834</w:t>
            </w:r>
          </w:p>
        </w:tc>
        <w:tc>
          <w:tcPr>
            <w:tcW w:w="460" w:type="dxa"/>
            <w:vAlign w:val="bottom"/>
          </w:tcPr>
          <w:p>
            <w:pPr>
              <w:jc w:val="right"/>
              <w:ind w:right="304"/>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1,932</w:t>
            </w:r>
          </w:p>
        </w:tc>
        <w:tc>
          <w:tcPr>
            <w:tcW w:w="320" w:type="dxa"/>
            <w:vAlign w:val="bottom"/>
          </w:tcPr>
          <w:p>
            <w:pPr>
              <w:jc w:val="right"/>
              <w:ind w:right="164"/>
              <w:spacing w:after="0"/>
              <w:rPr>
                <w:sz w:val="20"/>
                <w:szCs w:val="20"/>
                <w:color w:val="auto"/>
              </w:rPr>
            </w:pPr>
            <w:r>
              <w:rPr>
                <w:rFonts w:ascii="Arial" w:cs="Arial" w:eastAsia="Arial" w:hAnsi="Arial"/>
                <w:sz w:val="15"/>
                <w:szCs w:val="15"/>
                <w:color w:val="auto"/>
                <w:w w:val="71"/>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2,016</w:t>
            </w:r>
          </w:p>
        </w:tc>
      </w:tr>
      <w:tr>
        <w:trPr>
          <w:trHeight w:val="164"/>
        </w:trPr>
        <w:tc>
          <w:tcPr>
            <w:tcW w:w="4300" w:type="dxa"/>
            <w:vAlign w:val="bottom"/>
          </w:tcPr>
          <w:p>
            <w:pPr>
              <w:spacing w:after="0" w:line="164" w:lineRule="exact"/>
              <w:rPr>
                <w:sz w:val="20"/>
                <w:szCs w:val="20"/>
                <w:color w:val="auto"/>
              </w:rPr>
            </w:pPr>
            <w:r>
              <w:rPr>
                <w:rFonts w:ascii="Arial" w:cs="Arial" w:eastAsia="Arial" w:hAnsi="Arial"/>
                <w:sz w:val="16"/>
                <w:szCs w:val="16"/>
                <w:color w:val="auto"/>
              </w:rPr>
              <w:t>Operating expenses</w:t>
            </w:r>
          </w:p>
        </w:tc>
        <w:tc>
          <w:tcPr>
            <w:tcW w:w="1440" w:type="dxa"/>
            <w:vAlign w:val="bottom"/>
          </w:tcPr>
          <w:p>
            <w:pPr>
              <w:spacing w:after="0"/>
              <w:rPr>
                <w:sz w:val="14"/>
                <w:szCs w:val="14"/>
                <w:color w:val="auto"/>
              </w:rPr>
            </w:pPr>
          </w:p>
        </w:tc>
        <w:tc>
          <w:tcPr>
            <w:tcW w:w="960" w:type="dxa"/>
            <w:vAlign w:val="bottom"/>
            <w:tcBorders>
              <w:top w:val="single" w:sz="8" w:color="auto"/>
            </w:tcBorders>
          </w:tcPr>
          <w:p>
            <w:pPr>
              <w:spacing w:after="0"/>
              <w:rPr>
                <w:sz w:val="14"/>
                <w:szCs w:val="14"/>
                <w:color w:val="auto"/>
              </w:rPr>
            </w:pPr>
          </w:p>
        </w:tc>
        <w:tc>
          <w:tcPr>
            <w:tcW w:w="440" w:type="dxa"/>
            <w:vAlign w:val="bottom"/>
            <w:tcBorders>
              <w:top w:val="single" w:sz="8" w:color="auto"/>
            </w:tcBorders>
          </w:tcPr>
          <w:p>
            <w:pPr>
              <w:spacing w:after="0"/>
              <w:rPr>
                <w:sz w:val="14"/>
                <w:szCs w:val="14"/>
                <w:color w:val="auto"/>
              </w:rPr>
            </w:pPr>
          </w:p>
        </w:tc>
        <w:tc>
          <w:tcPr>
            <w:tcW w:w="1020" w:type="dxa"/>
            <w:vAlign w:val="bottom"/>
            <w:tcBorders>
              <w:top w:val="single" w:sz="8" w:color="auto"/>
            </w:tcBorders>
          </w:tcPr>
          <w:p>
            <w:pPr>
              <w:spacing w:after="0"/>
              <w:rPr>
                <w:sz w:val="14"/>
                <w:szCs w:val="14"/>
                <w:color w:val="auto"/>
              </w:rPr>
            </w:pPr>
          </w:p>
        </w:tc>
        <w:tc>
          <w:tcPr>
            <w:tcW w:w="400" w:type="dxa"/>
            <w:vAlign w:val="bottom"/>
            <w:tcBorders>
              <w:top w:val="single" w:sz="8" w:color="auto"/>
            </w:tcBorders>
          </w:tcPr>
          <w:p>
            <w:pPr>
              <w:spacing w:after="0"/>
              <w:rPr>
                <w:sz w:val="14"/>
                <w:szCs w:val="14"/>
                <w:color w:val="auto"/>
              </w:rPr>
            </w:pPr>
          </w:p>
        </w:tc>
        <w:tc>
          <w:tcPr>
            <w:tcW w:w="460" w:type="dxa"/>
            <w:vAlign w:val="bottom"/>
            <w:tcBorders>
              <w:top w:val="single" w:sz="8" w:color="auto"/>
            </w:tcBorders>
          </w:tcPr>
          <w:p>
            <w:pPr>
              <w:spacing w:after="0"/>
              <w:rPr>
                <w:sz w:val="14"/>
                <w:szCs w:val="14"/>
                <w:color w:val="auto"/>
              </w:rPr>
            </w:pPr>
          </w:p>
        </w:tc>
        <w:tc>
          <w:tcPr>
            <w:tcW w:w="960" w:type="dxa"/>
            <w:vAlign w:val="bottom"/>
            <w:tcBorders>
              <w:top w:val="single" w:sz="8" w:color="auto"/>
            </w:tcBorders>
          </w:tcPr>
          <w:p>
            <w:pPr>
              <w:spacing w:after="0"/>
              <w:rPr>
                <w:sz w:val="14"/>
                <w:szCs w:val="14"/>
                <w:color w:val="auto"/>
              </w:rPr>
            </w:pPr>
          </w:p>
        </w:tc>
        <w:tc>
          <w:tcPr>
            <w:tcW w:w="320" w:type="dxa"/>
            <w:vAlign w:val="bottom"/>
            <w:tcBorders>
              <w:top w:val="single" w:sz="8" w:color="auto"/>
            </w:tcBorders>
          </w:tcPr>
          <w:p>
            <w:pPr>
              <w:spacing w:after="0"/>
              <w:rPr>
                <w:sz w:val="14"/>
                <w:szCs w:val="14"/>
                <w:color w:val="auto"/>
              </w:rPr>
            </w:pPr>
          </w:p>
        </w:tc>
        <w:tc>
          <w:tcPr>
            <w:tcW w:w="1120" w:type="dxa"/>
            <w:vAlign w:val="bottom"/>
            <w:tcBorders>
              <w:top w:val="single" w:sz="8" w:color="auto"/>
            </w:tcBorders>
          </w:tcPr>
          <w:p>
            <w:pPr>
              <w:spacing w:after="0"/>
              <w:rPr>
                <w:sz w:val="14"/>
                <w:szCs w:val="14"/>
                <w:color w:val="auto"/>
              </w:rPr>
            </w:pPr>
          </w:p>
        </w:tc>
      </w:tr>
      <w:tr>
        <w:trPr>
          <w:trHeight w:val="176"/>
        </w:trPr>
        <w:tc>
          <w:tcPr>
            <w:tcW w:w="4300" w:type="dxa"/>
            <w:vAlign w:val="bottom"/>
          </w:tcPr>
          <w:p>
            <w:pPr>
              <w:ind w:left="180"/>
              <w:spacing w:after="0" w:line="176" w:lineRule="exact"/>
              <w:rPr>
                <w:sz w:val="20"/>
                <w:szCs w:val="20"/>
                <w:color w:val="auto"/>
              </w:rPr>
            </w:pPr>
            <w:r>
              <w:rPr>
                <w:rFonts w:ascii="Arial" w:cs="Arial" w:eastAsia="Arial" w:hAnsi="Arial"/>
                <w:sz w:val="16"/>
                <w:szCs w:val="16"/>
                <w:color w:val="auto"/>
              </w:rPr>
              <w:t>Cost of natural gas</w:t>
            </w:r>
          </w:p>
        </w:tc>
        <w:tc>
          <w:tcPr>
            <w:tcW w:w="14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440" w:type="dxa"/>
            <w:vAlign w:val="bottom"/>
          </w:tcPr>
          <w:p>
            <w:pPr>
              <w:jc w:val="right"/>
              <w:spacing w:after="0" w:line="176" w:lineRule="exact"/>
              <w:rPr>
                <w:sz w:val="20"/>
                <w:szCs w:val="20"/>
                <w:color w:val="auto"/>
              </w:rPr>
            </w:pPr>
            <w:r>
              <w:rPr>
                <w:rFonts w:ascii="Arial" w:cs="Arial" w:eastAsia="Arial" w:hAnsi="Arial"/>
                <w:sz w:val="16"/>
                <w:szCs w:val="16"/>
                <w:color w:val="auto"/>
              </w:rPr>
              <w:t>335</w:t>
            </w:r>
          </w:p>
        </w:tc>
        <w:tc>
          <w:tcPr>
            <w:tcW w:w="1020" w:type="dxa"/>
            <w:vAlign w:val="bottom"/>
          </w:tcPr>
          <w:p>
            <w:pPr>
              <w:spacing w:after="0"/>
              <w:rPr>
                <w:sz w:val="15"/>
                <w:szCs w:val="15"/>
                <w:color w:val="auto"/>
              </w:rPr>
            </w:pPr>
          </w:p>
        </w:tc>
        <w:tc>
          <w:tcPr>
            <w:tcW w:w="400" w:type="dxa"/>
            <w:vAlign w:val="bottom"/>
          </w:tcPr>
          <w:p>
            <w:pPr>
              <w:jc w:val="right"/>
              <w:spacing w:after="0" w:line="176" w:lineRule="exact"/>
              <w:rPr>
                <w:sz w:val="20"/>
                <w:szCs w:val="20"/>
                <w:color w:val="auto"/>
              </w:rPr>
            </w:pPr>
            <w:r>
              <w:rPr>
                <w:rFonts w:ascii="Arial" w:cs="Arial" w:eastAsia="Arial" w:hAnsi="Arial"/>
                <w:sz w:val="16"/>
                <w:szCs w:val="16"/>
                <w:color w:val="auto"/>
              </w:rPr>
              <w:t>318</w:t>
            </w:r>
          </w:p>
        </w:tc>
        <w:tc>
          <w:tcPr>
            <w:tcW w:w="460" w:type="dxa"/>
            <w:vAlign w:val="bottom"/>
          </w:tcPr>
          <w:p>
            <w:pPr>
              <w:spacing w:after="0"/>
              <w:rPr>
                <w:sz w:val="15"/>
                <w:szCs w:val="15"/>
                <w:color w:val="auto"/>
              </w:rPr>
            </w:pPr>
          </w:p>
        </w:tc>
        <w:tc>
          <w:tcPr>
            <w:tcW w:w="960" w:type="dxa"/>
            <w:vAlign w:val="bottom"/>
          </w:tcPr>
          <w:p>
            <w:pPr>
              <w:jc w:val="right"/>
              <w:spacing w:after="0" w:line="176" w:lineRule="exact"/>
              <w:rPr>
                <w:sz w:val="20"/>
                <w:szCs w:val="20"/>
                <w:color w:val="auto"/>
              </w:rPr>
            </w:pPr>
            <w:r>
              <w:rPr>
                <w:rFonts w:ascii="Arial" w:cs="Arial" w:eastAsia="Arial" w:hAnsi="Arial"/>
                <w:sz w:val="16"/>
                <w:szCs w:val="16"/>
                <w:color w:val="auto"/>
              </w:rPr>
              <w:t>866</w:t>
            </w:r>
          </w:p>
        </w:tc>
        <w:tc>
          <w:tcPr>
            <w:tcW w:w="320" w:type="dxa"/>
            <w:vAlign w:val="bottom"/>
          </w:tcPr>
          <w:p>
            <w:pPr>
              <w:spacing w:after="0"/>
              <w:rPr>
                <w:sz w:val="15"/>
                <w:szCs w:val="15"/>
                <w:color w:val="auto"/>
              </w:rPr>
            </w:pPr>
          </w:p>
        </w:tc>
        <w:tc>
          <w:tcPr>
            <w:tcW w:w="1120" w:type="dxa"/>
            <w:vAlign w:val="bottom"/>
          </w:tcPr>
          <w:p>
            <w:pPr>
              <w:jc w:val="right"/>
              <w:spacing w:after="0" w:line="176" w:lineRule="exact"/>
              <w:rPr>
                <w:sz w:val="20"/>
                <w:szCs w:val="20"/>
                <w:color w:val="auto"/>
              </w:rPr>
            </w:pPr>
            <w:r>
              <w:rPr>
                <w:rFonts w:ascii="Arial" w:cs="Arial" w:eastAsia="Arial" w:hAnsi="Arial"/>
                <w:sz w:val="16"/>
                <w:szCs w:val="16"/>
                <w:color w:val="auto"/>
              </w:rPr>
              <w:t>992</w:t>
            </w:r>
          </w:p>
        </w:tc>
      </w:tr>
      <w:tr>
        <w:trPr>
          <w:trHeight w:val="176"/>
        </w:trPr>
        <w:tc>
          <w:tcPr>
            <w:tcW w:w="4300" w:type="dxa"/>
            <w:vAlign w:val="bottom"/>
          </w:tcPr>
          <w:p>
            <w:pPr>
              <w:ind w:left="180"/>
              <w:spacing w:after="0" w:line="176" w:lineRule="exact"/>
              <w:rPr>
                <w:sz w:val="20"/>
                <w:szCs w:val="20"/>
                <w:color w:val="auto"/>
              </w:rPr>
            </w:pPr>
            <w:r>
              <w:rPr>
                <w:rFonts w:ascii="Arial" w:cs="Arial" w:eastAsia="Arial" w:hAnsi="Arial"/>
                <w:sz w:val="16"/>
                <w:szCs w:val="16"/>
                <w:color w:val="auto"/>
              </w:rPr>
              <w:t>Operation and maintenance</w:t>
            </w:r>
          </w:p>
        </w:tc>
        <w:tc>
          <w:tcPr>
            <w:tcW w:w="14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440" w:type="dxa"/>
            <w:vAlign w:val="bottom"/>
          </w:tcPr>
          <w:p>
            <w:pPr>
              <w:jc w:val="right"/>
              <w:spacing w:after="0" w:line="176" w:lineRule="exact"/>
              <w:rPr>
                <w:sz w:val="20"/>
                <w:szCs w:val="20"/>
                <w:color w:val="auto"/>
              </w:rPr>
            </w:pPr>
            <w:r>
              <w:rPr>
                <w:rFonts w:ascii="Arial" w:cs="Arial" w:eastAsia="Arial" w:hAnsi="Arial"/>
                <w:sz w:val="16"/>
                <w:szCs w:val="16"/>
                <w:color w:val="auto"/>
              </w:rPr>
              <w:t>327</w:t>
            </w:r>
          </w:p>
        </w:tc>
        <w:tc>
          <w:tcPr>
            <w:tcW w:w="1020" w:type="dxa"/>
            <w:vAlign w:val="bottom"/>
          </w:tcPr>
          <w:p>
            <w:pPr>
              <w:spacing w:after="0"/>
              <w:rPr>
                <w:sz w:val="15"/>
                <w:szCs w:val="15"/>
                <w:color w:val="auto"/>
              </w:rPr>
            </w:pPr>
          </w:p>
        </w:tc>
        <w:tc>
          <w:tcPr>
            <w:tcW w:w="400" w:type="dxa"/>
            <w:vAlign w:val="bottom"/>
          </w:tcPr>
          <w:p>
            <w:pPr>
              <w:jc w:val="right"/>
              <w:spacing w:after="0" w:line="176" w:lineRule="exact"/>
              <w:rPr>
                <w:sz w:val="20"/>
                <w:szCs w:val="20"/>
                <w:color w:val="auto"/>
              </w:rPr>
            </w:pPr>
            <w:r>
              <w:rPr>
                <w:rFonts w:ascii="Arial" w:cs="Arial" w:eastAsia="Arial" w:hAnsi="Arial"/>
                <w:sz w:val="16"/>
                <w:szCs w:val="16"/>
                <w:color w:val="auto"/>
              </w:rPr>
              <w:t>293</w:t>
            </w:r>
          </w:p>
        </w:tc>
        <w:tc>
          <w:tcPr>
            <w:tcW w:w="460" w:type="dxa"/>
            <w:vAlign w:val="bottom"/>
          </w:tcPr>
          <w:p>
            <w:pPr>
              <w:spacing w:after="0"/>
              <w:rPr>
                <w:sz w:val="15"/>
                <w:szCs w:val="15"/>
                <w:color w:val="auto"/>
              </w:rPr>
            </w:pPr>
          </w:p>
        </w:tc>
        <w:tc>
          <w:tcPr>
            <w:tcW w:w="960" w:type="dxa"/>
            <w:vAlign w:val="bottom"/>
          </w:tcPr>
          <w:p>
            <w:pPr>
              <w:jc w:val="right"/>
              <w:spacing w:after="0" w:line="176" w:lineRule="exact"/>
              <w:rPr>
                <w:sz w:val="20"/>
                <w:szCs w:val="20"/>
                <w:color w:val="auto"/>
              </w:rPr>
            </w:pPr>
            <w:r>
              <w:rPr>
                <w:rFonts w:ascii="Arial" w:cs="Arial" w:eastAsia="Arial" w:hAnsi="Arial"/>
                <w:sz w:val="16"/>
                <w:szCs w:val="16"/>
                <w:color w:val="auto"/>
              </w:rPr>
              <w:t>615</w:t>
            </w:r>
          </w:p>
        </w:tc>
        <w:tc>
          <w:tcPr>
            <w:tcW w:w="320" w:type="dxa"/>
            <w:vAlign w:val="bottom"/>
          </w:tcPr>
          <w:p>
            <w:pPr>
              <w:spacing w:after="0"/>
              <w:rPr>
                <w:sz w:val="15"/>
                <w:szCs w:val="15"/>
                <w:color w:val="auto"/>
              </w:rPr>
            </w:pPr>
          </w:p>
        </w:tc>
        <w:tc>
          <w:tcPr>
            <w:tcW w:w="1120" w:type="dxa"/>
            <w:vAlign w:val="bottom"/>
          </w:tcPr>
          <w:p>
            <w:pPr>
              <w:jc w:val="right"/>
              <w:spacing w:after="0" w:line="176" w:lineRule="exact"/>
              <w:rPr>
                <w:sz w:val="20"/>
                <w:szCs w:val="20"/>
                <w:color w:val="auto"/>
              </w:rPr>
            </w:pPr>
            <w:r>
              <w:rPr>
                <w:rFonts w:ascii="Arial" w:cs="Arial" w:eastAsia="Arial" w:hAnsi="Arial"/>
                <w:sz w:val="16"/>
                <w:szCs w:val="16"/>
                <w:color w:val="auto"/>
              </w:rPr>
              <w:t>555</w:t>
            </w:r>
          </w:p>
        </w:tc>
      </w:tr>
      <w:tr>
        <w:trPr>
          <w:trHeight w:val="176"/>
        </w:trPr>
        <w:tc>
          <w:tcPr>
            <w:tcW w:w="4300" w:type="dxa"/>
            <w:vAlign w:val="bottom"/>
          </w:tcPr>
          <w:p>
            <w:pPr>
              <w:ind w:left="180"/>
              <w:spacing w:after="0" w:line="176" w:lineRule="exact"/>
              <w:rPr>
                <w:sz w:val="20"/>
                <w:szCs w:val="20"/>
                <w:color w:val="auto"/>
              </w:rPr>
            </w:pPr>
            <w:r>
              <w:rPr>
                <w:rFonts w:ascii="Arial" w:cs="Arial" w:eastAsia="Arial" w:hAnsi="Arial"/>
                <w:sz w:val="16"/>
                <w:szCs w:val="16"/>
                <w:color w:val="auto"/>
              </w:rPr>
              <w:t>Depreciation</w:t>
            </w:r>
          </w:p>
        </w:tc>
        <w:tc>
          <w:tcPr>
            <w:tcW w:w="14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440" w:type="dxa"/>
            <w:vAlign w:val="bottom"/>
          </w:tcPr>
          <w:p>
            <w:pPr>
              <w:jc w:val="right"/>
              <w:spacing w:after="0" w:line="176" w:lineRule="exact"/>
              <w:rPr>
                <w:sz w:val="20"/>
                <w:szCs w:val="20"/>
                <w:color w:val="auto"/>
              </w:rPr>
            </w:pPr>
            <w:r>
              <w:rPr>
                <w:rFonts w:ascii="Arial" w:cs="Arial" w:eastAsia="Arial" w:hAnsi="Arial"/>
                <w:sz w:val="16"/>
                <w:szCs w:val="16"/>
                <w:color w:val="auto"/>
              </w:rPr>
              <w:t>82</w:t>
            </w:r>
          </w:p>
        </w:tc>
        <w:tc>
          <w:tcPr>
            <w:tcW w:w="1020" w:type="dxa"/>
            <w:vAlign w:val="bottom"/>
          </w:tcPr>
          <w:p>
            <w:pPr>
              <w:spacing w:after="0"/>
              <w:rPr>
                <w:sz w:val="15"/>
                <w:szCs w:val="15"/>
                <w:color w:val="auto"/>
              </w:rPr>
            </w:pPr>
          </w:p>
        </w:tc>
        <w:tc>
          <w:tcPr>
            <w:tcW w:w="400" w:type="dxa"/>
            <w:vAlign w:val="bottom"/>
          </w:tcPr>
          <w:p>
            <w:pPr>
              <w:jc w:val="right"/>
              <w:spacing w:after="0" w:line="176" w:lineRule="exact"/>
              <w:rPr>
                <w:sz w:val="20"/>
                <w:szCs w:val="20"/>
                <w:color w:val="auto"/>
              </w:rPr>
            </w:pPr>
            <w:r>
              <w:rPr>
                <w:rFonts w:ascii="Arial" w:cs="Arial" w:eastAsia="Arial" w:hAnsi="Arial"/>
                <w:sz w:val="16"/>
                <w:szCs w:val="16"/>
                <w:color w:val="auto"/>
              </w:rPr>
              <w:t>77</w:t>
            </w:r>
          </w:p>
        </w:tc>
        <w:tc>
          <w:tcPr>
            <w:tcW w:w="460" w:type="dxa"/>
            <w:vAlign w:val="bottom"/>
          </w:tcPr>
          <w:p>
            <w:pPr>
              <w:spacing w:after="0"/>
              <w:rPr>
                <w:sz w:val="15"/>
                <w:szCs w:val="15"/>
                <w:color w:val="auto"/>
              </w:rPr>
            </w:pPr>
          </w:p>
        </w:tc>
        <w:tc>
          <w:tcPr>
            <w:tcW w:w="960" w:type="dxa"/>
            <w:vAlign w:val="bottom"/>
          </w:tcPr>
          <w:p>
            <w:pPr>
              <w:jc w:val="right"/>
              <w:spacing w:after="0" w:line="176" w:lineRule="exact"/>
              <w:rPr>
                <w:sz w:val="20"/>
                <w:szCs w:val="20"/>
                <w:color w:val="auto"/>
              </w:rPr>
            </w:pPr>
            <w:r>
              <w:rPr>
                <w:rFonts w:ascii="Arial" w:cs="Arial" w:eastAsia="Arial" w:hAnsi="Arial"/>
                <w:sz w:val="16"/>
                <w:szCs w:val="16"/>
                <w:color w:val="auto"/>
              </w:rPr>
              <w:t>163</w:t>
            </w:r>
          </w:p>
        </w:tc>
        <w:tc>
          <w:tcPr>
            <w:tcW w:w="320" w:type="dxa"/>
            <w:vAlign w:val="bottom"/>
          </w:tcPr>
          <w:p>
            <w:pPr>
              <w:spacing w:after="0"/>
              <w:rPr>
                <w:sz w:val="15"/>
                <w:szCs w:val="15"/>
                <w:color w:val="auto"/>
              </w:rPr>
            </w:pPr>
          </w:p>
        </w:tc>
        <w:tc>
          <w:tcPr>
            <w:tcW w:w="1120" w:type="dxa"/>
            <w:vAlign w:val="bottom"/>
          </w:tcPr>
          <w:p>
            <w:pPr>
              <w:jc w:val="right"/>
              <w:spacing w:after="0" w:line="176" w:lineRule="exact"/>
              <w:rPr>
                <w:sz w:val="20"/>
                <w:szCs w:val="20"/>
                <w:color w:val="auto"/>
              </w:rPr>
            </w:pPr>
            <w:r>
              <w:rPr>
                <w:rFonts w:ascii="Arial" w:cs="Arial" w:eastAsia="Arial" w:hAnsi="Arial"/>
                <w:sz w:val="16"/>
                <w:szCs w:val="16"/>
                <w:color w:val="auto"/>
              </w:rPr>
              <w:t>152</w:t>
            </w:r>
          </w:p>
        </w:tc>
      </w:tr>
      <w:tr>
        <w:trPr>
          <w:trHeight w:val="194"/>
        </w:trPr>
        <w:tc>
          <w:tcPr>
            <w:tcW w:w="4300" w:type="dxa"/>
            <w:vAlign w:val="bottom"/>
          </w:tcPr>
          <w:p>
            <w:pPr>
              <w:ind w:left="180"/>
              <w:spacing w:after="0"/>
              <w:rPr>
                <w:sz w:val="20"/>
                <w:szCs w:val="20"/>
                <w:color w:val="auto"/>
              </w:rPr>
            </w:pPr>
            <w:r>
              <w:rPr>
                <w:rFonts w:ascii="Arial" w:cs="Arial" w:eastAsia="Arial" w:hAnsi="Arial"/>
                <w:sz w:val="16"/>
                <w:szCs w:val="16"/>
                <w:color w:val="auto"/>
              </w:rPr>
              <w:t>Franchise fees and other taxes</w:t>
            </w:r>
          </w:p>
        </w:tc>
        <w:tc>
          <w:tcPr>
            <w:tcW w:w="1440" w:type="dxa"/>
            <w:vAlign w:val="bottom"/>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w:t>
            </w:r>
          </w:p>
        </w:tc>
        <w:tc>
          <w:tcPr>
            <w:tcW w:w="102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w:t>
            </w:r>
          </w:p>
        </w:tc>
        <w:tc>
          <w:tcPr>
            <w:tcW w:w="4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66</w:t>
            </w:r>
          </w:p>
        </w:tc>
        <w:tc>
          <w:tcPr>
            <w:tcW w:w="3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65</w:t>
            </w:r>
          </w:p>
        </w:tc>
      </w:tr>
      <w:tr>
        <w:trPr>
          <w:trHeight w:val="183"/>
        </w:trPr>
        <w:tc>
          <w:tcPr>
            <w:tcW w:w="4300" w:type="dxa"/>
            <w:vAlign w:val="bottom"/>
          </w:tcPr>
          <w:p>
            <w:pPr>
              <w:ind w:left="360"/>
              <w:spacing w:after="0" w:line="176" w:lineRule="exact"/>
              <w:rPr>
                <w:sz w:val="20"/>
                <w:szCs w:val="20"/>
                <w:color w:val="auto"/>
              </w:rPr>
            </w:pPr>
            <w:r>
              <w:rPr>
                <w:rFonts w:ascii="Arial" w:cs="Arial" w:eastAsia="Arial" w:hAnsi="Arial"/>
                <w:sz w:val="16"/>
                <w:szCs w:val="16"/>
                <w:color w:val="auto"/>
              </w:rPr>
              <w:t>Total operating expenses</w:t>
            </w:r>
          </w:p>
        </w:tc>
        <w:tc>
          <w:tcPr>
            <w:tcW w:w="1440" w:type="dxa"/>
            <w:vAlign w:val="bottom"/>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6"/>
                <w:szCs w:val="16"/>
                <w:color w:val="auto"/>
              </w:rPr>
              <w:t>773</w:t>
            </w:r>
          </w:p>
        </w:tc>
        <w:tc>
          <w:tcPr>
            <w:tcW w:w="102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6"/>
                <w:szCs w:val="16"/>
                <w:color w:val="auto"/>
              </w:rPr>
              <w:t>716</w:t>
            </w:r>
          </w:p>
        </w:tc>
        <w:tc>
          <w:tcPr>
            <w:tcW w:w="46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6"/>
                <w:szCs w:val="16"/>
                <w:color w:val="auto"/>
              </w:rPr>
              <w:t>1,710</w:t>
            </w:r>
          </w:p>
        </w:tc>
        <w:tc>
          <w:tcPr>
            <w:tcW w:w="32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6"/>
                <w:szCs w:val="16"/>
                <w:color w:val="auto"/>
              </w:rPr>
              <w:t>1,764</w:t>
            </w:r>
          </w:p>
        </w:tc>
      </w:tr>
      <w:tr>
        <w:trPr>
          <w:trHeight w:val="164"/>
        </w:trPr>
        <w:tc>
          <w:tcPr>
            <w:tcW w:w="4300" w:type="dxa"/>
            <w:vAlign w:val="bottom"/>
          </w:tcPr>
          <w:p>
            <w:pPr>
              <w:spacing w:after="0" w:line="164" w:lineRule="exact"/>
              <w:rPr>
                <w:sz w:val="20"/>
                <w:szCs w:val="20"/>
                <w:color w:val="auto"/>
              </w:rPr>
            </w:pPr>
            <w:r>
              <w:rPr>
                <w:rFonts w:ascii="Arial" w:cs="Arial" w:eastAsia="Arial" w:hAnsi="Arial"/>
                <w:sz w:val="16"/>
                <w:szCs w:val="16"/>
                <w:color w:val="auto"/>
              </w:rPr>
              <w:t>Operating income</w:t>
            </w:r>
          </w:p>
        </w:tc>
        <w:tc>
          <w:tcPr>
            <w:tcW w:w="14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40" w:type="dxa"/>
            <w:vAlign w:val="bottom"/>
          </w:tcPr>
          <w:p>
            <w:pPr>
              <w:jc w:val="right"/>
              <w:spacing w:after="0" w:line="164" w:lineRule="exact"/>
              <w:rPr>
                <w:sz w:val="20"/>
                <w:szCs w:val="20"/>
                <w:color w:val="auto"/>
              </w:rPr>
            </w:pPr>
            <w:r>
              <w:rPr>
                <w:rFonts w:ascii="Arial" w:cs="Arial" w:eastAsia="Arial" w:hAnsi="Arial"/>
                <w:sz w:val="16"/>
                <w:szCs w:val="16"/>
                <w:color w:val="auto"/>
              </w:rPr>
              <w:t>103</w:t>
            </w:r>
          </w:p>
        </w:tc>
        <w:tc>
          <w:tcPr>
            <w:tcW w:w="1020" w:type="dxa"/>
            <w:vAlign w:val="bottom"/>
          </w:tcPr>
          <w:p>
            <w:pPr>
              <w:spacing w:after="0"/>
              <w:rPr>
                <w:sz w:val="14"/>
                <w:szCs w:val="14"/>
                <w:color w:val="auto"/>
              </w:rPr>
            </w:pPr>
          </w:p>
        </w:tc>
        <w:tc>
          <w:tcPr>
            <w:tcW w:w="400" w:type="dxa"/>
            <w:vAlign w:val="bottom"/>
          </w:tcPr>
          <w:p>
            <w:pPr>
              <w:jc w:val="right"/>
              <w:spacing w:after="0" w:line="164" w:lineRule="exact"/>
              <w:rPr>
                <w:sz w:val="20"/>
                <w:szCs w:val="20"/>
                <w:color w:val="auto"/>
              </w:rPr>
            </w:pPr>
            <w:r>
              <w:rPr>
                <w:rFonts w:ascii="Arial" w:cs="Arial" w:eastAsia="Arial" w:hAnsi="Arial"/>
                <w:sz w:val="16"/>
                <w:szCs w:val="16"/>
                <w:color w:val="auto"/>
              </w:rPr>
              <w:t>118</w:t>
            </w:r>
          </w:p>
        </w:tc>
        <w:tc>
          <w:tcPr>
            <w:tcW w:w="460" w:type="dxa"/>
            <w:vAlign w:val="bottom"/>
          </w:tcPr>
          <w:p>
            <w:pPr>
              <w:spacing w:after="0"/>
              <w:rPr>
                <w:sz w:val="14"/>
                <w:szCs w:val="14"/>
                <w:color w:val="auto"/>
              </w:rPr>
            </w:pPr>
          </w:p>
        </w:tc>
        <w:tc>
          <w:tcPr>
            <w:tcW w:w="960" w:type="dxa"/>
            <w:vAlign w:val="bottom"/>
          </w:tcPr>
          <w:p>
            <w:pPr>
              <w:jc w:val="right"/>
              <w:spacing w:after="0" w:line="164" w:lineRule="exact"/>
              <w:rPr>
                <w:sz w:val="20"/>
                <w:szCs w:val="20"/>
                <w:color w:val="auto"/>
              </w:rPr>
            </w:pPr>
            <w:r>
              <w:rPr>
                <w:rFonts w:ascii="Arial" w:cs="Arial" w:eastAsia="Arial" w:hAnsi="Arial"/>
                <w:sz w:val="16"/>
                <w:szCs w:val="16"/>
                <w:color w:val="auto"/>
              </w:rPr>
              <w:t>222</w:t>
            </w:r>
          </w:p>
        </w:tc>
        <w:tc>
          <w:tcPr>
            <w:tcW w:w="320" w:type="dxa"/>
            <w:vAlign w:val="bottom"/>
          </w:tcPr>
          <w:p>
            <w:pPr>
              <w:spacing w:after="0"/>
              <w:rPr>
                <w:sz w:val="14"/>
                <w:szCs w:val="14"/>
                <w:color w:val="auto"/>
              </w:rPr>
            </w:pPr>
          </w:p>
        </w:tc>
        <w:tc>
          <w:tcPr>
            <w:tcW w:w="1120" w:type="dxa"/>
            <w:vAlign w:val="bottom"/>
          </w:tcPr>
          <w:p>
            <w:pPr>
              <w:jc w:val="right"/>
              <w:spacing w:after="0" w:line="164" w:lineRule="exact"/>
              <w:rPr>
                <w:sz w:val="20"/>
                <w:szCs w:val="20"/>
                <w:color w:val="auto"/>
              </w:rPr>
            </w:pPr>
            <w:r>
              <w:rPr>
                <w:rFonts w:ascii="Arial" w:cs="Arial" w:eastAsia="Arial" w:hAnsi="Arial"/>
                <w:sz w:val="16"/>
                <w:szCs w:val="16"/>
                <w:color w:val="auto"/>
              </w:rPr>
              <w:t>252</w:t>
            </w:r>
          </w:p>
        </w:tc>
      </w:tr>
      <w:tr>
        <w:trPr>
          <w:trHeight w:val="176"/>
        </w:trPr>
        <w:tc>
          <w:tcPr>
            <w:tcW w:w="4300" w:type="dxa"/>
            <w:vAlign w:val="bottom"/>
          </w:tcPr>
          <w:p>
            <w:pPr>
              <w:spacing w:after="0" w:line="176" w:lineRule="exact"/>
              <w:rPr>
                <w:sz w:val="20"/>
                <w:szCs w:val="20"/>
                <w:color w:val="auto"/>
              </w:rPr>
            </w:pPr>
            <w:r>
              <w:rPr>
                <w:rFonts w:ascii="Arial" w:cs="Arial" w:eastAsia="Arial" w:hAnsi="Arial"/>
                <w:sz w:val="16"/>
                <w:szCs w:val="16"/>
                <w:color w:val="auto"/>
              </w:rPr>
              <w:t>Other income, net</w:t>
            </w:r>
          </w:p>
        </w:tc>
        <w:tc>
          <w:tcPr>
            <w:tcW w:w="14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440" w:type="dxa"/>
            <w:vAlign w:val="bottom"/>
          </w:tcPr>
          <w:p>
            <w:pPr>
              <w:jc w:val="right"/>
              <w:spacing w:after="0" w:line="176" w:lineRule="exact"/>
              <w:rPr>
                <w:sz w:val="20"/>
                <w:szCs w:val="20"/>
                <w:color w:val="auto"/>
              </w:rPr>
            </w:pPr>
            <w:r>
              <w:rPr>
                <w:rFonts w:ascii="Arial" w:cs="Arial" w:eastAsia="Arial" w:hAnsi="Arial"/>
                <w:sz w:val="16"/>
                <w:szCs w:val="16"/>
                <w:color w:val="auto"/>
              </w:rPr>
              <w:t>3</w:t>
            </w:r>
          </w:p>
        </w:tc>
        <w:tc>
          <w:tcPr>
            <w:tcW w:w="1020" w:type="dxa"/>
            <w:vAlign w:val="bottom"/>
          </w:tcPr>
          <w:p>
            <w:pPr>
              <w:spacing w:after="0"/>
              <w:rPr>
                <w:sz w:val="15"/>
                <w:szCs w:val="15"/>
                <w:color w:val="auto"/>
              </w:rPr>
            </w:pPr>
          </w:p>
        </w:tc>
        <w:tc>
          <w:tcPr>
            <w:tcW w:w="400" w:type="dxa"/>
            <w:vAlign w:val="bottom"/>
          </w:tcPr>
          <w:p>
            <w:pPr>
              <w:jc w:val="right"/>
              <w:spacing w:after="0" w:line="176" w:lineRule="exact"/>
              <w:rPr>
                <w:sz w:val="20"/>
                <w:szCs w:val="20"/>
                <w:color w:val="auto"/>
              </w:rPr>
            </w:pPr>
            <w:r>
              <w:rPr>
                <w:rFonts w:ascii="Arial" w:cs="Arial" w:eastAsia="Arial" w:hAnsi="Arial"/>
                <w:sz w:val="16"/>
                <w:szCs w:val="16"/>
                <w:color w:val="auto"/>
              </w:rPr>
              <w:t>2</w:t>
            </w:r>
          </w:p>
        </w:tc>
        <w:tc>
          <w:tcPr>
            <w:tcW w:w="460" w:type="dxa"/>
            <w:vAlign w:val="bottom"/>
          </w:tcPr>
          <w:p>
            <w:pPr>
              <w:spacing w:after="0"/>
              <w:rPr>
                <w:sz w:val="15"/>
                <w:szCs w:val="15"/>
                <w:color w:val="auto"/>
              </w:rPr>
            </w:pPr>
          </w:p>
        </w:tc>
        <w:tc>
          <w:tcPr>
            <w:tcW w:w="960" w:type="dxa"/>
            <w:vAlign w:val="bottom"/>
          </w:tcPr>
          <w:p>
            <w:pPr>
              <w:jc w:val="right"/>
              <w:spacing w:after="0" w:line="176" w:lineRule="exact"/>
              <w:rPr>
                <w:sz w:val="20"/>
                <w:szCs w:val="20"/>
                <w:color w:val="auto"/>
              </w:rPr>
            </w:pPr>
            <w:r>
              <w:rPr>
                <w:rFonts w:ascii="Arial" w:cs="Arial" w:eastAsia="Arial" w:hAnsi="Arial"/>
                <w:sz w:val="16"/>
                <w:szCs w:val="16"/>
                <w:color w:val="auto"/>
              </w:rPr>
              <w:t>6</w:t>
            </w:r>
          </w:p>
        </w:tc>
        <w:tc>
          <w:tcPr>
            <w:tcW w:w="320" w:type="dxa"/>
            <w:vAlign w:val="bottom"/>
          </w:tcPr>
          <w:p>
            <w:pPr>
              <w:spacing w:after="0"/>
              <w:rPr>
                <w:sz w:val="15"/>
                <w:szCs w:val="15"/>
                <w:color w:val="auto"/>
              </w:rPr>
            </w:pPr>
          </w:p>
        </w:tc>
        <w:tc>
          <w:tcPr>
            <w:tcW w:w="1120" w:type="dxa"/>
            <w:vAlign w:val="bottom"/>
          </w:tcPr>
          <w:p>
            <w:pPr>
              <w:jc w:val="right"/>
              <w:spacing w:after="0" w:line="176" w:lineRule="exact"/>
              <w:rPr>
                <w:sz w:val="20"/>
                <w:szCs w:val="20"/>
                <w:color w:val="auto"/>
              </w:rPr>
            </w:pPr>
            <w:r>
              <w:rPr>
                <w:rFonts w:ascii="Arial" w:cs="Arial" w:eastAsia="Arial" w:hAnsi="Arial"/>
                <w:sz w:val="16"/>
                <w:szCs w:val="16"/>
                <w:color w:val="auto"/>
              </w:rPr>
              <w:t>6</w:t>
            </w:r>
          </w:p>
        </w:tc>
      </w:tr>
      <w:tr>
        <w:trPr>
          <w:trHeight w:val="194"/>
        </w:trPr>
        <w:tc>
          <w:tcPr>
            <w:tcW w:w="4300" w:type="dxa"/>
            <w:vAlign w:val="bottom"/>
          </w:tcPr>
          <w:p>
            <w:pPr>
              <w:spacing w:after="0"/>
              <w:rPr>
                <w:sz w:val="20"/>
                <w:szCs w:val="20"/>
                <w:color w:val="auto"/>
              </w:rPr>
            </w:pPr>
            <w:r>
              <w:rPr>
                <w:rFonts w:ascii="Arial" w:cs="Arial" w:eastAsia="Arial" w:hAnsi="Arial"/>
                <w:sz w:val="16"/>
                <w:szCs w:val="16"/>
                <w:color w:val="auto"/>
              </w:rPr>
              <w:t>Interest expense</w:t>
            </w:r>
          </w:p>
        </w:tc>
        <w:tc>
          <w:tcPr>
            <w:tcW w:w="1440" w:type="dxa"/>
            <w:vAlign w:val="bottom"/>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w:t>
            </w:r>
          </w:p>
        </w:tc>
        <w:tc>
          <w:tcPr>
            <w:tcW w:w="102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w:t>
            </w:r>
          </w:p>
        </w:tc>
        <w:tc>
          <w:tcPr>
            <w:tcW w:w="4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w:t>
            </w:r>
          </w:p>
        </w:tc>
        <w:tc>
          <w:tcPr>
            <w:tcW w:w="3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w:t>
            </w:r>
          </w:p>
        </w:tc>
      </w:tr>
      <w:tr>
        <w:trPr>
          <w:trHeight w:val="164"/>
        </w:trPr>
        <w:tc>
          <w:tcPr>
            <w:tcW w:w="4300" w:type="dxa"/>
            <w:vAlign w:val="bottom"/>
          </w:tcPr>
          <w:p>
            <w:pPr>
              <w:spacing w:after="0" w:line="164" w:lineRule="exact"/>
              <w:rPr>
                <w:sz w:val="20"/>
                <w:szCs w:val="20"/>
                <w:color w:val="auto"/>
              </w:rPr>
            </w:pPr>
            <w:r>
              <w:rPr>
                <w:rFonts w:ascii="Arial" w:cs="Arial" w:eastAsia="Arial" w:hAnsi="Arial"/>
                <w:sz w:val="16"/>
                <w:szCs w:val="16"/>
                <w:color w:val="auto"/>
              </w:rPr>
              <w:t>Income before income taxes</w:t>
            </w:r>
          </w:p>
        </w:tc>
        <w:tc>
          <w:tcPr>
            <w:tcW w:w="14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40" w:type="dxa"/>
            <w:vAlign w:val="bottom"/>
          </w:tcPr>
          <w:p>
            <w:pPr>
              <w:jc w:val="right"/>
              <w:spacing w:after="0" w:line="164" w:lineRule="exact"/>
              <w:rPr>
                <w:sz w:val="20"/>
                <w:szCs w:val="20"/>
                <w:color w:val="auto"/>
              </w:rPr>
            </w:pPr>
            <w:r>
              <w:rPr>
                <w:rFonts w:ascii="Arial" w:cs="Arial" w:eastAsia="Arial" w:hAnsi="Arial"/>
                <w:sz w:val="16"/>
                <w:szCs w:val="16"/>
                <w:color w:val="auto"/>
              </w:rPr>
              <w:t>88</w:t>
            </w:r>
          </w:p>
        </w:tc>
        <w:tc>
          <w:tcPr>
            <w:tcW w:w="1020" w:type="dxa"/>
            <w:vAlign w:val="bottom"/>
          </w:tcPr>
          <w:p>
            <w:pPr>
              <w:spacing w:after="0"/>
              <w:rPr>
                <w:sz w:val="14"/>
                <w:szCs w:val="14"/>
                <w:color w:val="auto"/>
              </w:rPr>
            </w:pPr>
          </w:p>
        </w:tc>
        <w:tc>
          <w:tcPr>
            <w:tcW w:w="400" w:type="dxa"/>
            <w:vAlign w:val="bottom"/>
          </w:tcPr>
          <w:p>
            <w:pPr>
              <w:jc w:val="right"/>
              <w:spacing w:after="0" w:line="164" w:lineRule="exact"/>
              <w:rPr>
                <w:sz w:val="20"/>
                <w:szCs w:val="20"/>
                <w:color w:val="auto"/>
              </w:rPr>
            </w:pPr>
            <w:r>
              <w:rPr>
                <w:rFonts w:ascii="Arial" w:cs="Arial" w:eastAsia="Arial" w:hAnsi="Arial"/>
                <w:sz w:val="16"/>
                <w:szCs w:val="16"/>
                <w:color w:val="auto"/>
              </w:rPr>
              <w:t>104</w:t>
            </w:r>
          </w:p>
        </w:tc>
        <w:tc>
          <w:tcPr>
            <w:tcW w:w="460" w:type="dxa"/>
            <w:vAlign w:val="bottom"/>
          </w:tcPr>
          <w:p>
            <w:pPr>
              <w:spacing w:after="0"/>
              <w:rPr>
                <w:sz w:val="14"/>
                <w:szCs w:val="14"/>
                <w:color w:val="auto"/>
              </w:rPr>
            </w:pPr>
          </w:p>
        </w:tc>
        <w:tc>
          <w:tcPr>
            <w:tcW w:w="960" w:type="dxa"/>
            <w:vAlign w:val="bottom"/>
          </w:tcPr>
          <w:p>
            <w:pPr>
              <w:jc w:val="right"/>
              <w:spacing w:after="0" w:line="164" w:lineRule="exact"/>
              <w:rPr>
                <w:sz w:val="20"/>
                <w:szCs w:val="20"/>
                <w:color w:val="auto"/>
              </w:rPr>
            </w:pPr>
            <w:r>
              <w:rPr>
                <w:rFonts w:ascii="Arial" w:cs="Arial" w:eastAsia="Arial" w:hAnsi="Arial"/>
                <w:sz w:val="16"/>
                <w:szCs w:val="16"/>
                <w:color w:val="auto"/>
              </w:rPr>
              <w:t>193</w:t>
            </w:r>
          </w:p>
        </w:tc>
        <w:tc>
          <w:tcPr>
            <w:tcW w:w="320" w:type="dxa"/>
            <w:vAlign w:val="bottom"/>
          </w:tcPr>
          <w:p>
            <w:pPr>
              <w:spacing w:after="0"/>
              <w:rPr>
                <w:sz w:val="14"/>
                <w:szCs w:val="14"/>
                <w:color w:val="auto"/>
              </w:rPr>
            </w:pPr>
          </w:p>
        </w:tc>
        <w:tc>
          <w:tcPr>
            <w:tcW w:w="1120" w:type="dxa"/>
            <w:vAlign w:val="bottom"/>
          </w:tcPr>
          <w:p>
            <w:pPr>
              <w:jc w:val="right"/>
              <w:spacing w:after="0" w:line="164" w:lineRule="exact"/>
              <w:rPr>
                <w:sz w:val="20"/>
                <w:szCs w:val="20"/>
                <w:color w:val="auto"/>
              </w:rPr>
            </w:pPr>
            <w:r>
              <w:rPr>
                <w:rFonts w:ascii="Arial" w:cs="Arial" w:eastAsia="Arial" w:hAnsi="Arial"/>
                <w:sz w:val="16"/>
                <w:szCs w:val="16"/>
                <w:color w:val="auto"/>
              </w:rPr>
              <w:t>225</w:t>
            </w:r>
          </w:p>
        </w:tc>
      </w:tr>
      <w:tr>
        <w:trPr>
          <w:trHeight w:val="194"/>
        </w:trPr>
        <w:tc>
          <w:tcPr>
            <w:tcW w:w="4300" w:type="dxa"/>
            <w:vAlign w:val="bottom"/>
          </w:tcPr>
          <w:p>
            <w:pPr>
              <w:spacing w:after="0"/>
              <w:rPr>
                <w:sz w:val="20"/>
                <w:szCs w:val="20"/>
                <w:color w:val="auto"/>
              </w:rPr>
            </w:pPr>
            <w:r>
              <w:rPr>
                <w:rFonts w:ascii="Arial" w:cs="Arial" w:eastAsia="Arial" w:hAnsi="Arial"/>
                <w:sz w:val="16"/>
                <w:szCs w:val="16"/>
                <w:color w:val="auto"/>
              </w:rPr>
              <w:t>Income tax expense</w:t>
            </w:r>
          </w:p>
        </w:tc>
        <w:tc>
          <w:tcPr>
            <w:tcW w:w="1440" w:type="dxa"/>
            <w:vAlign w:val="bottom"/>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w:t>
            </w:r>
          </w:p>
        </w:tc>
        <w:tc>
          <w:tcPr>
            <w:tcW w:w="102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w:t>
            </w:r>
          </w:p>
        </w:tc>
        <w:tc>
          <w:tcPr>
            <w:tcW w:w="4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(65)</w:t>
            </w:r>
          </w:p>
        </w:tc>
        <w:tc>
          <w:tcPr>
            <w:tcW w:w="3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(90)</w:t>
            </w:r>
          </w:p>
        </w:tc>
      </w:tr>
      <w:tr>
        <w:trPr>
          <w:trHeight w:val="164"/>
        </w:trPr>
        <w:tc>
          <w:tcPr>
            <w:tcW w:w="4300" w:type="dxa"/>
            <w:vAlign w:val="bottom"/>
          </w:tcPr>
          <w:p>
            <w:pPr>
              <w:spacing w:after="0" w:line="164" w:lineRule="exact"/>
              <w:rPr>
                <w:sz w:val="20"/>
                <w:szCs w:val="20"/>
                <w:color w:val="auto"/>
              </w:rPr>
            </w:pPr>
            <w:r>
              <w:rPr>
                <w:rFonts w:ascii="Arial" w:cs="Arial" w:eastAsia="Arial" w:hAnsi="Arial"/>
                <w:sz w:val="16"/>
                <w:szCs w:val="16"/>
                <w:color w:val="auto"/>
              </w:rPr>
              <w:t>Net income</w:t>
            </w:r>
          </w:p>
        </w:tc>
        <w:tc>
          <w:tcPr>
            <w:tcW w:w="14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40" w:type="dxa"/>
            <w:vAlign w:val="bottom"/>
          </w:tcPr>
          <w:p>
            <w:pPr>
              <w:jc w:val="right"/>
              <w:spacing w:after="0" w:line="164" w:lineRule="exact"/>
              <w:rPr>
                <w:sz w:val="20"/>
                <w:szCs w:val="20"/>
                <w:color w:val="auto"/>
              </w:rPr>
            </w:pPr>
            <w:r>
              <w:rPr>
                <w:rFonts w:ascii="Arial" w:cs="Arial" w:eastAsia="Arial" w:hAnsi="Arial"/>
                <w:sz w:val="16"/>
                <w:szCs w:val="16"/>
                <w:color w:val="auto"/>
              </w:rPr>
              <w:t>60</w:t>
            </w:r>
          </w:p>
        </w:tc>
        <w:tc>
          <w:tcPr>
            <w:tcW w:w="1020" w:type="dxa"/>
            <w:vAlign w:val="bottom"/>
          </w:tcPr>
          <w:p>
            <w:pPr>
              <w:spacing w:after="0"/>
              <w:rPr>
                <w:sz w:val="14"/>
                <w:szCs w:val="14"/>
                <w:color w:val="auto"/>
              </w:rPr>
            </w:pPr>
          </w:p>
        </w:tc>
        <w:tc>
          <w:tcPr>
            <w:tcW w:w="400" w:type="dxa"/>
            <w:vAlign w:val="bottom"/>
          </w:tcPr>
          <w:p>
            <w:pPr>
              <w:jc w:val="right"/>
              <w:spacing w:after="0" w:line="164" w:lineRule="exact"/>
              <w:rPr>
                <w:sz w:val="20"/>
                <w:szCs w:val="20"/>
                <w:color w:val="auto"/>
              </w:rPr>
            </w:pPr>
            <w:r>
              <w:rPr>
                <w:rFonts w:ascii="Arial" w:cs="Arial" w:eastAsia="Arial" w:hAnsi="Arial"/>
                <w:sz w:val="16"/>
                <w:szCs w:val="16"/>
                <w:color w:val="auto"/>
              </w:rPr>
              <w:t>70</w:t>
            </w:r>
          </w:p>
        </w:tc>
        <w:tc>
          <w:tcPr>
            <w:tcW w:w="460" w:type="dxa"/>
            <w:vAlign w:val="bottom"/>
          </w:tcPr>
          <w:p>
            <w:pPr>
              <w:spacing w:after="0"/>
              <w:rPr>
                <w:sz w:val="14"/>
                <w:szCs w:val="14"/>
                <w:color w:val="auto"/>
              </w:rPr>
            </w:pPr>
          </w:p>
        </w:tc>
        <w:tc>
          <w:tcPr>
            <w:tcW w:w="960" w:type="dxa"/>
            <w:vAlign w:val="bottom"/>
          </w:tcPr>
          <w:p>
            <w:pPr>
              <w:jc w:val="right"/>
              <w:spacing w:after="0" w:line="164" w:lineRule="exact"/>
              <w:rPr>
                <w:sz w:val="20"/>
                <w:szCs w:val="20"/>
                <w:color w:val="auto"/>
              </w:rPr>
            </w:pPr>
            <w:r>
              <w:rPr>
                <w:rFonts w:ascii="Arial" w:cs="Arial" w:eastAsia="Arial" w:hAnsi="Arial"/>
                <w:sz w:val="16"/>
                <w:szCs w:val="16"/>
                <w:color w:val="auto"/>
              </w:rPr>
              <w:t>128</w:t>
            </w:r>
          </w:p>
        </w:tc>
        <w:tc>
          <w:tcPr>
            <w:tcW w:w="320" w:type="dxa"/>
            <w:vAlign w:val="bottom"/>
          </w:tcPr>
          <w:p>
            <w:pPr>
              <w:spacing w:after="0"/>
              <w:rPr>
                <w:sz w:val="14"/>
                <w:szCs w:val="14"/>
                <w:color w:val="auto"/>
              </w:rPr>
            </w:pPr>
          </w:p>
        </w:tc>
        <w:tc>
          <w:tcPr>
            <w:tcW w:w="1120" w:type="dxa"/>
            <w:vAlign w:val="bottom"/>
          </w:tcPr>
          <w:p>
            <w:pPr>
              <w:jc w:val="right"/>
              <w:spacing w:after="0" w:line="164" w:lineRule="exact"/>
              <w:rPr>
                <w:sz w:val="20"/>
                <w:szCs w:val="20"/>
                <w:color w:val="auto"/>
              </w:rPr>
            </w:pPr>
            <w:r>
              <w:rPr>
                <w:rFonts w:ascii="Arial" w:cs="Arial" w:eastAsia="Arial" w:hAnsi="Arial"/>
                <w:sz w:val="16"/>
                <w:szCs w:val="16"/>
                <w:color w:val="auto"/>
              </w:rPr>
              <w:t>135</w:t>
            </w:r>
          </w:p>
        </w:tc>
      </w:tr>
      <w:tr>
        <w:trPr>
          <w:trHeight w:val="194"/>
        </w:trPr>
        <w:tc>
          <w:tcPr>
            <w:tcW w:w="4300" w:type="dxa"/>
            <w:vAlign w:val="bottom"/>
          </w:tcPr>
          <w:p>
            <w:pPr>
              <w:spacing w:after="0"/>
              <w:rPr>
                <w:sz w:val="20"/>
                <w:szCs w:val="20"/>
                <w:color w:val="auto"/>
              </w:rPr>
            </w:pPr>
            <w:r>
              <w:rPr>
                <w:rFonts w:ascii="Arial" w:cs="Arial" w:eastAsia="Arial" w:hAnsi="Arial"/>
                <w:sz w:val="16"/>
                <w:szCs w:val="16"/>
                <w:color w:val="auto"/>
              </w:rPr>
              <w:t>Preferred dividend requirements</w:t>
            </w:r>
          </w:p>
        </w:tc>
        <w:tc>
          <w:tcPr>
            <w:tcW w:w="1440" w:type="dxa"/>
            <w:vAlign w:val="bottom"/>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102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4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3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r>
      <w:tr>
        <w:trPr>
          <w:trHeight w:val="195"/>
        </w:trPr>
        <w:tc>
          <w:tcPr>
            <w:tcW w:w="4300" w:type="dxa"/>
            <w:vAlign w:val="bottom"/>
          </w:tcPr>
          <w:p>
            <w:pPr>
              <w:spacing w:after="0"/>
              <w:rPr>
                <w:sz w:val="20"/>
                <w:szCs w:val="20"/>
                <w:color w:val="auto"/>
              </w:rPr>
            </w:pPr>
            <w:r>
              <w:rPr>
                <w:rFonts w:ascii="Arial" w:cs="Arial" w:eastAsia="Arial" w:hAnsi="Arial"/>
                <w:sz w:val="16"/>
                <w:szCs w:val="16"/>
                <w:color w:val="auto"/>
              </w:rPr>
              <w:t>Earnings attributable to common shares</w:t>
            </w:r>
          </w:p>
        </w:tc>
        <w:tc>
          <w:tcPr>
            <w:tcW w:w="1440" w:type="dxa"/>
            <w:vAlign w:val="bottom"/>
          </w:tcPr>
          <w:p>
            <w:pPr>
              <w:spacing w:after="0"/>
              <w:rPr>
                <w:sz w:val="16"/>
                <w:szCs w:val="16"/>
                <w:color w:val="auto"/>
              </w:rPr>
            </w:pPr>
          </w:p>
        </w:tc>
        <w:tc>
          <w:tcPr>
            <w:tcW w:w="960" w:type="dxa"/>
            <w:vAlign w:val="bottom"/>
          </w:tcPr>
          <w:p>
            <w:pPr>
              <w:jc w:val="right"/>
              <w:ind w:right="806"/>
              <w:spacing w:after="0"/>
              <w:rPr>
                <w:sz w:val="20"/>
                <w:szCs w:val="20"/>
                <w:color w:val="auto"/>
              </w:rPr>
            </w:pPr>
            <w:r>
              <w:rPr>
                <w:rFonts w:ascii="Arial" w:cs="Arial" w:eastAsia="Arial" w:hAnsi="Arial"/>
                <w:sz w:val="15"/>
                <w:szCs w:val="15"/>
                <w:color w:val="auto"/>
                <w:w w:val="71"/>
              </w:rPr>
              <w:t>$</w:t>
            </w:r>
          </w:p>
        </w:tc>
        <w:tc>
          <w:tcPr>
            <w:tcW w:w="440" w:type="dxa"/>
            <w:vAlign w:val="bottom"/>
          </w:tcPr>
          <w:p>
            <w:pPr>
              <w:jc w:val="right"/>
              <w:spacing w:after="0"/>
              <w:rPr>
                <w:sz w:val="20"/>
                <w:szCs w:val="20"/>
                <w:color w:val="auto"/>
              </w:rPr>
            </w:pPr>
            <w:r>
              <w:rPr>
                <w:rFonts w:ascii="Arial" w:cs="Arial" w:eastAsia="Arial" w:hAnsi="Arial"/>
                <w:sz w:val="16"/>
                <w:szCs w:val="16"/>
                <w:color w:val="auto"/>
              </w:rPr>
              <w:t>59</w:t>
            </w:r>
          </w:p>
        </w:tc>
        <w:tc>
          <w:tcPr>
            <w:tcW w:w="1020" w:type="dxa"/>
            <w:vAlign w:val="bottom"/>
          </w:tcPr>
          <w:p>
            <w:pPr>
              <w:jc w:val="right"/>
              <w:ind w:right="865"/>
              <w:spacing w:after="0"/>
              <w:rPr>
                <w:sz w:val="20"/>
                <w:szCs w:val="20"/>
                <w:color w:val="auto"/>
              </w:rPr>
            </w:pPr>
            <w:r>
              <w:rPr>
                <w:rFonts w:ascii="Arial" w:cs="Arial" w:eastAsia="Arial" w:hAnsi="Arial"/>
                <w:sz w:val="15"/>
                <w:szCs w:val="15"/>
                <w:color w:val="auto"/>
                <w:w w:val="71"/>
              </w:rPr>
              <w:t>$</w:t>
            </w:r>
          </w:p>
        </w:tc>
        <w:tc>
          <w:tcPr>
            <w:tcW w:w="400" w:type="dxa"/>
            <w:vAlign w:val="bottom"/>
          </w:tcPr>
          <w:p>
            <w:pPr>
              <w:jc w:val="right"/>
              <w:spacing w:after="0"/>
              <w:rPr>
                <w:sz w:val="20"/>
                <w:szCs w:val="20"/>
                <w:color w:val="auto"/>
              </w:rPr>
            </w:pPr>
            <w:r>
              <w:rPr>
                <w:rFonts w:ascii="Arial" w:cs="Arial" w:eastAsia="Arial" w:hAnsi="Arial"/>
                <w:sz w:val="16"/>
                <w:szCs w:val="16"/>
                <w:color w:val="auto"/>
              </w:rPr>
              <w:t>69</w:t>
            </w:r>
          </w:p>
        </w:tc>
        <w:tc>
          <w:tcPr>
            <w:tcW w:w="460" w:type="dxa"/>
            <w:vAlign w:val="bottom"/>
          </w:tcPr>
          <w:p>
            <w:pPr>
              <w:jc w:val="right"/>
              <w:ind w:right="304"/>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127</w:t>
            </w:r>
          </w:p>
        </w:tc>
        <w:tc>
          <w:tcPr>
            <w:tcW w:w="320" w:type="dxa"/>
            <w:vAlign w:val="bottom"/>
          </w:tcPr>
          <w:p>
            <w:pPr>
              <w:jc w:val="right"/>
              <w:ind w:right="164"/>
              <w:spacing w:after="0"/>
              <w:rPr>
                <w:sz w:val="20"/>
                <w:szCs w:val="20"/>
                <w:color w:val="auto"/>
              </w:rPr>
            </w:pPr>
            <w:r>
              <w:rPr>
                <w:rFonts w:ascii="Arial" w:cs="Arial" w:eastAsia="Arial" w:hAnsi="Arial"/>
                <w:sz w:val="15"/>
                <w:szCs w:val="15"/>
                <w:color w:val="auto"/>
                <w:w w:val="71"/>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134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2466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rPr>
          <w:sz w:val="20"/>
          <w:szCs w:val="20"/>
          <w:color w:val="auto"/>
        </w:rPr>
      </w:pPr>
      <w:r>
        <w:rPr>
          <w:rFonts w:ascii="Arial" w:cs="Arial" w:eastAsia="Arial" w:hAnsi="Arial"/>
          <w:sz w:val="14"/>
          <w:szCs w:val="14"/>
          <w:i w:val="1"/>
          <w:iCs w:val="1"/>
          <w:color w:val="auto"/>
        </w:rPr>
        <w:t>See Notes to Condensed Consolidated Financial Statements.</w:t>
      </w:r>
    </w:p>
    <w:p>
      <w:pPr>
        <w:sectPr>
          <w:pgSz w:w="11900" w:h="16838" w:orient="portrait"/>
          <w:cols w:equalWidth="0" w:num="1">
            <w:col w:w="11420"/>
          </w:cols>
          <w:pgMar w:left="240" w:top="513" w:right="239" w:bottom="1440" w:gutter="0" w:footer="0" w:header="0"/>
        </w:sectPr>
      </w:pPr>
    </w:p>
    <w:bookmarkStart w:id="16" w:name="page17"/>
    <w:bookmarkEnd w:id="16"/>
    <w:p>
      <w:pPr>
        <w:spacing w:after="0"/>
        <w:rPr>
          <w:sz w:val="20"/>
          <w:szCs w:val="20"/>
          <w:color w:val="auto"/>
        </w:rPr>
      </w:pPr>
      <w:r>
        <w:rPr>
          <w:rFonts w:ascii="Arial" w:cs="Arial" w:eastAsia="Arial" w:hAnsi="Arial"/>
          <w:sz w:val="16"/>
          <w:szCs w:val="16"/>
          <w:b w:val="1"/>
          <w:bCs w:val="1"/>
          <w:color w:val="auto"/>
        </w:rPr>
        <w:t>SOUTHERN CALIFORNIA GAS COMPANY AND SUBSIDIARIES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-104775</wp:posOffset>
            </wp:positionV>
            <wp:extent cx="7246620" cy="3346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334645"/>
                    </a:xfrm>
                    <a:prstGeom prst="rect">
                      <a:avLst/>
                    </a:prstGeom>
                    <a:noFill/>
                  </pic:spPr>
                </pic:pic>
              </a:graphicData>
            </a:graphic>
          </wp:anchor>
        </w:drawing>
      </w:r>
    </w:p>
    <w:p>
      <w:pPr>
        <w:spacing w:after="0"/>
        <w:rPr>
          <w:sz w:val="20"/>
          <w:szCs w:val="20"/>
          <w:color w:val="auto"/>
        </w:rPr>
      </w:pPr>
      <w:r>
        <w:rPr>
          <w:rFonts w:ascii="Arial" w:cs="Arial" w:eastAsia="Arial" w:hAnsi="Arial"/>
          <w:sz w:val="16"/>
          <w:szCs w:val="16"/>
          <w:b w:val="1"/>
          <w:bCs w:val="1"/>
          <w:color w:val="auto"/>
        </w:rPr>
        <w:t>CONDENSED CONSOLIDATED BALANCE SHEETS</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8580" w:type="dxa"/>
            <w:vAlign w:val="bottom"/>
            <w:gridSpan w:val="3"/>
          </w:tcPr>
          <w:p>
            <w:pPr>
              <w:spacing w:after="0"/>
              <w:rPr>
                <w:sz w:val="20"/>
                <w:szCs w:val="20"/>
                <w:color w:val="auto"/>
              </w:rPr>
            </w:pPr>
            <w:r>
              <w:rPr>
                <w:rFonts w:ascii="Arial" w:cs="Arial" w:eastAsia="Arial" w:hAnsi="Arial"/>
                <w:sz w:val="14"/>
                <w:szCs w:val="14"/>
                <w:i w:val="1"/>
                <w:iCs w:val="1"/>
                <w:color w:val="auto"/>
              </w:rPr>
              <w:t>(Dollars in millions)</w:t>
            </w:r>
          </w:p>
        </w:tc>
        <w:tc>
          <w:tcPr>
            <w:tcW w:w="2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0" w:type="dxa"/>
            <w:vAlign w:val="bottom"/>
          </w:tcPr>
          <w:p>
            <w:pPr>
              <w:jc w:val="center"/>
              <w:ind w:right="120"/>
              <w:spacing w:after="0"/>
              <w:rPr>
                <w:sz w:val="20"/>
                <w:szCs w:val="20"/>
                <w:color w:val="auto"/>
              </w:rPr>
            </w:pPr>
            <w:r>
              <w:rPr>
                <w:rFonts w:ascii="Arial" w:cs="Arial" w:eastAsia="Arial" w:hAnsi="Arial"/>
                <w:sz w:val="14"/>
                <w:szCs w:val="14"/>
                <w:color w:val="auto"/>
              </w:rPr>
              <w:t>June 30,</w:t>
            </w:r>
          </w:p>
        </w:tc>
        <w:tc>
          <w:tcPr>
            <w:tcW w:w="180" w:type="dxa"/>
            <w:vAlign w:val="bottom"/>
          </w:tcPr>
          <w:p>
            <w:pPr>
              <w:spacing w:after="0"/>
              <w:rPr>
                <w:sz w:val="14"/>
                <w:szCs w:val="14"/>
                <w:color w:val="auto"/>
              </w:rPr>
            </w:pPr>
          </w:p>
        </w:tc>
        <w:tc>
          <w:tcPr>
            <w:tcW w:w="1260" w:type="dxa"/>
            <w:vAlign w:val="bottom"/>
          </w:tcPr>
          <w:p>
            <w:pPr>
              <w:jc w:val="right"/>
              <w:ind w:right="180"/>
              <w:spacing w:after="0"/>
              <w:rPr>
                <w:sz w:val="20"/>
                <w:szCs w:val="20"/>
                <w:color w:val="auto"/>
              </w:rPr>
            </w:pPr>
            <w:r>
              <w:rPr>
                <w:rFonts w:ascii="Arial" w:cs="Arial" w:eastAsia="Arial" w:hAnsi="Arial"/>
                <w:sz w:val="14"/>
                <w:szCs w:val="14"/>
                <w:color w:val="auto"/>
              </w:rPr>
              <w:t>December 31,</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4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center"/>
              <w:ind w:right="160"/>
              <w:spacing w:after="0"/>
              <w:rPr>
                <w:sz w:val="20"/>
                <w:szCs w:val="20"/>
                <w:color w:val="auto"/>
              </w:rPr>
            </w:pPr>
            <w:r>
              <w:rPr>
                <w:rFonts w:ascii="Arial" w:cs="Arial" w:eastAsia="Arial" w:hAnsi="Arial"/>
                <w:sz w:val="14"/>
                <w:szCs w:val="14"/>
                <w:color w:val="auto"/>
              </w:rPr>
              <w:t>2011</w:t>
            </w:r>
          </w:p>
        </w:tc>
        <w:tc>
          <w:tcPr>
            <w:tcW w:w="18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right"/>
              <w:ind w:right="380"/>
              <w:spacing w:after="0"/>
              <w:rPr>
                <w:sz w:val="20"/>
                <w:szCs w:val="20"/>
                <w:color w:val="auto"/>
              </w:rPr>
            </w:pPr>
            <w:r>
              <w:rPr>
                <w:rFonts w:ascii="Arial" w:cs="Arial" w:eastAsia="Arial" w:hAnsi="Arial"/>
                <w:sz w:val="14"/>
                <w:szCs w:val="14"/>
                <w:color w:val="auto"/>
              </w:rPr>
              <w:t>2010(1)</w:t>
            </w:r>
          </w:p>
        </w:tc>
        <w:tc>
          <w:tcPr>
            <w:tcW w:w="0" w:type="dxa"/>
            <w:vAlign w:val="bottom"/>
          </w:tcPr>
          <w:p>
            <w:pPr>
              <w:spacing w:after="0"/>
              <w:rPr>
                <w:sz w:val="1"/>
                <w:szCs w:val="1"/>
                <w:color w:val="auto"/>
              </w:rPr>
            </w:pPr>
          </w:p>
        </w:tc>
      </w:tr>
      <w:tr>
        <w:trPr>
          <w:trHeight w:val="191"/>
        </w:trPr>
        <w:tc>
          <w:tcPr>
            <w:tcW w:w="8580" w:type="dxa"/>
            <w:vAlign w:val="bottom"/>
            <w:gridSpan w:val="3"/>
            <w:vMerge w:val="restart"/>
          </w:tcPr>
          <w:p>
            <w:pPr>
              <w:spacing w:after="0"/>
              <w:rPr>
                <w:sz w:val="20"/>
                <w:szCs w:val="20"/>
                <w:color w:val="auto"/>
              </w:rPr>
            </w:pPr>
            <w:r>
              <w:rPr>
                <w:rFonts w:ascii="Arial" w:cs="Arial" w:eastAsia="Arial" w:hAnsi="Arial"/>
                <w:sz w:val="16"/>
                <w:szCs w:val="16"/>
                <w:color w:val="auto"/>
              </w:rPr>
              <w:t>ASSETS</w:t>
            </w:r>
          </w:p>
        </w:tc>
        <w:tc>
          <w:tcPr>
            <w:tcW w:w="200" w:type="dxa"/>
            <w:vAlign w:val="bottom"/>
          </w:tcPr>
          <w:p>
            <w:pPr>
              <w:spacing w:after="0"/>
              <w:rPr>
                <w:sz w:val="16"/>
                <w:szCs w:val="16"/>
                <w:color w:val="auto"/>
              </w:rPr>
            </w:pPr>
          </w:p>
        </w:tc>
        <w:tc>
          <w:tcPr>
            <w:tcW w:w="1200" w:type="dxa"/>
            <w:vAlign w:val="bottom"/>
          </w:tcPr>
          <w:p>
            <w:pPr>
              <w:jc w:val="center"/>
              <w:ind w:right="120"/>
              <w:spacing w:after="0"/>
              <w:rPr>
                <w:sz w:val="20"/>
                <w:szCs w:val="20"/>
                <w:color w:val="auto"/>
              </w:rPr>
            </w:pPr>
            <w:r>
              <w:rPr>
                <w:rFonts w:ascii="Arial" w:cs="Arial" w:eastAsia="Arial" w:hAnsi="Arial"/>
                <w:sz w:val="14"/>
                <w:szCs w:val="14"/>
                <w:color w:val="auto"/>
              </w:rPr>
              <w:t>(unaudited)</w:t>
            </w:r>
          </w:p>
        </w:tc>
        <w:tc>
          <w:tcPr>
            <w:tcW w:w="1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8580" w:type="dxa"/>
            <w:vAlign w:val="bottom"/>
            <w:gridSpan w:val="3"/>
            <w:vMerge w:val="continue"/>
          </w:tcPr>
          <w:p>
            <w:pPr>
              <w:spacing w:after="0"/>
              <w:rPr>
                <w:sz w:val="12"/>
                <w:szCs w:val="12"/>
                <w:color w:val="auto"/>
              </w:rPr>
            </w:pPr>
          </w:p>
        </w:tc>
        <w:tc>
          <w:tcPr>
            <w:tcW w:w="2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8580" w:type="dxa"/>
            <w:vAlign w:val="bottom"/>
            <w:gridSpan w:val="3"/>
          </w:tcPr>
          <w:p>
            <w:pPr>
              <w:spacing w:after="0" w:line="176" w:lineRule="exact"/>
              <w:rPr>
                <w:sz w:val="20"/>
                <w:szCs w:val="20"/>
                <w:color w:val="auto"/>
              </w:rPr>
            </w:pPr>
            <w:r>
              <w:rPr>
                <w:rFonts w:ascii="Arial" w:cs="Arial" w:eastAsia="Arial" w:hAnsi="Arial"/>
                <w:sz w:val="16"/>
                <w:szCs w:val="16"/>
                <w:color w:val="auto"/>
              </w:rPr>
              <w:t>Current assets:</w:t>
            </w:r>
          </w:p>
        </w:tc>
        <w:tc>
          <w:tcPr>
            <w:tcW w:w="2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0" w:type="dxa"/>
            <w:vAlign w:val="bottom"/>
          </w:tcPr>
          <w:p>
            <w:pPr>
              <w:spacing w:after="0" w:line="176" w:lineRule="exact"/>
              <w:rPr>
                <w:sz w:val="20"/>
                <w:szCs w:val="20"/>
                <w:color w:val="auto"/>
              </w:rPr>
            </w:pPr>
            <w:r>
              <w:rPr>
                <w:rFonts w:ascii="Arial" w:cs="Arial" w:eastAsia="Arial" w:hAnsi="Arial"/>
                <w:sz w:val="16"/>
                <w:szCs w:val="16"/>
                <w:color w:val="auto"/>
              </w:rPr>
              <w:t>Cash and cash equivalents</w:t>
            </w:r>
          </w:p>
        </w:tc>
        <w:tc>
          <w:tcPr>
            <w:tcW w:w="200" w:type="dxa"/>
            <w:vAlign w:val="bottom"/>
          </w:tcPr>
          <w:p>
            <w:pPr>
              <w:jc w:val="right"/>
              <w:ind w:right="44"/>
              <w:spacing w:after="0"/>
              <w:rPr>
                <w:sz w:val="20"/>
                <w:szCs w:val="20"/>
                <w:color w:val="auto"/>
              </w:rPr>
            </w:pPr>
            <w:r>
              <w:rPr>
                <w:rFonts w:ascii="Arial" w:cs="Arial" w:eastAsia="Arial" w:hAnsi="Arial"/>
                <w:sz w:val="15"/>
                <w:szCs w:val="15"/>
                <w:color w:val="auto"/>
                <w:w w:val="71"/>
              </w:rPr>
              <w:t>$</w:t>
            </w:r>
          </w:p>
        </w:tc>
        <w:tc>
          <w:tcPr>
            <w:tcW w:w="1200" w:type="dxa"/>
            <w:vAlign w:val="bottom"/>
          </w:tcPr>
          <w:p>
            <w:pPr>
              <w:jc w:val="right"/>
              <w:spacing w:after="0" w:line="176" w:lineRule="exact"/>
              <w:rPr>
                <w:sz w:val="20"/>
                <w:szCs w:val="20"/>
                <w:color w:val="auto"/>
              </w:rPr>
            </w:pPr>
            <w:r>
              <w:rPr>
                <w:rFonts w:ascii="Arial" w:cs="Arial" w:eastAsia="Arial" w:hAnsi="Arial"/>
                <w:sz w:val="16"/>
                <w:szCs w:val="16"/>
                <w:color w:val="auto"/>
              </w:rPr>
              <w:t>16</w:t>
            </w:r>
          </w:p>
        </w:tc>
        <w:tc>
          <w:tcPr>
            <w:tcW w:w="180" w:type="dxa"/>
            <w:vAlign w:val="bottom"/>
          </w:tcPr>
          <w:p>
            <w:pPr>
              <w:jc w:val="right"/>
              <w:spacing w:after="0" w:line="176" w:lineRule="exact"/>
              <w:rPr>
                <w:sz w:val="20"/>
                <w:szCs w:val="20"/>
                <w:color w:val="auto"/>
              </w:rPr>
            </w:pPr>
            <w:r>
              <w:rPr>
                <w:rFonts w:ascii="Arial" w:cs="Arial" w:eastAsia="Arial" w:hAnsi="Arial"/>
                <w:sz w:val="16"/>
                <w:szCs w:val="16"/>
                <w:color w:val="auto"/>
                <w:w w:val="89"/>
              </w:rPr>
              <w:t>$</w:t>
            </w:r>
          </w:p>
        </w:tc>
        <w:tc>
          <w:tcPr>
            <w:tcW w:w="1260" w:type="dxa"/>
            <w:vAlign w:val="bottom"/>
          </w:tcPr>
          <w:p>
            <w:pPr>
              <w:jc w:val="right"/>
              <w:spacing w:after="0" w:line="176" w:lineRule="exact"/>
              <w:rPr>
                <w:sz w:val="20"/>
                <w:szCs w:val="20"/>
                <w:color w:val="auto"/>
              </w:rPr>
            </w:pPr>
            <w:r>
              <w:rPr>
                <w:rFonts w:ascii="Arial" w:cs="Arial" w:eastAsia="Arial" w:hAnsi="Arial"/>
                <w:sz w:val="16"/>
                <w:szCs w:val="16"/>
                <w:color w:val="auto"/>
              </w:rPr>
              <w:t>417</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8560" w:type="dxa"/>
            <w:vAlign w:val="bottom"/>
            <w:gridSpan w:val="2"/>
          </w:tcPr>
          <w:p>
            <w:pPr>
              <w:ind w:left="160"/>
              <w:spacing w:after="0" w:line="176" w:lineRule="exact"/>
              <w:rPr>
                <w:sz w:val="20"/>
                <w:szCs w:val="20"/>
                <w:color w:val="auto"/>
              </w:rPr>
            </w:pPr>
            <w:r>
              <w:rPr>
                <w:rFonts w:ascii="Arial" w:cs="Arial" w:eastAsia="Arial" w:hAnsi="Arial"/>
                <w:sz w:val="16"/>
                <w:szCs w:val="16"/>
                <w:color w:val="auto"/>
              </w:rPr>
              <w:t>Accounts receivable - trade</w:t>
            </w:r>
          </w:p>
        </w:tc>
        <w:tc>
          <w:tcPr>
            <w:tcW w:w="200" w:type="dxa"/>
            <w:vAlign w:val="bottom"/>
          </w:tcPr>
          <w:p>
            <w:pPr>
              <w:spacing w:after="0"/>
              <w:rPr>
                <w:sz w:val="15"/>
                <w:szCs w:val="15"/>
                <w:color w:val="auto"/>
              </w:rPr>
            </w:pPr>
          </w:p>
        </w:tc>
        <w:tc>
          <w:tcPr>
            <w:tcW w:w="1200" w:type="dxa"/>
            <w:vAlign w:val="bottom"/>
          </w:tcPr>
          <w:p>
            <w:pPr>
              <w:jc w:val="right"/>
              <w:spacing w:after="0" w:line="176" w:lineRule="exact"/>
              <w:rPr>
                <w:sz w:val="20"/>
                <w:szCs w:val="20"/>
                <w:color w:val="auto"/>
              </w:rPr>
            </w:pPr>
            <w:r>
              <w:rPr>
                <w:rFonts w:ascii="Arial" w:cs="Arial" w:eastAsia="Arial" w:hAnsi="Arial"/>
                <w:sz w:val="16"/>
                <w:szCs w:val="16"/>
                <w:color w:val="auto"/>
              </w:rPr>
              <w:t>363</w:t>
            </w:r>
          </w:p>
        </w:tc>
        <w:tc>
          <w:tcPr>
            <w:tcW w:w="180" w:type="dxa"/>
            <w:vAlign w:val="bottom"/>
          </w:tcPr>
          <w:p>
            <w:pPr>
              <w:spacing w:after="0"/>
              <w:rPr>
                <w:sz w:val="15"/>
                <w:szCs w:val="15"/>
                <w:color w:val="auto"/>
              </w:rPr>
            </w:pPr>
          </w:p>
        </w:tc>
        <w:tc>
          <w:tcPr>
            <w:tcW w:w="1260" w:type="dxa"/>
            <w:vAlign w:val="bottom"/>
          </w:tcPr>
          <w:p>
            <w:pPr>
              <w:jc w:val="right"/>
              <w:spacing w:after="0" w:line="176" w:lineRule="exact"/>
              <w:rPr>
                <w:sz w:val="20"/>
                <w:szCs w:val="20"/>
                <w:color w:val="auto"/>
              </w:rPr>
            </w:pPr>
            <w:r>
              <w:rPr>
                <w:rFonts w:ascii="Arial" w:cs="Arial" w:eastAsia="Arial" w:hAnsi="Arial"/>
                <w:sz w:val="16"/>
                <w:szCs w:val="16"/>
                <w:color w:val="auto"/>
              </w:rPr>
              <w:t>534</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8560" w:type="dxa"/>
            <w:vAlign w:val="bottom"/>
            <w:gridSpan w:val="2"/>
          </w:tcPr>
          <w:p>
            <w:pPr>
              <w:ind w:left="160"/>
              <w:spacing w:after="0" w:line="176" w:lineRule="exact"/>
              <w:rPr>
                <w:sz w:val="20"/>
                <w:szCs w:val="20"/>
                <w:color w:val="auto"/>
              </w:rPr>
            </w:pPr>
            <w:r>
              <w:rPr>
                <w:rFonts w:ascii="Arial" w:cs="Arial" w:eastAsia="Arial" w:hAnsi="Arial"/>
                <w:sz w:val="16"/>
                <w:szCs w:val="16"/>
                <w:color w:val="auto"/>
              </w:rPr>
              <w:t>Accounts receivable - other</w:t>
            </w:r>
          </w:p>
        </w:tc>
        <w:tc>
          <w:tcPr>
            <w:tcW w:w="200" w:type="dxa"/>
            <w:vAlign w:val="bottom"/>
          </w:tcPr>
          <w:p>
            <w:pPr>
              <w:spacing w:after="0"/>
              <w:rPr>
                <w:sz w:val="15"/>
                <w:szCs w:val="15"/>
                <w:color w:val="auto"/>
              </w:rPr>
            </w:pPr>
          </w:p>
        </w:tc>
        <w:tc>
          <w:tcPr>
            <w:tcW w:w="1200" w:type="dxa"/>
            <w:vAlign w:val="bottom"/>
          </w:tcPr>
          <w:p>
            <w:pPr>
              <w:jc w:val="right"/>
              <w:spacing w:after="0" w:line="176" w:lineRule="exact"/>
              <w:rPr>
                <w:sz w:val="20"/>
                <w:szCs w:val="20"/>
                <w:color w:val="auto"/>
              </w:rPr>
            </w:pPr>
            <w:r>
              <w:rPr>
                <w:rFonts w:ascii="Arial" w:cs="Arial" w:eastAsia="Arial" w:hAnsi="Arial"/>
                <w:sz w:val="16"/>
                <w:szCs w:val="16"/>
                <w:color w:val="auto"/>
              </w:rPr>
              <w:t>54</w:t>
            </w:r>
          </w:p>
        </w:tc>
        <w:tc>
          <w:tcPr>
            <w:tcW w:w="180" w:type="dxa"/>
            <w:vAlign w:val="bottom"/>
          </w:tcPr>
          <w:p>
            <w:pPr>
              <w:spacing w:after="0"/>
              <w:rPr>
                <w:sz w:val="15"/>
                <w:szCs w:val="15"/>
                <w:color w:val="auto"/>
              </w:rPr>
            </w:pPr>
          </w:p>
        </w:tc>
        <w:tc>
          <w:tcPr>
            <w:tcW w:w="1260" w:type="dxa"/>
            <w:vAlign w:val="bottom"/>
          </w:tcPr>
          <w:p>
            <w:pPr>
              <w:jc w:val="right"/>
              <w:spacing w:after="0" w:line="176" w:lineRule="exact"/>
              <w:rPr>
                <w:sz w:val="20"/>
                <w:szCs w:val="20"/>
                <w:color w:val="auto"/>
              </w:rPr>
            </w:pPr>
            <w:r>
              <w:rPr>
                <w:rFonts w:ascii="Arial" w:cs="Arial" w:eastAsia="Arial" w:hAnsi="Arial"/>
                <w:sz w:val="16"/>
                <w:szCs w:val="16"/>
                <w:color w:val="auto"/>
              </w:rPr>
              <w:t>49</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0" w:type="dxa"/>
            <w:vAlign w:val="bottom"/>
          </w:tcPr>
          <w:p>
            <w:pPr>
              <w:spacing w:after="0" w:line="176" w:lineRule="exact"/>
              <w:rPr>
                <w:sz w:val="20"/>
                <w:szCs w:val="20"/>
                <w:color w:val="auto"/>
              </w:rPr>
            </w:pPr>
            <w:r>
              <w:rPr>
                <w:rFonts w:ascii="Arial" w:cs="Arial" w:eastAsia="Arial" w:hAnsi="Arial"/>
                <w:sz w:val="16"/>
                <w:szCs w:val="16"/>
                <w:color w:val="auto"/>
              </w:rPr>
              <w:t>Due from unconsolidated affiliates</w:t>
            </w:r>
          </w:p>
        </w:tc>
        <w:tc>
          <w:tcPr>
            <w:tcW w:w="200" w:type="dxa"/>
            <w:vAlign w:val="bottom"/>
          </w:tcPr>
          <w:p>
            <w:pPr>
              <w:spacing w:after="0"/>
              <w:rPr>
                <w:sz w:val="15"/>
                <w:szCs w:val="15"/>
                <w:color w:val="auto"/>
              </w:rPr>
            </w:pPr>
          </w:p>
        </w:tc>
        <w:tc>
          <w:tcPr>
            <w:tcW w:w="1200" w:type="dxa"/>
            <w:vAlign w:val="bottom"/>
          </w:tcPr>
          <w:p>
            <w:pPr>
              <w:jc w:val="right"/>
              <w:spacing w:after="0" w:line="176" w:lineRule="exact"/>
              <w:rPr>
                <w:sz w:val="20"/>
                <w:szCs w:val="20"/>
                <w:color w:val="auto"/>
              </w:rPr>
            </w:pPr>
            <w:r>
              <w:rPr>
                <w:rFonts w:ascii="Arial" w:cs="Arial" w:eastAsia="Arial" w:hAnsi="Arial"/>
                <w:sz w:val="16"/>
                <w:szCs w:val="16"/>
                <w:color w:val="auto"/>
              </w:rPr>
              <w:t>287</w:t>
            </w:r>
          </w:p>
        </w:tc>
        <w:tc>
          <w:tcPr>
            <w:tcW w:w="180" w:type="dxa"/>
            <w:vAlign w:val="bottom"/>
          </w:tcPr>
          <w:p>
            <w:pPr>
              <w:spacing w:after="0"/>
              <w:rPr>
                <w:sz w:val="15"/>
                <w:szCs w:val="15"/>
                <w:color w:val="auto"/>
              </w:rPr>
            </w:pPr>
          </w:p>
        </w:tc>
        <w:tc>
          <w:tcPr>
            <w:tcW w:w="1260" w:type="dxa"/>
            <w:vAlign w:val="bottom"/>
          </w:tcPr>
          <w:p>
            <w:pPr>
              <w:jc w:val="right"/>
              <w:spacing w:after="0" w:line="176" w:lineRule="exact"/>
              <w:rPr>
                <w:sz w:val="20"/>
                <w:szCs w:val="20"/>
                <w:color w:val="auto"/>
              </w:rPr>
            </w:pPr>
            <w:r>
              <w:rPr>
                <w:rFonts w:ascii="Arial" w:cs="Arial" w:eastAsia="Arial" w:hAnsi="Arial"/>
                <w:sz w:val="16"/>
                <w:szCs w:val="16"/>
                <w:color w:val="auto"/>
              </w:rPr>
              <w:t>63</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0" w:type="dxa"/>
            <w:vAlign w:val="bottom"/>
          </w:tcPr>
          <w:p>
            <w:pPr>
              <w:spacing w:after="0" w:line="176" w:lineRule="exact"/>
              <w:rPr>
                <w:sz w:val="20"/>
                <w:szCs w:val="20"/>
                <w:color w:val="auto"/>
              </w:rPr>
            </w:pPr>
            <w:r>
              <w:rPr>
                <w:rFonts w:ascii="Arial" w:cs="Arial" w:eastAsia="Arial" w:hAnsi="Arial"/>
                <w:sz w:val="16"/>
                <w:szCs w:val="16"/>
                <w:color w:val="auto"/>
              </w:rPr>
              <w:t>Income taxes receivable</w:t>
            </w:r>
          </w:p>
        </w:tc>
        <w:tc>
          <w:tcPr>
            <w:tcW w:w="200" w:type="dxa"/>
            <w:vAlign w:val="bottom"/>
          </w:tcPr>
          <w:p>
            <w:pPr>
              <w:spacing w:after="0"/>
              <w:rPr>
                <w:sz w:val="15"/>
                <w:szCs w:val="15"/>
                <w:color w:val="auto"/>
              </w:rPr>
            </w:pPr>
          </w:p>
        </w:tc>
        <w:tc>
          <w:tcPr>
            <w:tcW w:w="1200" w:type="dxa"/>
            <w:vAlign w:val="bottom"/>
          </w:tcPr>
          <w:p>
            <w:pPr>
              <w:jc w:val="right"/>
              <w:spacing w:after="0" w:line="176" w:lineRule="exact"/>
              <w:rPr>
                <w:sz w:val="20"/>
                <w:szCs w:val="20"/>
                <w:color w:val="auto"/>
              </w:rPr>
            </w:pPr>
            <w:r>
              <w:rPr>
                <w:rFonts w:ascii="Arial" w:cs="Arial" w:eastAsia="Arial" w:hAnsi="Arial"/>
                <w:sz w:val="16"/>
                <w:szCs w:val="16"/>
                <w:color w:val="auto"/>
              </w:rPr>
              <w:t>20</w:t>
            </w:r>
          </w:p>
        </w:tc>
        <w:tc>
          <w:tcPr>
            <w:tcW w:w="180" w:type="dxa"/>
            <w:vAlign w:val="bottom"/>
          </w:tcPr>
          <w:p>
            <w:pPr>
              <w:spacing w:after="0"/>
              <w:rPr>
                <w:sz w:val="15"/>
                <w:szCs w:val="15"/>
                <w:color w:val="auto"/>
              </w:rPr>
            </w:pPr>
          </w:p>
        </w:tc>
        <w:tc>
          <w:tcPr>
            <w:tcW w:w="1260" w:type="dxa"/>
            <w:vAlign w:val="bottom"/>
          </w:tcPr>
          <w:p>
            <w:pPr>
              <w:jc w:val="right"/>
              <w:spacing w:after="0" w:line="176" w:lineRule="exact"/>
              <w:rPr>
                <w:sz w:val="20"/>
                <w:szCs w:val="20"/>
                <w:color w:val="auto"/>
              </w:rPr>
            </w:pPr>
            <w:r>
              <w:rPr>
                <w:rFonts w:ascii="Arial" w:cs="Arial" w:eastAsia="Arial" w:hAnsi="Arial"/>
                <w:sz w:val="16"/>
                <w:szCs w:val="16"/>
                <w:color w:val="auto"/>
              </w:rPr>
              <w:t>28</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0" w:type="dxa"/>
            <w:vAlign w:val="bottom"/>
          </w:tcPr>
          <w:p>
            <w:pPr>
              <w:spacing w:after="0" w:line="176" w:lineRule="exact"/>
              <w:rPr>
                <w:sz w:val="20"/>
                <w:szCs w:val="20"/>
                <w:color w:val="auto"/>
              </w:rPr>
            </w:pPr>
            <w:r>
              <w:rPr>
                <w:rFonts w:ascii="Arial" w:cs="Arial" w:eastAsia="Arial" w:hAnsi="Arial"/>
                <w:sz w:val="16"/>
                <w:szCs w:val="16"/>
                <w:color w:val="auto"/>
              </w:rPr>
              <w:t>Inventories</w:t>
            </w:r>
          </w:p>
        </w:tc>
        <w:tc>
          <w:tcPr>
            <w:tcW w:w="200" w:type="dxa"/>
            <w:vAlign w:val="bottom"/>
          </w:tcPr>
          <w:p>
            <w:pPr>
              <w:spacing w:after="0"/>
              <w:rPr>
                <w:sz w:val="15"/>
                <w:szCs w:val="15"/>
                <w:color w:val="auto"/>
              </w:rPr>
            </w:pPr>
          </w:p>
        </w:tc>
        <w:tc>
          <w:tcPr>
            <w:tcW w:w="1200" w:type="dxa"/>
            <w:vAlign w:val="bottom"/>
          </w:tcPr>
          <w:p>
            <w:pPr>
              <w:jc w:val="right"/>
              <w:spacing w:after="0" w:line="176" w:lineRule="exact"/>
              <w:rPr>
                <w:sz w:val="20"/>
                <w:szCs w:val="20"/>
                <w:color w:val="auto"/>
              </w:rPr>
            </w:pPr>
            <w:r>
              <w:rPr>
                <w:rFonts w:ascii="Arial" w:cs="Arial" w:eastAsia="Arial" w:hAnsi="Arial"/>
                <w:sz w:val="16"/>
                <w:szCs w:val="16"/>
                <w:color w:val="auto"/>
              </w:rPr>
              <w:t>35</w:t>
            </w:r>
          </w:p>
        </w:tc>
        <w:tc>
          <w:tcPr>
            <w:tcW w:w="180" w:type="dxa"/>
            <w:vAlign w:val="bottom"/>
          </w:tcPr>
          <w:p>
            <w:pPr>
              <w:spacing w:after="0"/>
              <w:rPr>
                <w:sz w:val="15"/>
                <w:szCs w:val="15"/>
                <w:color w:val="auto"/>
              </w:rPr>
            </w:pPr>
          </w:p>
        </w:tc>
        <w:tc>
          <w:tcPr>
            <w:tcW w:w="1260" w:type="dxa"/>
            <w:vAlign w:val="bottom"/>
          </w:tcPr>
          <w:p>
            <w:pPr>
              <w:jc w:val="right"/>
              <w:spacing w:after="0" w:line="176" w:lineRule="exact"/>
              <w:rPr>
                <w:sz w:val="20"/>
                <w:szCs w:val="20"/>
                <w:color w:val="auto"/>
              </w:rPr>
            </w:pPr>
            <w:r>
              <w:rPr>
                <w:rFonts w:ascii="Arial" w:cs="Arial" w:eastAsia="Arial" w:hAnsi="Arial"/>
                <w:sz w:val="16"/>
                <w:szCs w:val="16"/>
                <w:color w:val="auto"/>
              </w:rPr>
              <w:t>105</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0" w:type="dxa"/>
            <w:vAlign w:val="bottom"/>
          </w:tcPr>
          <w:p>
            <w:pPr>
              <w:spacing w:after="0" w:line="176" w:lineRule="exact"/>
              <w:rPr>
                <w:sz w:val="20"/>
                <w:szCs w:val="20"/>
                <w:color w:val="auto"/>
              </w:rPr>
            </w:pPr>
            <w:r>
              <w:rPr>
                <w:rFonts w:ascii="Arial" w:cs="Arial" w:eastAsia="Arial" w:hAnsi="Arial"/>
                <w:sz w:val="16"/>
                <w:szCs w:val="16"/>
                <w:color w:val="auto"/>
              </w:rPr>
              <w:t>Regulatory assets</w:t>
            </w:r>
          </w:p>
        </w:tc>
        <w:tc>
          <w:tcPr>
            <w:tcW w:w="200" w:type="dxa"/>
            <w:vAlign w:val="bottom"/>
          </w:tcPr>
          <w:p>
            <w:pPr>
              <w:spacing w:after="0"/>
              <w:rPr>
                <w:sz w:val="15"/>
                <w:szCs w:val="15"/>
                <w:color w:val="auto"/>
              </w:rPr>
            </w:pPr>
          </w:p>
        </w:tc>
        <w:tc>
          <w:tcPr>
            <w:tcW w:w="1200" w:type="dxa"/>
            <w:vAlign w:val="bottom"/>
          </w:tcPr>
          <w:p>
            <w:pPr>
              <w:jc w:val="right"/>
              <w:spacing w:after="0" w:line="176" w:lineRule="exact"/>
              <w:rPr>
                <w:sz w:val="20"/>
                <w:szCs w:val="20"/>
                <w:color w:val="auto"/>
              </w:rPr>
            </w:pPr>
            <w:r>
              <w:rPr>
                <w:rFonts w:ascii="Arial" w:cs="Arial" w:eastAsia="Arial" w:hAnsi="Arial"/>
                <w:sz w:val="16"/>
                <w:szCs w:val="16"/>
                <w:color w:val="auto"/>
              </w:rPr>
              <w:t>7</w:t>
            </w:r>
          </w:p>
        </w:tc>
        <w:tc>
          <w:tcPr>
            <w:tcW w:w="180" w:type="dxa"/>
            <w:vAlign w:val="bottom"/>
          </w:tcPr>
          <w:p>
            <w:pPr>
              <w:spacing w:after="0"/>
              <w:rPr>
                <w:sz w:val="15"/>
                <w:szCs w:val="15"/>
                <w:color w:val="auto"/>
              </w:rPr>
            </w:pPr>
          </w:p>
        </w:tc>
        <w:tc>
          <w:tcPr>
            <w:tcW w:w="1260" w:type="dxa"/>
            <w:vAlign w:val="bottom"/>
          </w:tcPr>
          <w:p>
            <w:pPr>
              <w:jc w:val="right"/>
              <w:spacing w:after="0" w:line="176" w:lineRule="exact"/>
              <w:rPr>
                <w:sz w:val="20"/>
                <w:szCs w:val="20"/>
                <w:color w:val="auto"/>
              </w:rPr>
            </w:pPr>
            <w:r>
              <w:rPr>
                <w:rFonts w:ascii="Arial" w:cs="Arial" w:eastAsia="Arial" w:hAnsi="Arial"/>
                <w:sz w:val="16"/>
                <w:szCs w:val="16"/>
                <w:color w:val="auto"/>
              </w:rPr>
              <w:t>12</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0" w:type="dxa"/>
            <w:vAlign w:val="bottom"/>
          </w:tcPr>
          <w:p>
            <w:pPr>
              <w:spacing w:after="0"/>
              <w:rPr>
                <w:sz w:val="20"/>
                <w:szCs w:val="20"/>
                <w:color w:val="auto"/>
              </w:rPr>
            </w:pPr>
            <w:r>
              <w:rPr>
                <w:rFonts w:ascii="Arial" w:cs="Arial" w:eastAsia="Arial" w:hAnsi="Arial"/>
                <w:sz w:val="16"/>
                <w:szCs w:val="16"/>
                <w:color w:val="auto"/>
              </w:rPr>
              <w:t>Other</w:t>
            </w:r>
          </w:p>
        </w:tc>
        <w:tc>
          <w:tcPr>
            <w:tcW w:w="2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48</w:t>
            </w:r>
          </w:p>
        </w:tc>
        <w:tc>
          <w:tcPr>
            <w:tcW w:w="1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0" w:type="dxa"/>
            <w:vAlign w:val="bottom"/>
          </w:tcPr>
          <w:p>
            <w:pPr>
              <w:ind w:left="180"/>
              <w:spacing w:after="0" w:line="176" w:lineRule="exact"/>
              <w:rPr>
                <w:sz w:val="20"/>
                <w:szCs w:val="20"/>
                <w:color w:val="auto"/>
              </w:rPr>
            </w:pPr>
            <w:r>
              <w:rPr>
                <w:rFonts w:ascii="Arial" w:cs="Arial" w:eastAsia="Arial" w:hAnsi="Arial"/>
                <w:sz w:val="16"/>
                <w:szCs w:val="16"/>
                <w:color w:val="auto"/>
              </w:rPr>
              <w:t>Total current assets</w:t>
            </w:r>
          </w:p>
        </w:tc>
        <w:tc>
          <w:tcPr>
            <w:tcW w:w="20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6"/>
                <w:szCs w:val="16"/>
                <w:color w:val="auto"/>
              </w:rPr>
              <w:t>830</w:t>
            </w:r>
          </w:p>
        </w:tc>
        <w:tc>
          <w:tcPr>
            <w:tcW w:w="18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6"/>
                <w:szCs w:val="16"/>
                <w:color w:val="auto"/>
              </w:rPr>
              <w:t>1,247</w:t>
            </w:r>
          </w:p>
        </w:tc>
        <w:tc>
          <w:tcPr>
            <w:tcW w:w="0" w:type="dxa"/>
            <w:vAlign w:val="bottom"/>
          </w:tcPr>
          <w:p>
            <w:pPr>
              <w:spacing w:after="0"/>
              <w:rPr>
                <w:sz w:val="1"/>
                <w:szCs w:val="1"/>
                <w:color w:val="auto"/>
              </w:rPr>
            </w:pPr>
          </w:p>
        </w:tc>
      </w:tr>
      <w:tr>
        <w:trPr>
          <w:trHeight w:val="359"/>
        </w:trPr>
        <w:tc>
          <w:tcPr>
            <w:tcW w:w="8580" w:type="dxa"/>
            <w:vAlign w:val="bottom"/>
            <w:gridSpan w:val="3"/>
          </w:tcPr>
          <w:p>
            <w:pPr>
              <w:spacing w:after="0"/>
              <w:rPr>
                <w:sz w:val="20"/>
                <w:szCs w:val="20"/>
                <w:color w:val="auto"/>
              </w:rPr>
            </w:pPr>
            <w:r>
              <w:rPr>
                <w:rFonts w:ascii="Arial" w:cs="Arial" w:eastAsia="Arial" w:hAnsi="Arial"/>
                <w:sz w:val="16"/>
                <w:szCs w:val="16"/>
                <w:color w:val="auto"/>
              </w:rPr>
              <w:t>Other assets:</w:t>
            </w:r>
          </w:p>
        </w:tc>
        <w:tc>
          <w:tcPr>
            <w:tcW w:w="2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0" w:type="dxa"/>
            <w:vAlign w:val="bottom"/>
          </w:tcPr>
          <w:p>
            <w:pPr>
              <w:spacing w:after="0"/>
              <w:rPr>
                <w:sz w:val="20"/>
                <w:szCs w:val="20"/>
                <w:color w:val="auto"/>
              </w:rPr>
            </w:pPr>
            <w:r>
              <w:rPr>
                <w:rFonts w:ascii="Arial" w:cs="Arial" w:eastAsia="Arial" w:hAnsi="Arial"/>
                <w:sz w:val="16"/>
                <w:szCs w:val="16"/>
                <w:color w:val="auto"/>
              </w:rPr>
              <w:t>Regulatory assets arising from pension and other postretirement</w:t>
            </w:r>
          </w:p>
        </w:tc>
        <w:tc>
          <w:tcPr>
            <w:tcW w:w="2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0" w:type="dxa"/>
            <w:vAlign w:val="bottom"/>
          </w:tcPr>
          <w:p>
            <w:pPr>
              <w:ind w:left="180"/>
              <w:spacing w:after="0" w:line="176" w:lineRule="exact"/>
              <w:rPr>
                <w:sz w:val="20"/>
                <w:szCs w:val="20"/>
                <w:color w:val="auto"/>
              </w:rPr>
            </w:pPr>
            <w:r>
              <w:rPr>
                <w:rFonts w:ascii="Arial" w:cs="Arial" w:eastAsia="Arial" w:hAnsi="Arial"/>
                <w:sz w:val="16"/>
                <w:szCs w:val="16"/>
                <w:color w:val="auto"/>
              </w:rPr>
              <w:t>benefit obligations</w:t>
            </w:r>
          </w:p>
        </w:tc>
        <w:tc>
          <w:tcPr>
            <w:tcW w:w="200" w:type="dxa"/>
            <w:vAlign w:val="bottom"/>
          </w:tcPr>
          <w:p>
            <w:pPr>
              <w:spacing w:after="0"/>
              <w:rPr>
                <w:sz w:val="15"/>
                <w:szCs w:val="15"/>
                <w:color w:val="auto"/>
              </w:rPr>
            </w:pPr>
          </w:p>
        </w:tc>
        <w:tc>
          <w:tcPr>
            <w:tcW w:w="1200" w:type="dxa"/>
            <w:vAlign w:val="bottom"/>
          </w:tcPr>
          <w:p>
            <w:pPr>
              <w:jc w:val="right"/>
              <w:spacing w:after="0" w:line="176" w:lineRule="exact"/>
              <w:rPr>
                <w:sz w:val="20"/>
                <w:szCs w:val="20"/>
                <w:color w:val="auto"/>
              </w:rPr>
            </w:pPr>
            <w:r>
              <w:rPr>
                <w:rFonts w:ascii="Arial" w:cs="Arial" w:eastAsia="Arial" w:hAnsi="Arial"/>
                <w:sz w:val="16"/>
                <w:szCs w:val="16"/>
                <w:color w:val="auto"/>
              </w:rPr>
              <w:t>590</w:t>
            </w:r>
          </w:p>
        </w:tc>
        <w:tc>
          <w:tcPr>
            <w:tcW w:w="180" w:type="dxa"/>
            <w:vAlign w:val="bottom"/>
          </w:tcPr>
          <w:p>
            <w:pPr>
              <w:spacing w:after="0"/>
              <w:rPr>
                <w:sz w:val="15"/>
                <w:szCs w:val="15"/>
                <w:color w:val="auto"/>
              </w:rPr>
            </w:pPr>
          </w:p>
        </w:tc>
        <w:tc>
          <w:tcPr>
            <w:tcW w:w="1260" w:type="dxa"/>
            <w:vAlign w:val="bottom"/>
          </w:tcPr>
          <w:p>
            <w:pPr>
              <w:jc w:val="right"/>
              <w:spacing w:after="0" w:line="176" w:lineRule="exact"/>
              <w:rPr>
                <w:sz w:val="20"/>
                <w:szCs w:val="20"/>
                <w:color w:val="auto"/>
              </w:rPr>
            </w:pPr>
            <w:r>
              <w:rPr>
                <w:rFonts w:ascii="Arial" w:cs="Arial" w:eastAsia="Arial" w:hAnsi="Arial"/>
                <w:sz w:val="16"/>
                <w:szCs w:val="16"/>
                <w:color w:val="auto"/>
              </w:rPr>
              <w:t>586</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0" w:type="dxa"/>
            <w:vAlign w:val="bottom"/>
          </w:tcPr>
          <w:p>
            <w:pPr>
              <w:spacing w:after="0" w:line="176" w:lineRule="exact"/>
              <w:rPr>
                <w:sz w:val="20"/>
                <w:szCs w:val="20"/>
                <w:color w:val="auto"/>
              </w:rPr>
            </w:pPr>
            <w:r>
              <w:rPr>
                <w:rFonts w:ascii="Arial" w:cs="Arial" w:eastAsia="Arial" w:hAnsi="Arial"/>
                <w:sz w:val="16"/>
                <w:szCs w:val="16"/>
                <w:color w:val="auto"/>
              </w:rPr>
              <w:t>Other regulatory assets</w:t>
            </w:r>
          </w:p>
        </w:tc>
        <w:tc>
          <w:tcPr>
            <w:tcW w:w="200" w:type="dxa"/>
            <w:vAlign w:val="bottom"/>
          </w:tcPr>
          <w:p>
            <w:pPr>
              <w:spacing w:after="0"/>
              <w:rPr>
                <w:sz w:val="15"/>
                <w:szCs w:val="15"/>
                <w:color w:val="auto"/>
              </w:rPr>
            </w:pPr>
          </w:p>
        </w:tc>
        <w:tc>
          <w:tcPr>
            <w:tcW w:w="1200" w:type="dxa"/>
            <w:vAlign w:val="bottom"/>
          </w:tcPr>
          <w:p>
            <w:pPr>
              <w:jc w:val="right"/>
              <w:spacing w:after="0" w:line="176" w:lineRule="exact"/>
              <w:rPr>
                <w:sz w:val="20"/>
                <w:szCs w:val="20"/>
                <w:color w:val="auto"/>
              </w:rPr>
            </w:pPr>
            <w:r>
              <w:rPr>
                <w:rFonts w:ascii="Arial" w:cs="Arial" w:eastAsia="Arial" w:hAnsi="Arial"/>
                <w:sz w:val="16"/>
                <w:szCs w:val="16"/>
                <w:color w:val="auto"/>
              </w:rPr>
              <w:t>126</w:t>
            </w:r>
          </w:p>
        </w:tc>
        <w:tc>
          <w:tcPr>
            <w:tcW w:w="180" w:type="dxa"/>
            <w:vAlign w:val="bottom"/>
          </w:tcPr>
          <w:p>
            <w:pPr>
              <w:spacing w:after="0"/>
              <w:rPr>
                <w:sz w:val="15"/>
                <w:szCs w:val="15"/>
                <w:color w:val="auto"/>
              </w:rPr>
            </w:pPr>
          </w:p>
        </w:tc>
        <w:tc>
          <w:tcPr>
            <w:tcW w:w="1260" w:type="dxa"/>
            <w:vAlign w:val="bottom"/>
          </w:tcPr>
          <w:p>
            <w:pPr>
              <w:jc w:val="right"/>
              <w:spacing w:after="0" w:line="176" w:lineRule="exact"/>
              <w:rPr>
                <w:sz w:val="20"/>
                <w:szCs w:val="20"/>
                <w:color w:val="auto"/>
              </w:rPr>
            </w:pPr>
            <w:r>
              <w:rPr>
                <w:rFonts w:ascii="Arial" w:cs="Arial" w:eastAsia="Arial" w:hAnsi="Arial"/>
                <w:sz w:val="16"/>
                <w:szCs w:val="16"/>
                <w:color w:val="auto"/>
              </w:rPr>
              <w:t>123</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0" w:type="dxa"/>
            <w:vAlign w:val="bottom"/>
          </w:tcPr>
          <w:p>
            <w:pPr>
              <w:spacing w:after="0"/>
              <w:rPr>
                <w:sz w:val="20"/>
                <w:szCs w:val="20"/>
                <w:color w:val="auto"/>
              </w:rPr>
            </w:pPr>
            <w:r>
              <w:rPr>
                <w:rFonts w:ascii="Arial" w:cs="Arial" w:eastAsia="Arial" w:hAnsi="Arial"/>
                <w:sz w:val="16"/>
                <w:szCs w:val="16"/>
                <w:color w:val="auto"/>
              </w:rPr>
              <w:t>Sundry</w:t>
            </w:r>
          </w:p>
        </w:tc>
        <w:tc>
          <w:tcPr>
            <w:tcW w:w="2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w:t>
            </w:r>
          </w:p>
        </w:tc>
        <w:tc>
          <w:tcPr>
            <w:tcW w:w="1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0" w:type="dxa"/>
            <w:vAlign w:val="bottom"/>
          </w:tcPr>
          <w:p>
            <w:pPr>
              <w:ind w:left="180"/>
              <w:spacing w:after="0" w:line="176" w:lineRule="exact"/>
              <w:rPr>
                <w:sz w:val="20"/>
                <w:szCs w:val="20"/>
                <w:color w:val="auto"/>
              </w:rPr>
            </w:pPr>
            <w:r>
              <w:rPr>
                <w:rFonts w:ascii="Arial" w:cs="Arial" w:eastAsia="Arial" w:hAnsi="Arial"/>
                <w:sz w:val="16"/>
                <w:szCs w:val="16"/>
                <w:color w:val="auto"/>
              </w:rPr>
              <w:t>Total other assets</w:t>
            </w:r>
          </w:p>
        </w:tc>
        <w:tc>
          <w:tcPr>
            <w:tcW w:w="20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6"/>
                <w:szCs w:val="16"/>
                <w:color w:val="auto"/>
              </w:rPr>
              <w:t>732</w:t>
            </w:r>
          </w:p>
        </w:tc>
        <w:tc>
          <w:tcPr>
            <w:tcW w:w="18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6"/>
                <w:szCs w:val="16"/>
                <w:color w:val="auto"/>
              </w:rPr>
              <w:t>717</w:t>
            </w:r>
          </w:p>
        </w:tc>
        <w:tc>
          <w:tcPr>
            <w:tcW w:w="0" w:type="dxa"/>
            <w:vAlign w:val="bottom"/>
          </w:tcPr>
          <w:p>
            <w:pPr>
              <w:spacing w:after="0"/>
              <w:rPr>
                <w:sz w:val="1"/>
                <w:szCs w:val="1"/>
                <w:color w:val="auto"/>
              </w:rPr>
            </w:pPr>
          </w:p>
        </w:tc>
      </w:tr>
      <w:tr>
        <w:trPr>
          <w:trHeight w:val="340"/>
        </w:trPr>
        <w:tc>
          <w:tcPr>
            <w:tcW w:w="8580" w:type="dxa"/>
            <w:vAlign w:val="bottom"/>
            <w:gridSpan w:val="3"/>
          </w:tcPr>
          <w:p>
            <w:pPr>
              <w:spacing w:after="0"/>
              <w:rPr>
                <w:sz w:val="20"/>
                <w:szCs w:val="20"/>
                <w:color w:val="auto"/>
              </w:rPr>
            </w:pPr>
            <w:r>
              <w:rPr>
                <w:rFonts w:ascii="Arial" w:cs="Arial" w:eastAsia="Arial" w:hAnsi="Arial"/>
                <w:sz w:val="16"/>
                <w:szCs w:val="16"/>
                <w:color w:val="auto"/>
              </w:rPr>
              <w:t>Property, plant and equipment:</w:t>
            </w:r>
          </w:p>
        </w:tc>
        <w:tc>
          <w:tcPr>
            <w:tcW w:w="2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0" w:type="dxa"/>
            <w:vAlign w:val="bottom"/>
          </w:tcPr>
          <w:p>
            <w:pPr>
              <w:spacing w:after="0" w:line="176" w:lineRule="exact"/>
              <w:rPr>
                <w:sz w:val="20"/>
                <w:szCs w:val="20"/>
                <w:color w:val="auto"/>
              </w:rPr>
            </w:pPr>
            <w:r>
              <w:rPr>
                <w:rFonts w:ascii="Arial" w:cs="Arial" w:eastAsia="Arial" w:hAnsi="Arial"/>
                <w:sz w:val="16"/>
                <w:szCs w:val="16"/>
                <w:color w:val="auto"/>
              </w:rPr>
              <w:t>Property, plant and equipment</w:t>
            </w:r>
          </w:p>
        </w:tc>
        <w:tc>
          <w:tcPr>
            <w:tcW w:w="200" w:type="dxa"/>
            <w:vAlign w:val="bottom"/>
          </w:tcPr>
          <w:p>
            <w:pPr>
              <w:spacing w:after="0"/>
              <w:rPr>
                <w:sz w:val="15"/>
                <w:szCs w:val="15"/>
                <w:color w:val="auto"/>
              </w:rPr>
            </w:pPr>
          </w:p>
        </w:tc>
        <w:tc>
          <w:tcPr>
            <w:tcW w:w="1200" w:type="dxa"/>
            <w:vAlign w:val="bottom"/>
          </w:tcPr>
          <w:p>
            <w:pPr>
              <w:jc w:val="right"/>
              <w:spacing w:after="0" w:line="176" w:lineRule="exact"/>
              <w:rPr>
                <w:sz w:val="20"/>
                <w:szCs w:val="20"/>
                <w:color w:val="auto"/>
              </w:rPr>
            </w:pPr>
            <w:r>
              <w:rPr>
                <w:rFonts w:ascii="Arial" w:cs="Arial" w:eastAsia="Arial" w:hAnsi="Arial"/>
                <w:sz w:val="16"/>
                <w:szCs w:val="16"/>
                <w:color w:val="auto"/>
              </w:rPr>
              <w:t>9,974</w:t>
            </w:r>
          </w:p>
        </w:tc>
        <w:tc>
          <w:tcPr>
            <w:tcW w:w="180" w:type="dxa"/>
            <w:vAlign w:val="bottom"/>
          </w:tcPr>
          <w:p>
            <w:pPr>
              <w:spacing w:after="0"/>
              <w:rPr>
                <w:sz w:val="15"/>
                <w:szCs w:val="15"/>
                <w:color w:val="auto"/>
              </w:rPr>
            </w:pPr>
          </w:p>
        </w:tc>
        <w:tc>
          <w:tcPr>
            <w:tcW w:w="1260" w:type="dxa"/>
            <w:vAlign w:val="bottom"/>
          </w:tcPr>
          <w:p>
            <w:pPr>
              <w:jc w:val="right"/>
              <w:spacing w:after="0" w:line="176" w:lineRule="exact"/>
              <w:rPr>
                <w:sz w:val="20"/>
                <w:szCs w:val="20"/>
                <w:color w:val="auto"/>
              </w:rPr>
            </w:pPr>
            <w:r>
              <w:rPr>
                <w:rFonts w:ascii="Arial" w:cs="Arial" w:eastAsia="Arial" w:hAnsi="Arial"/>
                <w:sz w:val="16"/>
                <w:szCs w:val="16"/>
                <w:color w:val="auto"/>
              </w:rPr>
              <w:t>9,824</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0" w:type="dxa"/>
            <w:vAlign w:val="bottom"/>
          </w:tcPr>
          <w:p>
            <w:pPr>
              <w:spacing w:after="0"/>
              <w:rPr>
                <w:sz w:val="20"/>
                <w:szCs w:val="20"/>
                <w:color w:val="auto"/>
              </w:rPr>
            </w:pPr>
            <w:r>
              <w:rPr>
                <w:rFonts w:ascii="Arial" w:cs="Arial" w:eastAsia="Arial" w:hAnsi="Arial"/>
                <w:sz w:val="16"/>
                <w:szCs w:val="16"/>
                <w:color w:val="auto"/>
              </w:rPr>
              <w:t>Less accumulated depreciation and amortization</w:t>
            </w:r>
          </w:p>
        </w:tc>
        <w:tc>
          <w:tcPr>
            <w:tcW w:w="2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(3,796)</w:t>
            </w:r>
          </w:p>
        </w:tc>
        <w:tc>
          <w:tcPr>
            <w:tcW w:w="1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(3,802)</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0" w:type="dxa"/>
            <w:vAlign w:val="bottom"/>
          </w:tcPr>
          <w:p>
            <w:pPr>
              <w:ind w:left="180"/>
              <w:spacing w:after="0" w:line="176" w:lineRule="exact"/>
              <w:rPr>
                <w:sz w:val="20"/>
                <w:szCs w:val="20"/>
                <w:color w:val="auto"/>
              </w:rPr>
            </w:pPr>
            <w:r>
              <w:rPr>
                <w:rFonts w:ascii="Arial" w:cs="Arial" w:eastAsia="Arial" w:hAnsi="Arial"/>
                <w:sz w:val="16"/>
                <w:szCs w:val="16"/>
                <w:color w:val="auto"/>
              </w:rPr>
              <w:t>Property, plant and equipment, net</w:t>
            </w:r>
          </w:p>
        </w:tc>
        <w:tc>
          <w:tcPr>
            <w:tcW w:w="20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6"/>
                <w:szCs w:val="16"/>
                <w:color w:val="auto"/>
              </w:rPr>
              <w:t>6,178</w:t>
            </w:r>
          </w:p>
        </w:tc>
        <w:tc>
          <w:tcPr>
            <w:tcW w:w="18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6"/>
                <w:szCs w:val="16"/>
                <w:color w:val="auto"/>
              </w:rPr>
              <w:t>6,022</w:t>
            </w:r>
          </w:p>
        </w:tc>
        <w:tc>
          <w:tcPr>
            <w:tcW w:w="0" w:type="dxa"/>
            <w:vAlign w:val="bottom"/>
          </w:tcPr>
          <w:p>
            <w:pPr>
              <w:spacing w:after="0"/>
              <w:rPr>
                <w:sz w:val="1"/>
                <w:szCs w:val="1"/>
                <w:color w:val="auto"/>
              </w:rPr>
            </w:pPr>
          </w:p>
        </w:tc>
      </w:tr>
      <w:tr>
        <w:trPr>
          <w:trHeight w:val="183"/>
        </w:trPr>
        <w:tc>
          <w:tcPr>
            <w:tcW w:w="8580" w:type="dxa"/>
            <w:vAlign w:val="bottom"/>
            <w:gridSpan w:val="3"/>
          </w:tcPr>
          <w:p>
            <w:pPr>
              <w:spacing w:after="0" w:line="176" w:lineRule="exact"/>
              <w:rPr>
                <w:sz w:val="20"/>
                <w:szCs w:val="20"/>
                <w:color w:val="auto"/>
              </w:rPr>
            </w:pPr>
            <w:r>
              <w:rPr>
                <w:rFonts w:ascii="Arial" w:cs="Arial" w:eastAsia="Arial" w:hAnsi="Arial"/>
                <w:sz w:val="16"/>
                <w:szCs w:val="16"/>
                <w:color w:val="auto"/>
              </w:rPr>
              <w:t>Total assets</w:t>
            </w:r>
          </w:p>
        </w:tc>
        <w:tc>
          <w:tcPr>
            <w:tcW w:w="200" w:type="dxa"/>
            <w:vAlign w:val="bottom"/>
          </w:tcPr>
          <w:p>
            <w:pPr>
              <w:jc w:val="right"/>
              <w:ind w:right="44"/>
              <w:spacing w:after="0"/>
              <w:rPr>
                <w:sz w:val="20"/>
                <w:szCs w:val="20"/>
                <w:color w:val="auto"/>
              </w:rPr>
            </w:pPr>
            <w:r>
              <w:rPr>
                <w:rFonts w:ascii="Arial" w:cs="Arial" w:eastAsia="Arial" w:hAnsi="Arial"/>
                <w:sz w:val="15"/>
                <w:szCs w:val="15"/>
                <w:color w:val="auto"/>
                <w:w w:val="71"/>
              </w:rPr>
              <w:t>$</w:t>
            </w:r>
          </w:p>
        </w:tc>
        <w:tc>
          <w:tcPr>
            <w:tcW w:w="1200" w:type="dxa"/>
            <w:vAlign w:val="bottom"/>
          </w:tcPr>
          <w:p>
            <w:pPr>
              <w:jc w:val="right"/>
              <w:spacing w:after="0" w:line="176" w:lineRule="exact"/>
              <w:rPr>
                <w:sz w:val="20"/>
                <w:szCs w:val="20"/>
                <w:color w:val="auto"/>
              </w:rPr>
            </w:pPr>
            <w:r>
              <w:rPr>
                <w:rFonts w:ascii="Arial" w:cs="Arial" w:eastAsia="Arial" w:hAnsi="Arial"/>
                <w:sz w:val="16"/>
                <w:szCs w:val="16"/>
                <w:color w:val="auto"/>
              </w:rPr>
              <w:t>7,740</w:t>
            </w:r>
          </w:p>
        </w:tc>
        <w:tc>
          <w:tcPr>
            <w:tcW w:w="180" w:type="dxa"/>
            <w:vAlign w:val="bottom"/>
          </w:tcPr>
          <w:p>
            <w:pPr>
              <w:jc w:val="right"/>
              <w:spacing w:after="0" w:line="176" w:lineRule="exact"/>
              <w:rPr>
                <w:sz w:val="20"/>
                <w:szCs w:val="20"/>
                <w:color w:val="auto"/>
              </w:rPr>
            </w:pPr>
            <w:r>
              <w:rPr>
                <w:rFonts w:ascii="Arial" w:cs="Arial" w:eastAsia="Arial" w:hAnsi="Arial"/>
                <w:sz w:val="16"/>
                <w:szCs w:val="16"/>
                <w:color w:val="auto"/>
                <w:w w:val="89"/>
              </w:rPr>
              <w:t>$</w:t>
            </w:r>
          </w:p>
        </w:tc>
        <w:tc>
          <w:tcPr>
            <w:tcW w:w="1260" w:type="dxa"/>
            <w:vAlign w:val="bottom"/>
          </w:tcPr>
          <w:p>
            <w:pPr>
              <w:jc w:val="right"/>
              <w:spacing w:after="0" w:line="176" w:lineRule="exact"/>
              <w:rPr>
                <w:sz w:val="20"/>
                <w:szCs w:val="20"/>
                <w:color w:val="auto"/>
              </w:rPr>
            </w:pPr>
            <w:r>
              <w:rPr>
                <w:rFonts w:ascii="Arial" w:cs="Arial" w:eastAsia="Arial" w:hAnsi="Arial"/>
                <w:sz w:val="16"/>
                <w:szCs w:val="16"/>
                <w:color w:val="auto"/>
              </w:rPr>
              <w:t>7,986</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160" w:type="dxa"/>
            <w:vAlign w:val="bottom"/>
            <w:tcBorders>
              <w:top w:val="single" w:sz="8" w:color="auto"/>
            </w:tcBorders>
          </w:tcPr>
          <w:p>
            <w:pPr>
              <w:spacing w:after="0" w:line="153" w:lineRule="exact"/>
              <w:rPr>
                <w:sz w:val="20"/>
                <w:szCs w:val="20"/>
                <w:color w:val="auto"/>
              </w:rPr>
            </w:pPr>
            <w:r>
              <w:rPr>
                <w:rFonts w:ascii="Arial" w:cs="Arial" w:eastAsia="Arial" w:hAnsi="Arial"/>
                <w:sz w:val="14"/>
                <w:szCs w:val="14"/>
                <w:i w:val="1"/>
                <w:iCs w:val="1"/>
                <w:color w:val="auto"/>
                <w:w w:val="81"/>
              </w:rPr>
              <w:t>(1)</w:t>
            </w:r>
          </w:p>
        </w:tc>
        <w:tc>
          <w:tcPr>
            <w:tcW w:w="8400" w:type="dxa"/>
            <w:vAlign w:val="bottom"/>
            <w:tcBorders>
              <w:top w:val="single" w:sz="8" w:color="auto"/>
            </w:tcBorders>
          </w:tcPr>
          <w:p>
            <w:pPr>
              <w:ind w:left="320"/>
              <w:spacing w:after="0" w:line="153" w:lineRule="exact"/>
              <w:rPr>
                <w:sz w:val="20"/>
                <w:szCs w:val="20"/>
                <w:color w:val="auto"/>
              </w:rPr>
            </w:pPr>
            <w:r>
              <w:rPr>
                <w:rFonts w:ascii="Arial" w:cs="Arial" w:eastAsia="Arial" w:hAnsi="Arial"/>
                <w:sz w:val="14"/>
                <w:szCs w:val="14"/>
                <w:i w:val="1"/>
                <w:iCs w:val="1"/>
                <w:color w:val="auto"/>
              </w:rPr>
              <w:t>Derived from audited financial statements.</w:t>
            </w:r>
          </w:p>
        </w:tc>
        <w:tc>
          <w:tcPr>
            <w:tcW w:w="200" w:type="dxa"/>
            <w:vAlign w:val="bottom"/>
            <w:tcBorders>
              <w:top w:val="single" w:sz="8" w:color="auto"/>
            </w:tcBorders>
          </w:tcPr>
          <w:p>
            <w:pPr>
              <w:spacing w:after="0"/>
              <w:rPr>
                <w:sz w:val="13"/>
                <w:szCs w:val="13"/>
                <w:color w:val="auto"/>
              </w:rPr>
            </w:pPr>
          </w:p>
        </w:tc>
        <w:tc>
          <w:tcPr>
            <w:tcW w:w="1200" w:type="dxa"/>
            <w:vAlign w:val="bottom"/>
            <w:tcBorders>
              <w:top w:val="single" w:sz="8" w:color="auto"/>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126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86"/>
        </w:trPr>
        <w:tc>
          <w:tcPr>
            <w:tcW w:w="8580" w:type="dxa"/>
            <w:vAlign w:val="bottom"/>
            <w:gridSpan w:val="3"/>
          </w:tcPr>
          <w:p>
            <w:pPr>
              <w:spacing w:after="0"/>
              <w:rPr>
                <w:sz w:val="20"/>
                <w:szCs w:val="20"/>
                <w:color w:val="auto"/>
              </w:rPr>
            </w:pPr>
            <w:r>
              <w:rPr>
                <w:rFonts w:ascii="Arial" w:cs="Arial" w:eastAsia="Arial" w:hAnsi="Arial"/>
                <w:sz w:val="14"/>
                <w:szCs w:val="14"/>
                <w:i w:val="1"/>
                <w:iCs w:val="1"/>
                <w:color w:val="auto"/>
              </w:rPr>
              <w:t>See Notes to Condensed Consolidated Financial Statements.</w:t>
            </w:r>
          </w:p>
        </w:tc>
        <w:tc>
          <w:tcPr>
            <w:tcW w:w="2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513" w:right="239" w:bottom="1440" w:gutter="0" w:footer="0" w:header="0"/>
        </w:sectPr>
      </w:pPr>
    </w:p>
    <w:bookmarkStart w:id="17" w:name="page18"/>
    <w:bookmarkEnd w:id="17"/>
    <w:p>
      <w:pPr>
        <w:spacing w:after="0"/>
        <w:rPr>
          <w:sz w:val="20"/>
          <w:szCs w:val="20"/>
          <w:color w:val="auto"/>
        </w:rPr>
      </w:pPr>
      <w:r>
        <w:rPr>
          <w:rFonts w:ascii="Arial" w:cs="Arial" w:eastAsia="Arial" w:hAnsi="Arial"/>
          <w:sz w:val="16"/>
          <w:szCs w:val="16"/>
          <w:b w:val="1"/>
          <w:bCs w:val="1"/>
          <w:color w:val="auto"/>
        </w:rPr>
        <w:t>SOUTHERN CALIFORNIA GAS COMPANY AND SUBSIDIARIES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-104775</wp:posOffset>
            </wp:positionV>
            <wp:extent cx="7246620" cy="3346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334645"/>
                    </a:xfrm>
                    <a:prstGeom prst="rect">
                      <a:avLst/>
                    </a:prstGeom>
                    <a:noFill/>
                  </pic:spPr>
                </pic:pic>
              </a:graphicData>
            </a:graphic>
          </wp:anchor>
        </w:drawing>
      </w:r>
    </w:p>
    <w:p>
      <w:pPr>
        <w:spacing w:after="0"/>
        <w:rPr>
          <w:sz w:val="20"/>
          <w:szCs w:val="20"/>
          <w:color w:val="auto"/>
        </w:rPr>
      </w:pPr>
      <w:r>
        <w:rPr>
          <w:rFonts w:ascii="Arial" w:cs="Arial" w:eastAsia="Arial" w:hAnsi="Arial"/>
          <w:sz w:val="16"/>
          <w:szCs w:val="16"/>
          <w:b w:val="1"/>
          <w:bCs w:val="1"/>
          <w:color w:val="auto"/>
        </w:rPr>
        <w:t>CONDENSED CONSOLIDATED BALANCE SHEETS</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8580" w:type="dxa"/>
            <w:vAlign w:val="bottom"/>
            <w:gridSpan w:val="3"/>
          </w:tcPr>
          <w:p>
            <w:pPr>
              <w:spacing w:after="0"/>
              <w:rPr>
                <w:sz w:val="20"/>
                <w:szCs w:val="20"/>
                <w:color w:val="auto"/>
              </w:rPr>
            </w:pPr>
            <w:r>
              <w:rPr>
                <w:rFonts w:ascii="Arial" w:cs="Arial" w:eastAsia="Arial" w:hAnsi="Arial"/>
                <w:sz w:val="14"/>
                <w:szCs w:val="14"/>
                <w:i w:val="1"/>
                <w:iCs w:val="1"/>
                <w:color w:val="auto"/>
              </w:rPr>
              <w:t>(Dollars in millions)</w:t>
            </w:r>
          </w:p>
        </w:tc>
        <w:tc>
          <w:tcPr>
            <w:tcW w:w="2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0" w:type="dxa"/>
            <w:vAlign w:val="bottom"/>
          </w:tcPr>
          <w:p>
            <w:pPr>
              <w:jc w:val="center"/>
              <w:ind w:right="120"/>
              <w:spacing w:after="0"/>
              <w:rPr>
                <w:sz w:val="20"/>
                <w:szCs w:val="20"/>
                <w:color w:val="auto"/>
              </w:rPr>
            </w:pPr>
            <w:r>
              <w:rPr>
                <w:rFonts w:ascii="Arial" w:cs="Arial" w:eastAsia="Arial" w:hAnsi="Arial"/>
                <w:sz w:val="14"/>
                <w:szCs w:val="14"/>
                <w:color w:val="auto"/>
              </w:rPr>
              <w:t>June 30,</w:t>
            </w:r>
          </w:p>
        </w:tc>
        <w:tc>
          <w:tcPr>
            <w:tcW w:w="180" w:type="dxa"/>
            <w:vAlign w:val="bottom"/>
          </w:tcPr>
          <w:p>
            <w:pPr>
              <w:spacing w:after="0"/>
              <w:rPr>
                <w:sz w:val="14"/>
                <w:szCs w:val="14"/>
                <w:color w:val="auto"/>
              </w:rPr>
            </w:pPr>
          </w:p>
        </w:tc>
        <w:tc>
          <w:tcPr>
            <w:tcW w:w="1260" w:type="dxa"/>
            <w:vAlign w:val="bottom"/>
          </w:tcPr>
          <w:p>
            <w:pPr>
              <w:jc w:val="right"/>
              <w:ind w:right="180"/>
              <w:spacing w:after="0"/>
              <w:rPr>
                <w:sz w:val="20"/>
                <w:szCs w:val="20"/>
                <w:color w:val="auto"/>
              </w:rPr>
            </w:pPr>
            <w:r>
              <w:rPr>
                <w:rFonts w:ascii="Arial" w:cs="Arial" w:eastAsia="Arial" w:hAnsi="Arial"/>
                <w:sz w:val="14"/>
                <w:szCs w:val="14"/>
                <w:color w:val="auto"/>
              </w:rPr>
              <w:t>December 31,</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4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center"/>
              <w:ind w:right="160"/>
              <w:spacing w:after="0"/>
              <w:rPr>
                <w:sz w:val="20"/>
                <w:szCs w:val="20"/>
                <w:color w:val="auto"/>
              </w:rPr>
            </w:pPr>
            <w:r>
              <w:rPr>
                <w:rFonts w:ascii="Arial" w:cs="Arial" w:eastAsia="Arial" w:hAnsi="Arial"/>
                <w:sz w:val="14"/>
                <w:szCs w:val="14"/>
                <w:color w:val="auto"/>
              </w:rPr>
              <w:t>2011</w:t>
            </w:r>
          </w:p>
        </w:tc>
        <w:tc>
          <w:tcPr>
            <w:tcW w:w="18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right"/>
              <w:ind w:right="380"/>
              <w:spacing w:after="0"/>
              <w:rPr>
                <w:sz w:val="20"/>
                <w:szCs w:val="20"/>
                <w:color w:val="auto"/>
              </w:rPr>
            </w:pPr>
            <w:r>
              <w:rPr>
                <w:rFonts w:ascii="Arial" w:cs="Arial" w:eastAsia="Arial" w:hAnsi="Arial"/>
                <w:sz w:val="14"/>
                <w:szCs w:val="14"/>
                <w:color w:val="auto"/>
              </w:rPr>
              <w:t>2010(1)</w:t>
            </w:r>
          </w:p>
        </w:tc>
        <w:tc>
          <w:tcPr>
            <w:tcW w:w="0" w:type="dxa"/>
            <w:vAlign w:val="bottom"/>
          </w:tcPr>
          <w:p>
            <w:pPr>
              <w:spacing w:after="0"/>
              <w:rPr>
                <w:sz w:val="1"/>
                <w:szCs w:val="1"/>
                <w:color w:val="auto"/>
              </w:rPr>
            </w:pPr>
          </w:p>
        </w:tc>
      </w:tr>
      <w:tr>
        <w:trPr>
          <w:trHeight w:val="191"/>
        </w:trPr>
        <w:tc>
          <w:tcPr>
            <w:tcW w:w="8580" w:type="dxa"/>
            <w:vAlign w:val="bottom"/>
            <w:gridSpan w:val="3"/>
            <w:vMerge w:val="restart"/>
          </w:tcPr>
          <w:p>
            <w:pPr>
              <w:spacing w:after="0"/>
              <w:rPr>
                <w:sz w:val="20"/>
                <w:szCs w:val="20"/>
                <w:color w:val="auto"/>
              </w:rPr>
            </w:pPr>
            <w:r>
              <w:rPr>
                <w:rFonts w:ascii="Arial" w:cs="Arial" w:eastAsia="Arial" w:hAnsi="Arial"/>
                <w:sz w:val="16"/>
                <w:szCs w:val="16"/>
                <w:color w:val="auto"/>
              </w:rPr>
              <w:t>LIABILITIES AND SHAREHOLDERS' EQUITY</w:t>
            </w:r>
          </w:p>
        </w:tc>
        <w:tc>
          <w:tcPr>
            <w:tcW w:w="200" w:type="dxa"/>
            <w:vAlign w:val="bottom"/>
          </w:tcPr>
          <w:p>
            <w:pPr>
              <w:spacing w:after="0"/>
              <w:rPr>
                <w:sz w:val="16"/>
                <w:szCs w:val="16"/>
                <w:color w:val="auto"/>
              </w:rPr>
            </w:pPr>
          </w:p>
        </w:tc>
        <w:tc>
          <w:tcPr>
            <w:tcW w:w="1200" w:type="dxa"/>
            <w:vAlign w:val="bottom"/>
          </w:tcPr>
          <w:p>
            <w:pPr>
              <w:jc w:val="center"/>
              <w:ind w:right="120"/>
              <w:spacing w:after="0"/>
              <w:rPr>
                <w:sz w:val="20"/>
                <w:szCs w:val="20"/>
                <w:color w:val="auto"/>
              </w:rPr>
            </w:pPr>
            <w:r>
              <w:rPr>
                <w:rFonts w:ascii="Arial" w:cs="Arial" w:eastAsia="Arial" w:hAnsi="Arial"/>
                <w:sz w:val="14"/>
                <w:szCs w:val="14"/>
                <w:color w:val="auto"/>
              </w:rPr>
              <w:t>(unaudited)</w:t>
            </w:r>
          </w:p>
        </w:tc>
        <w:tc>
          <w:tcPr>
            <w:tcW w:w="1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8580" w:type="dxa"/>
            <w:vAlign w:val="bottom"/>
            <w:gridSpan w:val="3"/>
            <w:vMerge w:val="continue"/>
          </w:tcPr>
          <w:p>
            <w:pPr>
              <w:spacing w:after="0"/>
              <w:rPr>
                <w:sz w:val="12"/>
                <w:szCs w:val="12"/>
                <w:color w:val="auto"/>
              </w:rPr>
            </w:pPr>
          </w:p>
        </w:tc>
        <w:tc>
          <w:tcPr>
            <w:tcW w:w="2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8580" w:type="dxa"/>
            <w:vAlign w:val="bottom"/>
            <w:gridSpan w:val="3"/>
          </w:tcPr>
          <w:p>
            <w:pPr>
              <w:spacing w:after="0" w:line="176" w:lineRule="exact"/>
              <w:rPr>
                <w:sz w:val="20"/>
                <w:szCs w:val="20"/>
                <w:color w:val="auto"/>
              </w:rPr>
            </w:pPr>
            <w:r>
              <w:rPr>
                <w:rFonts w:ascii="Arial" w:cs="Arial" w:eastAsia="Arial" w:hAnsi="Arial"/>
                <w:sz w:val="16"/>
                <w:szCs w:val="16"/>
                <w:color w:val="auto"/>
              </w:rPr>
              <w:t>Current liabilities:</w:t>
            </w:r>
          </w:p>
        </w:tc>
        <w:tc>
          <w:tcPr>
            <w:tcW w:w="2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8560" w:type="dxa"/>
            <w:vAlign w:val="bottom"/>
            <w:gridSpan w:val="2"/>
          </w:tcPr>
          <w:p>
            <w:pPr>
              <w:ind w:left="160"/>
              <w:spacing w:after="0" w:line="176" w:lineRule="exact"/>
              <w:rPr>
                <w:sz w:val="20"/>
                <w:szCs w:val="20"/>
                <w:color w:val="auto"/>
              </w:rPr>
            </w:pPr>
            <w:r>
              <w:rPr>
                <w:rFonts w:ascii="Arial" w:cs="Arial" w:eastAsia="Arial" w:hAnsi="Arial"/>
                <w:sz w:val="16"/>
                <w:szCs w:val="16"/>
                <w:color w:val="auto"/>
              </w:rPr>
              <w:t>Accounts payable - trade</w:t>
            </w:r>
          </w:p>
        </w:tc>
        <w:tc>
          <w:tcPr>
            <w:tcW w:w="200" w:type="dxa"/>
            <w:vAlign w:val="bottom"/>
          </w:tcPr>
          <w:p>
            <w:pPr>
              <w:jc w:val="right"/>
              <w:ind w:right="44"/>
              <w:spacing w:after="0"/>
              <w:rPr>
                <w:sz w:val="20"/>
                <w:szCs w:val="20"/>
                <w:color w:val="auto"/>
              </w:rPr>
            </w:pPr>
            <w:r>
              <w:rPr>
                <w:rFonts w:ascii="Arial" w:cs="Arial" w:eastAsia="Arial" w:hAnsi="Arial"/>
                <w:sz w:val="15"/>
                <w:szCs w:val="15"/>
                <w:color w:val="auto"/>
                <w:w w:val="71"/>
              </w:rPr>
              <w:t>$</w:t>
            </w:r>
          </w:p>
        </w:tc>
        <w:tc>
          <w:tcPr>
            <w:tcW w:w="1200" w:type="dxa"/>
            <w:vAlign w:val="bottom"/>
          </w:tcPr>
          <w:p>
            <w:pPr>
              <w:jc w:val="right"/>
              <w:spacing w:after="0" w:line="176" w:lineRule="exact"/>
              <w:rPr>
                <w:sz w:val="20"/>
                <w:szCs w:val="20"/>
                <w:color w:val="auto"/>
              </w:rPr>
            </w:pPr>
            <w:r>
              <w:rPr>
                <w:rFonts w:ascii="Arial" w:cs="Arial" w:eastAsia="Arial" w:hAnsi="Arial"/>
                <w:sz w:val="16"/>
                <w:szCs w:val="16"/>
                <w:color w:val="auto"/>
              </w:rPr>
              <w:t>223</w:t>
            </w:r>
          </w:p>
        </w:tc>
        <w:tc>
          <w:tcPr>
            <w:tcW w:w="180" w:type="dxa"/>
            <w:vAlign w:val="bottom"/>
          </w:tcPr>
          <w:p>
            <w:pPr>
              <w:jc w:val="right"/>
              <w:spacing w:after="0" w:line="176" w:lineRule="exact"/>
              <w:rPr>
                <w:sz w:val="20"/>
                <w:szCs w:val="20"/>
                <w:color w:val="auto"/>
              </w:rPr>
            </w:pPr>
            <w:r>
              <w:rPr>
                <w:rFonts w:ascii="Arial" w:cs="Arial" w:eastAsia="Arial" w:hAnsi="Arial"/>
                <w:sz w:val="16"/>
                <w:szCs w:val="16"/>
                <w:color w:val="auto"/>
                <w:w w:val="89"/>
              </w:rPr>
              <w:t>$</w:t>
            </w:r>
          </w:p>
        </w:tc>
        <w:tc>
          <w:tcPr>
            <w:tcW w:w="1260" w:type="dxa"/>
            <w:vAlign w:val="bottom"/>
          </w:tcPr>
          <w:p>
            <w:pPr>
              <w:jc w:val="right"/>
              <w:spacing w:after="0" w:line="176" w:lineRule="exact"/>
              <w:rPr>
                <w:sz w:val="20"/>
                <w:szCs w:val="20"/>
                <w:color w:val="auto"/>
              </w:rPr>
            </w:pPr>
            <w:r>
              <w:rPr>
                <w:rFonts w:ascii="Arial" w:cs="Arial" w:eastAsia="Arial" w:hAnsi="Arial"/>
                <w:sz w:val="16"/>
                <w:szCs w:val="16"/>
                <w:color w:val="auto"/>
              </w:rPr>
              <w:t>327</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8560" w:type="dxa"/>
            <w:vAlign w:val="bottom"/>
            <w:gridSpan w:val="2"/>
          </w:tcPr>
          <w:p>
            <w:pPr>
              <w:ind w:left="160"/>
              <w:spacing w:after="0" w:line="176" w:lineRule="exact"/>
              <w:rPr>
                <w:sz w:val="20"/>
                <w:szCs w:val="20"/>
                <w:color w:val="auto"/>
              </w:rPr>
            </w:pPr>
            <w:r>
              <w:rPr>
                <w:rFonts w:ascii="Arial" w:cs="Arial" w:eastAsia="Arial" w:hAnsi="Arial"/>
                <w:sz w:val="16"/>
                <w:szCs w:val="16"/>
                <w:color w:val="auto"/>
              </w:rPr>
              <w:t>Accounts payable - other</w:t>
            </w:r>
          </w:p>
        </w:tc>
        <w:tc>
          <w:tcPr>
            <w:tcW w:w="200" w:type="dxa"/>
            <w:vAlign w:val="bottom"/>
          </w:tcPr>
          <w:p>
            <w:pPr>
              <w:spacing w:after="0"/>
              <w:rPr>
                <w:sz w:val="15"/>
                <w:szCs w:val="15"/>
                <w:color w:val="auto"/>
              </w:rPr>
            </w:pPr>
          </w:p>
        </w:tc>
        <w:tc>
          <w:tcPr>
            <w:tcW w:w="1200" w:type="dxa"/>
            <w:vAlign w:val="bottom"/>
          </w:tcPr>
          <w:p>
            <w:pPr>
              <w:jc w:val="right"/>
              <w:spacing w:after="0" w:line="176" w:lineRule="exact"/>
              <w:rPr>
                <w:sz w:val="20"/>
                <w:szCs w:val="20"/>
                <w:color w:val="auto"/>
              </w:rPr>
            </w:pPr>
            <w:r>
              <w:rPr>
                <w:rFonts w:ascii="Arial" w:cs="Arial" w:eastAsia="Arial" w:hAnsi="Arial"/>
                <w:sz w:val="16"/>
                <w:szCs w:val="16"/>
                <w:color w:val="auto"/>
              </w:rPr>
              <w:t>58</w:t>
            </w:r>
          </w:p>
        </w:tc>
        <w:tc>
          <w:tcPr>
            <w:tcW w:w="180" w:type="dxa"/>
            <w:vAlign w:val="bottom"/>
          </w:tcPr>
          <w:p>
            <w:pPr>
              <w:spacing w:after="0"/>
              <w:rPr>
                <w:sz w:val="15"/>
                <w:szCs w:val="15"/>
                <w:color w:val="auto"/>
              </w:rPr>
            </w:pPr>
          </w:p>
        </w:tc>
        <w:tc>
          <w:tcPr>
            <w:tcW w:w="1260" w:type="dxa"/>
            <w:vAlign w:val="bottom"/>
          </w:tcPr>
          <w:p>
            <w:pPr>
              <w:jc w:val="right"/>
              <w:spacing w:after="0" w:line="176" w:lineRule="exact"/>
              <w:rPr>
                <w:sz w:val="20"/>
                <w:szCs w:val="20"/>
                <w:color w:val="auto"/>
              </w:rPr>
            </w:pPr>
            <w:r>
              <w:rPr>
                <w:rFonts w:ascii="Arial" w:cs="Arial" w:eastAsia="Arial" w:hAnsi="Arial"/>
                <w:sz w:val="16"/>
                <w:szCs w:val="16"/>
                <w:color w:val="auto"/>
              </w:rPr>
              <w:t>79</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0" w:type="dxa"/>
            <w:vAlign w:val="bottom"/>
          </w:tcPr>
          <w:p>
            <w:pPr>
              <w:spacing w:after="0" w:line="176" w:lineRule="exact"/>
              <w:rPr>
                <w:sz w:val="20"/>
                <w:szCs w:val="20"/>
                <w:color w:val="auto"/>
              </w:rPr>
            </w:pPr>
            <w:r>
              <w:rPr>
                <w:rFonts w:ascii="Arial" w:cs="Arial" w:eastAsia="Arial" w:hAnsi="Arial"/>
                <w:sz w:val="16"/>
                <w:szCs w:val="16"/>
                <w:color w:val="auto"/>
              </w:rPr>
              <w:t>Due to unconsolidated affiliate</w:t>
            </w:r>
          </w:p>
        </w:tc>
        <w:tc>
          <w:tcPr>
            <w:tcW w:w="200" w:type="dxa"/>
            <w:vAlign w:val="bottom"/>
          </w:tcPr>
          <w:p>
            <w:pPr>
              <w:spacing w:after="0"/>
              <w:rPr>
                <w:sz w:val="15"/>
                <w:szCs w:val="15"/>
                <w:color w:val="auto"/>
              </w:rPr>
            </w:pPr>
          </w:p>
        </w:tc>
        <w:tc>
          <w:tcPr>
            <w:tcW w:w="1200" w:type="dxa"/>
            <w:vAlign w:val="bottom"/>
          </w:tcPr>
          <w:p>
            <w:pPr>
              <w:jc w:val="right"/>
              <w:spacing w:after="0" w:line="176" w:lineRule="exact"/>
              <w:rPr>
                <w:sz w:val="20"/>
                <w:szCs w:val="20"/>
                <w:color w:val="auto"/>
              </w:rPr>
            </w:pPr>
            <w:r>
              <w:rPr>
                <w:rFonts w:ascii="Arial" w:cs="Arial" w:eastAsia="Arial" w:hAnsi="Arial"/>
                <w:sz w:val="16"/>
                <w:szCs w:val="16"/>
                <w:color w:val="auto"/>
              </w:rPr>
              <w:t>―</w:t>
            </w:r>
          </w:p>
        </w:tc>
        <w:tc>
          <w:tcPr>
            <w:tcW w:w="180" w:type="dxa"/>
            <w:vAlign w:val="bottom"/>
          </w:tcPr>
          <w:p>
            <w:pPr>
              <w:spacing w:after="0"/>
              <w:rPr>
                <w:sz w:val="15"/>
                <w:szCs w:val="15"/>
                <w:color w:val="auto"/>
              </w:rPr>
            </w:pPr>
          </w:p>
        </w:tc>
        <w:tc>
          <w:tcPr>
            <w:tcW w:w="1260" w:type="dxa"/>
            <w:vAlign w:val="bottom"/>
          </w:tcPr>
          <w:p>
            <w:pPr>
              <w:jc w:val="right"/>
              <w:spacing w:after="0" w:line="176" w:lineRule="exact"/>
              <w:rPr>
                <w:sz w:val="20"/>
                <w:szCs w:val="20"/>
                <w:color w:val="auto"/>
              </w:rPr>
            </w:pPr>
            <w:r>
              <w:rPr>
                <w:rFonts w:ascii="Arial" w:cs="Arial" w:eastAsia="Arial" w:hAnsi="Arial"/>
                <w:sz w:val="16"/>
                <w:szCs w:val="16"/>
                <w:color w:val="auto"/>
              </w:rPr>
              <w:t>11</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0" w:type="dxa"/>
            <w:vAlign w:val="bottom"/>
          </w:tcPr>
          <w:p>
            <w:pPr>
              <w:spacing w:after="0" w:line="176" w:lineRule="exact"/>
              <w:rPr>
                <w:sz w:val="20"/>
                <w:szCs w:val="20"/>
                <w:color w:val="auto"/>
              </w:rPr>
            </w:pPr>
            <w:r>
              <w:rPr>
                <w:rFonts w:ascii="Arial" w:cs="Arial" w:eastAsia="Arial" w:hAnsi="Arial"/>
                <w:sz w:val="16"/>
                <w:szCs w:val="16"/>
                <w:color w:val="auto"/>
              </w:rPr>
              <w:t>Deferred income taxes</w:t>
            </w:r>
          </w:p>
        </w:tc>
        <w:tc>
          <w:tcPr>
            <w:tcW w:w="200" w:type="dxa"/>
            <w:vAlign w:val="bottom"/>
          </w:tcPr>
          <w:p>
            <w:pPr>
              <w:spacing w:after="0"/>
              <w:rPr>
                <w:sz w:val="15"/>
                <w:szCs w:val="15"/>
                <w:color w:val="auto"/>
              </w:rPr>
            </w:pPr>
          </w:p>
        </w:tc>
        <w:tc>
          <w:tcPr>
            <w:tcW w:w="1200" w:type="dxa"/>
            <w:vAlign w:val="bottom"/>
          </w:tcPr>
          <w:p>
            <w:pPr>
              <w:jc w:val="right"/>
              <w:spacing w:after="0" w:line="176" w:lineRule="exact"/>
              <w:rPr>
                <w:sz w:val="20"/>
                <w:szCs w:val="20"/>
                <w:color w:val="auto"/>
              </w:rPr>
            </w:pPr>
            <w:r>
              <w:rPr>
                <w:rFonts w:ascii="Arial" w:cs="Arial" w:eastAsia="Arial" w:hAnsi="Arial"/>
                <w:sz w:val="16"/>
                <w:szCs w:val="16"/>
                <w:color w:val="auto"/>
              </w:rPr>
              <w:t>17</w:t>
            </w:r>
          </w:p>
        </w:tc>
        <w:tc>
          <w:tcPr>
            <w:tcW w:w="180" w:type="dxa"/>
            <w:vAlign w:val="bottom"/>
          </w:tcPr>
          <w:p>
            <w:pPr>
              <w:spacing w:after="0"/>
              <w:rPr>
                <w:sz w:val="15"/>
                <w:szCs w:val="15"/>
                <w:color w:val="auto"/>
              </w:rPr>
            </w:pPr>
          </w:p>
        </w:tc>
        <w:tc>
          <w:tcPr>
            <w:tcW w:w="1260" w:type="dxa"/>
            <w:vAlign w:val="bottom"/>
          </w:tcPr>
          <w:p>
            <w:pPr>
              <w:jc w:val="right"/>
              <w:spacing w:after="0" w:line="176" w:lineRule="exact"/>
              <w:rPr>
                <w:sz w:val="20"/>
                <w:szCs w:val="20"/>
                <w:color w:val="auto"/>
              </w:rPr>
            </w:pPr>
            <w:r>
              <w:rPr>
                <w:rFonts w:ascii="Arial" w:cs="Arial" w:eastAsia="Arial" w:hAnsi="Arial"/>
                <w:sz w:val="16"/>
                <w:szCs w:val="16"/>
                <w:color w:val="auto"/>
              </w:rPr>
              <w:t>17</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8560" w:type="dxa"/>
            <w:vAlign w:val="bottom"/>
            <w:gridSpan w:val="2"/>
          </w:tcPr>
          <w:p>
            <w:pPr>
              <w:ind w:left="160"/>
              <w:spacing w:after="0" w:line="176" w:lineRule="exact"/>
              <w:rPr>
                <w:sz w:val="20"/>
                <w:szCs w:val="20"/>
                <w:color w:val="auto"/>
              </w:rPr>
            </w:pPr>
            <w:r>
              <w:rPr>
                <w:rFonts w:ascii="Arial" w:cs="Arial" w:eastAsia="Arial" w:hAnsi="Arial"/>
                <w:sz w:val="16"/>
                <w:szCs w:val="16"/>
                <w:color w:val="auto"/>
              </w:rPr>
              <w:t>Accrued compensation and benefits</w:t>
            </w:r>
          </w:p>
        </w:tc>
        <w:tc>
          <w:tcPr>
            <w:tcW w:w="200" w:type="dxa"/>
            <w:vAlign w:val="bottom"/>
          </w:tcPr>
          <w:p>
            <w:pPr>
              <w:spacing w:after="0"/>
              <w:rPr>
                <w:sz w:val="15"/>
                <w:szCs w:val="15"/>
                <w:color w:val="auto"/>
              </w:rPr>
            </w:pPr>
          </w:p>
        </w:tc>
        <w:tc>
          <w:tcPr>
            <w:tcW w:w="1200" w:type="dxa"/>
            <w:vAlign w:val="bottom"/>
          </w:tcPr>
          <w:p>
            <w:pPr>
              <w:jc w:val="right"/>
              <w:spacing w:after="0" w:line="176" w:lineRule="exact"/>
              <w:rPr>
                <w:sz w:val="20"/>
                <w:szCs w:val="20"/>
                <w:color w:val="auto"/>
              </w:rPr>
            </w:pPr>
            <w:r>
              <w:rPr>
                <w:rFonts w:ascii="Arial" w:cs="Arial" w:eastAsia="Arial" w:hAnsi="Arial"/>
                <w:sz w:val="16"/>
                <w:szCs w:val="16"/>
                <w:color w:val="auto"/>
              </w:rPr>
              <w:t>97</w:t>
            </w:r>
          </w:p>
        </w:tc>
        <w:tc>
          <w:tcPr>
            <w:tcW w:w="180" w:type="dxa"/>
            <w:vAlign w:val="bottom"/>
          </w:tcPr>
          <w:p>
            <w:pPr>
              <w:spacing w:after="0"/>
              <w:rPr>
                <w:sz w:val="15"/>
                <w:szCs w:val="15"/>
                <w:color w:val="auto"/>
              </w:rPr>
            </w:pPr>
          </w:p>
        </w:tc>
        <w:tc>
          <w:tcPr>
            <w:tcW w:w="1260" w:type="dxa"/>
            <w:vAlign w:val="bottom"/>
          </w:tcPr>
          <w:p>
            <w:pPr>
              <w:jc w:val="right"/>
              <w:spacing w:after="0" w:line="176" w:lineRule="exact"/>
              <w:rPr>
                <w:sz w:val="20"/>
                <w:szCs w:val="20"/>
                <w:color w:val="auto"/>
              </w:rPr>
            </w:pPr>
            <w:r>
              <w:rPr>
                <w:rFonts w:ascii="Arial" w:cs="Arial" w:eastAsia="Arial" w:hAnsi="Arial"/>
                <w:sz w:val="16"/>
                <w:szCs w:val="16"/>
                <w:color w:val="auto"/>
              </w:rPr>
              <w:t>98</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0" w:type="dxa"/>
            <w:vAlign w:val="bottom"/>
          </w:tcPr>
          <w:p>
            <w:pPr>
              <w:spacing w:after="0" w:line="176" w:lineRule="exact"/>
              <w:rPr>
                <w:sz w:val="20"/>
                <w:szCs w:val="20"/>
                <w:color w:val="auto"/>
              </w:rPr>
            </w:pPr>
            <w:r>
              <w:rPr>
                <w:rFonts w:ascii="Arial" w:cs="Arial" w:eastAsia="Arial" w:hAnsi="Arial"/>
                <w:sz w:val="16"/>
                <w:szCs w:val="16"/>
                <w:color w:val="auto"/>
              </w:rPr>
              <w:t>Regulatory balancing accounts, net</w:t>
            </w:r>
          </w:p>
        </w:tc>
        <w:tc>
          <w:tcPr>
            <w:tcW w:w="200" w:type="dxa"/>
            <w:vAlign w:val="bottom"/>
          </w:tcPr>
          <w:p>
            <w:pPr>
              <w:spacing w:after="0"/>
              <w:rPr>
                <w:sz w:val="15"/>
                <w:szCs w:val="15"/>
                <w:color w:val="auto"/>
              </w:rPr>
            </w:pPr>
          </w:p>
        </w:tc>
        <w:tc>
          <w:tcPr>
            <w:tcW w:w="1200" w:type="dxa"/>
            <w:vAlign w:val="bottom"/>
          </w:tcPr>
          <w:p>
            <w:pPr>
              <w:jc w:val="right"/>
              <w:spacing w:after="0" w:line="176" w:lineRule="exact"/>
              <w:rPr>
                <w:sz w:val="20"/>
                <w:szCs w:val="20"/>
                <w:color w:val="auto"/>
              </w:rPr>
            </w:pPr>
            <w:r>
              <w:rPr>
                <w:rFonts w:ascii="Arial" w:cs="Arial" w:eastAsia="Arial" w:hAnsi="Arial"/>
                <w:sz w:val="16"/>
                <w:szCs w:val="16"/>
                <w:color w:val="auto"/>
              </w:rPr>
              <w:t>154</w:t>
            </w:r>
          </w:p>
        </w:tc>
        <w:tc>
          <w:tcPr>
            <w:tcW w:w="180" w:type="dxa"/>
            <w:vAlign w:val="bottom"/>
          </w:tcPr>
          <w:p>
            <w:pPr>
              <w:spacing w:after="0"/>
              <w:rPr>
                <w:sz w:val="15"/>
                <w:szCs w:val="15"/>
                <w:color w:val="auto"/>
              </w:rPr>
            </w:pPr>
          </w:p>
        </w:tc>
        <w:tc>
          <w:tcPr>
            <w:tcW w:w="1260" w:type="dxa"/>
            <w:vAlign w:val="bottom"/>
          </w:tcPr>
          <w:p>
            <w:pPr>
              <w:jc w:val="right"/>
              <w:spacing w:after="0" w:line="176" w:lineRule="exact"/>
              <w:rPr>
                <w:sz w:val="20"/>
                <w:szCs w:val="20"/>
                <w:color w:val="auto"/>
              </w:rPr>
            </w:pPr>
            <w:r>
              <w:rPr>
                <w:rFonts w:ascii="Arial" w:cs="Arial" w:eastAsia="Arial" w:hAnsi="Arial"/>
                <w:sz w:val="16"/>
                <w:szCs w:val="16"/>
                <w:color w:val="auto"/>
              </w:rPr>
              <w:t>180</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0" w:type="dxa"/>
            <w:vAlign w:val="bottom"/>
          </w:tcPr>
          <w:p>
            <w:pPr>
              <w:spacing w:after="0" w:line="176" w:lineRule="exact"/>
              <w:rPr>
                <w:sz w:val="20"/>
                <w:szCs w:val="20"/>
                <w:color w:val="auto"/>
              </w:rPr>
            </w:pPr>
            <w:r>
              <w:rPr>
                <w:rFonts w:ascii="Arial" w:cs="Arial" w:eastAsia="Arial" w:hAnsi="Arial"/>
                <w:sz w:val="16"/>
                <w:szCs w:val="16"/>
                <w:color w:val="auto"/>
              </w:rPr>
              <w:t>Current portion of long-term debt</w:t>
            </w:r>
          </w:p>
        </w:tc>
        <w:tc>
          <w:tcPr>
            <w:tcW w:w="200" w:type="dxa"/>
            <w:vAlign w:val="bottom"/>
          </w:tcPr>
          <w:p>
            <w:pPr>
              <w:spacing w:after="0"/>
              <w:rPr>
                <w:sz w:val="15"/>
                <w:szCs w:val="15"/>
                <w:color w:val="auto"/>
              </w:rPr>
            </w:pPr>
          </w:p>
        </w:tc>
        <w:tc>
          <w:tcPr>
            <w:tcW w:w="1200" w:type="dxa"/>
            <w:vAlign w:val="bottom"/>
          </w:tcPr>
          <w:p>
            <w:pPr>
              <w:jc w:val="right"/>
              <w:spacing w:after="0" w:line="176" w:lineRule="exact"/>
              <w:rPr>
                <w:sz w:val="20"/>
                <w:szCs w:val="20"/>
                <w:color w:val="auto"/>
              </w:rPr>
            </w:pPr>
            <w:r>
              <w:rPr>
                <w:rFonts w:ascii="Arial" w:cs="Arial" w:eastAsia="Arial" w:hAnsi="Arial"/>
                <w:sz w:val="16"/>
                <w:szCs w:val="16"/>
                <w:color w:val="auto"/>
              </w:rPr>
              <w:t>8</w:t>
            </w:r>
          </w:p>
        </w:tc>
        <w:tc>
          <w:tcPr>
            <w:tcW w:w="180" w:type="dxa"/>
            <w:vAlign w:val="bottom"/>
          </w:tcPr>
          <w:p>
            <w:pPr>
              <w:spacing w:after="0"/>
              <w:rPr>
                <w:sz w:val="15"/>
                <w:szCs w:val="15"/>
                <w:color w:val="auto"/>
              </w:rPr>
            </w:pPr>
          </w:p>
        </w:tc>
        <w:tc>
          <w:tcPr>
            <w:tcW w:w="1260" w:type="dxa"/>
            <w:vAlign w:val="bottom"/>
          </w:tcPr>
          <w:p>
            <w:pPr>
              <w:jc w:val="right"/>
              <w:spacing w:after="0" w:line="176" w:lineRule="exact"/>
              <w:rPr>
                <w:sz w:val="20"/>
                <w:szCs w:val="20"/>
                <w:color w:val="auto"/>
              </w:rPr>
            </w:pPr>
            <w:r>
              <w:rPr>
                <w:rFonts w:ascii="Arial" w:cs="Arial" w:eastAsia="Arial" w:hAnsi="Arial"/>
                <w:sz w:val="16"/>
                <w:szCs w:val="16"/>
                <w:color w:val="auto"/>
              </w:rPr>
              <w:t>262</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0" w:type="dxa"/>
            <w:vAlign w:val="bottom"/>
          </w:tcPr>
          <w:p>
            <w:pPr>
              <w:spacing w:after="0" w:line="176" w:lineRule="exact"/>
              <w:rPr>
                <w:sz w:val="20"/>
                <w:szCs w:val="20"/>
                <w:color w:val="auto"/>
              </w:rPr>
            </w:pPr>
            <w:r>
              <w:rPr>
                <w:rFonts w:ascii="Arial" w:cs="Arial" w:eastAsia="Arial" w:hAnsi="Arial"/>
                <w:sz w:val="16"/>
                <w:szCs w:val="16"/>
                <w:color w:val="auto"/>
              </w:rPr>
              <w:t>Customer deposits</w:t>
            </w:r>
          </w:p>
        </w:tc>
        <w:tc>
          <w:tcPr>
            <w:tcW w:w="200" w:type="dxa"/>
            <w:vAlign w:val="bottom"/>
          </w:tcPr>
          <w:p>
            <w:pPr>
              <w:spacing w:after="0"/>
              <w:rPr>
                <w:sz w:val="15"/>
                <w:szCs w:val="15"/>
                <w:color w:val="auto"/>
              </w:rPr>
            </w:pPr>
          </w:p>
        </w:tc>
        <w:tc>
          <w:tcPr>
            <w:tcW w:w="1200" w:type="dxa"/>
            <w:vAlign w:val="bottom"/>
          </w:tcPr>
          <w:p>
            <w:pPr>
              <w:jc w:val="right"/>
              <w:spacing w:after="0" w:line="176" w:lineRule="exact"/>
              <w:rPr>
                <w:sz w:val="20"/>
                <w:szCs w:val="20"/>
                <w:color w:val="auto"/>
              </w:rPr>
            </w:pPr>
            <w:r>
              <w:rPr>
                <w:rFonts w:ascii="Arial" w:cs="Arial" w:eastAsia="Arial" w:hAnsi="Arial"/>
                <w:sz w:val="16"/>
                <w:szCs w:val="16"/>
                <w:color w:val="auto"/>
              </w:rPr>
              <w:t>69</w:t>
            </w:r>
          </w:p>
        </w:tc>
        <w:tc>
          <w:tcPr>
            <w:tcW w:w="180" w:type="dxa"/>
            <w:vAlign w:val="bottom"/>
          </w:tcPr>
          <w:p>
            <w:pPr>
              <w:spacing w:after="0"/>
              <w:rPr>
                <w:sz w:val="15"/>
                <w:szCs w:val="15"/>
                <w:color w:val="auto"/>
              </w:rPr>
            </w:pPr>
          </w:p>
        </w:tc>
        <w:tc>
          <w:tcPr>
            <w:tcW w:w="1260" w:type="dxa"/>
            <w:vAlign w:val="bottom"/>
          </w:tcPr>
          <w:p>
            <w:pPr>
              <w:jc w:val="right"/>
              <w:spacing w:after="0" w:line="176" w:lineRule="exact"/>
              <w:rPr>
                <w:sz w:val="20"/>
                <w:szCs w:val="20"/>
                <w:color w:val="auto"/>
              </w:rPr>
            </w:pPr>
            <w:r>
              <w:rPr>
                <w:rFonts w:ascii="Arial" w:cs="Arial" w:eastAsia="Arial" w:hAnsi="Arial"/>
                <w:sz w:val="16"/>
                <w:szCs w:val="16"/>
                <w:color w:val="auto"/>
              </w:rPr>
              <w:t>73</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0" w:type="dxa"/>
            <w:vAlign w:val="bottom"/>
          </w:tcPr>
          <w:p>
            <w:pPr>
              <w:spacing w:after="0"/>
              <w:rPr>
                <w:sz w:val="20"/>
                <w:szCs w:val="20"/>
                <w:color w:val="auto"/>
              </w:rPr>
            </w:pPr>
            <w:r>
              <w:rPr>
                <w:rFonts w:ascii="Arial" w:cs="Arial" w:eastAsia="Arial" w:hAnsi="Arial"/>
                <w:sz w:val="16"/>
                <w:szCs w:val="16"/>
                <w:color w:val="auto"/>
              </w:rPr>
              <w:t>Other</w:t>
            </w:r>
          </w:p>
        </w:tc>
        <w:tc>
          <w:tcPr>
            <w:tcW w:w="2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165</w:t>
            </w:r>
          </w:p>
        </w:tc>
        <w:tc>
          <w:tcPr>
            <w:tcW w:w="1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163</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0" w:type="dxa"/>
            <w:vAlign w:val="bottom"/>
          </w:tcPr>
          <w:p>
            <w:pPr>
              <w:ind w:left="180"/>
              <w:spacing w:after="0" w:line="176" w:lineRule="exact"/>
              <w:rPr>
                <w:sz w:val="20"/>
                <w:szCs w:val="20"/>
                <w:color w:val="auto"/>
              </w:rPr>
            </w:pPr>
            <w:r>
              <w:rPr>
                <w:rFonts w:ascii="Arial" w:cs="Arial" w:eastAsia="Arial" w:hAnsi="Arial"/>
                <w:sz w:val="16"/>
                <w:szCs w:val="16"/>
                <w:color w:val="auto"/>
              </w:rPr>
              <w:t>Total current liabilities</w:t>
            </w:r>
          </w:p>
        </w:tc>
        <w:tc>
          <w:tcPr>
            <w:tcW w:w="20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6"/>
                <w:szCs w:val="16"/>
                <w:color w:val="auto"/>
              </w:rPr>
              <w:t>791</w:t>
            </w:r>
          </w:p>
        </w:tc>
        <w:tc>
          <w:tcPr>
            <w:tcW w:w="18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6"/>
                <w:szCs w:val="16"/>
                <w:color w:val="auto"/>
              </w:rPr>
              <w:t>1,210</w:t>
            </w:r>
          </w:p>
        </w:tc>
        <w:tc>
          <w:tcPr>
            <w:tcW w:w="0" w:type="dxa"/>
            <w:vAlign w:val="bottom"/>
          </w:tcPr>
          <w:p>
            <w:pPr>
              <w:spacing w:after="0"/>
              <w:rPr>
                <w:sz w:val="1"/>
                <w:szCs w:val="1"/>
                <w:color w:val="auto"/>
              </w:rPr>
            </w:pPr>
          </w:p>
        </w:tc>
      </w:tr>
      <w:tr>
        <w:trPr>
          <w:trHeight w:val="183"/>
        </w:trPr>
        <w:tc>
          <w:tcPr>
            <w:tcW w:w="8580" w:type="dxa"/>
            <w:vAlign w:val="bottom"/>
            <w:gridSpan w:val="3"/>
          </w:tcPr>
          <w:p>
            <w:pPr>
              <w:spacing w:after="0" w:line="176" w:lineRule="exact"/>
              <w:rPr>
                <w:sz w:val="20"/>
                <w:szCs w:val="20"/>
                <w:color w:val="auto"/>
              </w:rPr>
            </w:pPr>
            <w:r>
              <w:rPr>
                <w:rFonts w:ascii="Arial" w:cs="Arial" w:eastAsia="Arial" w:hAnsi="Arial"/>
                <w:sz w:val="16"/>
                <w:szCs w:val="16"/>
                <w:color w:val="auto"/>
              </w:rPr>
              <w:t>Long-term debt</w:t>
            </w:r>
          </w:p>
        </w:tc>
        <w:tc>
          <w:tcPr>
            <w:tcW w:w="20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6"/>
                <w:szCs w:val="16"/>
                <w:color w:val="auto"/>
              </w:rPr>
              <w:t>1,317</w:t>
            </w:r>
          </w:p>
        </w:tc>
        <w:tc>
          <w:tcPr>
            <w:tcW w:w="18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6"/>
                <w:szCs w:val="16"/>
                <w:color w:val="auto"/>
              </w:rPr>
              <w:t>1,320</w:t>
            </w:r>
          </w:p>
        </w:tc>
        <w:tc>
          <w:tcPr>
            <w:tcW w:w="0" w:type="dxa"/>
            <w:vAlign w:val="bottom"/>
          </w:tcPr>
          <w:p>
            <w:pPr>
              <w:spacing w:after="0"/>
              <w:rPr>
                <w:sz w:val="1"/>
                <w:szCs w:val="1"/>
                <w:color w:val="auto"/>
              </w:rPr>
            </w:pPr>
          </w:p>
        </w:tc>
      </w:tr>
      <w:tr>
        <w:trPr>
          <w:trHeight w:val="164"/>
        </w:trPr>
        <w:tc>
          <w:tcPr>
            <w:tcW w:w="8580" w:type="dxa"/>
            <w:vAlign w:val="bottom"/>
            <w:gridSpan w:val="3"/>
          </w:tcPr>
          <w:p>
            <w:pPr>
              <w:spacing w:after="0" w:line="164" w:lineRule="exact"/>
              <w:rPr>
                <w:sz w:val="20"/>
                <w:szCs w:val="20"/>
                <w:color w:val="auto"/>
              </w:rPr>
            </w:pPr>
            <w:r>
              <w:rPr>
                <w:rFonts w:ascii="Arial" w:cs="Arial" w:eastAsia="Arial" w:hAnsi="Arial"/>
                <w:sz w:val="16"/>
                <w:szCs w:val="16"/>
                <w:color w:val="auto"/>
              </w:rPr>
              <w:t>Deferred credits and other liabilities:</w:t>
            </w:r>
          </w:p>
        </w:tc>
        <w:tc>
          <w:tcPr>
            <w:tcW w:w="2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0" w:type="dxa"/>
            <w:vAlign w:val="bottom"/>
          </w:tcPr>
          <w:p>
            <w:pPr>
              <w:spacing w:after="0" w:line="176" w:lineRule="exact"/>
              <w:rPr>
                <w:sz w:val="20"/>
                <w:szCs w:val="20"/>
                <w:color w:val="auto"/>
              </w:rPr>
            </w:pPr>
            <w:r>
              <w:rPr>
                <w:rFonts w:ascii="Arial" w:cs="Arial" w:eastAsia="Arial" w:hAnsi="Arial"/>
                <w:sz w:val="16"/>
                <w:szCs w:val="16"/>
                <w:color w:val="auto"/>
              </w:rPr>
              <w:t>Customer advances for construction</w:t>
            </w:r>
          </w:p>
        </w:tc>
        <w:tc>
          <w:tcPr>
            <w:tcW w:w="200" w:type="dxa"/>
            <w:vAlign w:val="bottom"/>
          </w:tcPr>
          <w:p>
            <w:pPr>
              <w:spacing w:after="0"/>
              <w:rPr>
                <w:sz w:val="15"/>
                <w:szCs w:val="15"/>
                <w:color w:val="auto"/>
              </w:rPr>
            </w:pPr>
          </w:p>
        </w:tc>
        <w:tc>
          <w:tcPr>
            <w:tcW w:w="1200" w:type="dxa"/>
            <w:vAlign w:val="bottom"/>
          </w:tcPr>
          <w:p>
            <w:pPr>
              <w:jc w:val="right"/>
              <w:spacing w:after="0" w:line="176" w:lineRule="exact"/>
              <w:rPr>
                <w:sz w:val="20"/>
                <w:szCs w:val="20"/>
                <w:color w:val="auto"/>
              </w:rPr>
            </w:pPr>
            <w:r>
              <w:rPr>
                <w:rFonts w:ascii="Arial" w:cs="Arial" w:eastAsia="Arial" w:hAnsi="Arial"/>
                <w:sz w:val="16"/>
                <w:szCs w:val="16"/>
                <w:color w:val="auto"/>
              </w:rPr>
              <w:t>112</w:t>
            </w:r>
          </w:p>
        </w:tc>
        <w:tc>
          <w:tcPr>
            <w:tcW w:w="180" w:type="dxa"/>
            <w:vAlign w:val="bottom"/>
          </w:tcPr>
          <w:p>
            <w:pPr>
              <w:spacing w:after="0"/>
              <w:rPr>
                <w:sz w:val="15"/>
                <w:szCs w:val="15"/>
                <w:color w:val="auto"/>
              </w:rPr>
            </w:pPr>
          </w:p>
        </w:tc>
        <w:tc>
          <w:tcPr>
            <w:tcW w:w="1260" w:type="dxa"/>
            <w:vAlign w:val="bottom"/>
          </w:tcPr>
          <w:p>
            <w:pPr>
              <w:jc w:val="right"/>
              <w:spacing w:after="0" w:line="176" w:lineRule="exact"/>
              <w:rPr>
                <w:sz w:val="20"/>
                <w:szCs w:val="20"/>
                <w:color w:val="auto"/>
              </w:rPr>
            </w:pPr>
            <w:r>
              <w:rPr>
                <w:rFonts w:ascii="Arial" w:cs="Arial" w:eastAsia="Arial" w:hAnsi="Arial"/>
                <w:sz w:val="16"/>
                <w:szCs w:val="16"/>
                <w:color w:val="auto"/>
              </w:rPr>
              <w:t>133</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0" w:type="dxa"/>
            <w:vAlign w:val="bottom"/>
          </w:tcPr>
          <w:p>
            <w:pPr>
              <w:spacing w:after="0" w:line="176" w:lineRule="exact"/>
              <w:rPr>
                <w:sz w:val="20"/>
                <w:szCs w:val="20"/>
                <w:color w:val="auto"/>
              </w:rPr>
            </w:pPr>
            <w:r>
              <w:rPr>
                <w:rFonts w:ascii="Arial" w:cs="Arial" w:eastAsia="Arial" w:hAnsi="Arial"/>
                <w:sz w:val="16"/>
                <w:szCs w:val="16"/>
                <w:color w:val="auto"/>
              </w:rPr>
              <w:t>Pension and other postretirement benefit obligations, net of plan assets</w:t>
            </w:r>
          </w:p>
        </w:tc>
        <w:tc>
          <w:tcPr>
            <w:tcW w:w="200" w:type="dxa"/>
            <w:vAlign w:val="bottom"/>
          </w:tcPr>
          <w:p>
            <w:pPr>
              <w:spacing w:after="0"/>
              <w:rPr>
                <w:sz w:val="15"/>
                <w:szCs w:val="15"/>
                <w:color w:val="auto"/>
              </w:rPr>
            </w:pPr>
          </w:p>
        </w:tc>
        <w:tc>
          <w:tcPr>
            <w:tcW w:w="1200" w:type="dxa"/>
            <w:vAlign w:val="bottom"/>
          </w:tcPr>
          <w:p>
            <w:pPr>
              <w:jc w:val="right"/>
              <w:spacing w:after="0" w:line="176" w:lineRule="exact"/>
              <w:rPr>
                <w:sz w:val="20"/>
                <w:szCs w:val="20"/>
                <w:color w:val="auto"/>
              </w:rPr>
            </w:pPr>
            <w:r>
              <w:rPr>
                <w:rFonts w:ascii="Arial" w:cs="Arial" w:eastAsia="Arial" w:hAnsi="Arial"/>
                <w:sz w:val="16"/>
                <w:szCs w:val="16"/>
                <w:color w:val="auto"/>
              </w:rPr>
              <w:t>620</w:t>
            </w:r>
          </w:p>
        </w:tc>
        <w:tc>
          <w:tcPr>
            <w:tcW w:w="180" w:type="dxa"/>
            <w:vAlign w:val="bottom"/>
          </w:tcPr>
          <w:p>
            <w:pPr>
              <w:spacing w:after="0"/>
              <w:rPr>
                <w:sz w:val="15"/>
                <w:szCs w:val="15"/>
                <w:color w:val="auto"/>
              </w:rPr>
            </w:pPr>
          </w:p>
        </w:tc>
        <w:tc>
          <w:tcPr>
            <w:tcW w:w="1260" w:type="dxa"/>
            <w:vAlign w:val="bottom"/>
          </w:tcPr>
          <w:p>
            <w:pPr>
              <w:jc w:val="right"/>
              <w:spacing w:after="0" w:line="176" w:lineRule="exact"/>
              <w:rPr>
                <w:sz w:val="20"/>
                <w:szCs w:val="20"/>
                <w:color w:val="auto"/>
              </w:rPr>
            </w:pPr>
            <w:r>
              <w:rPr>
                <w:rFonts w:ascii="Arial" w:cs="Arial" w:eastAsia="Arial" w:hAnsi="Arial"/>
                <w:sz w:val="16"/>
                <w:szCs w:val="16"/>
                <w:color w:val="auto"/>
              </w:rPr>
              <w:t>613</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0" w:type="dxa"/>
            <w:vAlign w:val="bottom"/>
          </w:tcPr>
          <w:p>
            <w:pPr>
              <w:spacing w:after="0" w:line="176" w:lineRule="exact"/>
              <w:rPr>
                <w:sz w:val="20"/>
                <w:szCs w:val="20"/>
                <w:color w:val="auto"/>
              </w:rPr>
            </w:pPr>
            <w:r>
              <w:rPr>
                <w:rFonts w:ascii="Arial" w:cs="Arial" w:eastAsia="Arial" w:hAnsi="Arial"/>
                <w:sz w:val="16"/>
                <w:szCs w:val="16"/>
                <w:color w:val="auto"/>
              </w:rPr>
              <w:t>Deferred income taxes</w:t>
            </w:r>
          </w:p>
        </w:tc>
        <w:tc>
          <w:tcPr>
            <w:tcW w:w="200" w:type="dxa"/>
            <w:vAlign w:val="bottom"/>
          </w:tcPr>
          <w:p>
            <w:pPr>
              <w:spacing w:after="0"/>
              <w:rPr>
                <w:sz w:val="15"/>
                <w:szCs w:val="15"/>
                <w:color w:val="auto"/>
              </w:rPr>
            </w:pPr>
          </w:p>
        </w:tc>
        <w:tc>
          <w:tcPr>
            <w:tcW w:w="1200" w:type="dxa"/>
            <w:vAlign w:val="bottom"/>
          </w:tcPr>
          <w:p>
            <w:pPr>
              <w:jc w:val="right"/>
              <w:spacing w:after="0" w:line="176" w:lineRule="exact"/>
              <w:rPr>
                <w:sz w:val="20"/>
                <w:szCs w:val="20"/>
                <w:color w:val="auto"/>
              </w:rPr>
            </w:pPr>
            <w:r>
              <w:rPr>
                <w:rFonts w:ascii="Arial" w:cs="Arial" w:eastAsia="Arial" w:hAnsi="Arial"/>
                <w:sz w:val="16"/>
                <w:szCs w:val="16"/>
                <w:color w:val="auto"/>
              </w:rPr>
              <w:t>506</w:t>
            </w:r>
          </w:p>
        </w:tc>
        <w:tc>
          <w:tcPr>
            <w:tcW w:w="180" w:type="dxa"/>
            <w:vAlign w:val="bottom"/>
          </w:tcPr>
          <w:p>
            <w:pPr>
              <w:spacing w:after="0"/>
              <w:rPr>
                <w:sz w:val="15"/>
                <w:szCs w:val="15"/>
                <w:color w:val="auto"/>
              </w:rPr>
            </w:pPr>
          </w:p>
        </w:tc>
        <w:tc>
          <w:tcPr>
            <w:tcW w:w="1260" w:type="dxa"/>
            <w:vAlign w:val="bottom"/>
          </w:tcPr>
          <w:p>
            <w:pPr>
              <w:jc w:val="right"/>
              <w:spacing w:after="0" w:line="176" w:lineRule="exact"/>
              <w:rPr>
                <w:sz w:val="20"/>
                <w:szCs w:val="20"/>
                <w:color w:val="auto"/>
              </w:rPr>
            </w:pPr>
            <w:r>
              <w:rPr>
                <w:rFonts w:ascii="Arial" w:cs="Arial" w:eastAsia="Arial" w:hAnsi="Arial"/>
                <w:sz w:val="16"/>
                <w:szCs w:val="16"/>
                <w:color w:val="auto"/>
              </w:rPr>
              <w:t>418</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0" w:type="dxa"/>
            <w:vAlign w:val="bottom"/>
          </w:tcPr>
          <w:p>
            <w:pPr>
              <w:spacing w:after="0" w:line="176" w:lineRule="exact"/>
              <w:rPr>
                <w:sz w:val="20"/>
                <w:szCs w:val="20"/>
                <w:color w:val="auto"/>
              </w:rPr>
            </w:pPr>
            <w:r>
              <w:rPr>
                <w:rFonts w:ascii="Arial" w:cs="Arial" w:eastAsia="Arial" w:hAnsi="Arial"/>
                <w:sz w:val="16"/>
                <w:szCs w:val="16"/>
                <w:color w:val="auto"/>
              </w:rPr>
              <w:t>Deferred investment tax credits</w:t>
            </w:r>
          </w:p>
        </w:tc>
        <w:tc>
          <w:tcPr>
            <w:tcW w:w="200" w:type="dxa"/>
            <w:vAlign w:val="bottom"/>
          </w:tcPr>
          <w:p>
            <w:pPr>
              <w:spacing w:after="0"/>
              <w:rPr>
                <w:sz w:val="15"/>
                <w:szCs w:val="15"/>
                <w:color w:val="auto"/>
              </w:rPr>
            </w:pPr>
          </w:p>
        </w:tc>
        <w:tc>
          <w:tcPr>
            <w:tcW w:w="1200" w:type="dxa"/>
            <w:vAlign w:val="bottom"/>
          </w:tcPr>
          <w:p>
            <w:pPr>
              <w:jc w:val="right"/>
              <w:spacing w:after="0" w:line="176" w:lineRule="exact"/>
              <w:rPr>
                <w:sz w:val="20"/>
                <w:szCs w:val="20"/>
                <w:color w:val="auto"/>
              </w:rPr>
            </w:pPr>
            <w:r>
              <w:rPr>
                <w:rFonts w:ascii="Arial" w:cs="Arial" w:eastAsia="Arial" w:hAnsi="Arial"/>
                <w:sz w:val="16"/>
                <w:szCs w:val="16"/>
                <w:color w:val="auto"/>
              </w:rPr>
              <w:t>24</w:t>
            </w:r>
          </w:p>
        </w:tc>
        <w:tc>
          <w:tcPr>
            <w:tcW w:w="180" w:type="dxa"/>
            <w:vAlign w:val="bottom"/>
          </w:tcPr>
          <w:p>
            <w:pPr>
              <w:spacing w:after="0"/>
              <w:rPr>
                <w:sz w:val="15"/>
                <w:szCs w:val="15"/>
                <w:color w:val="auto"/>
              </w:rPr>
            </w:pPr>
          </w:p>
        </w:tc>
        <w:tc>
          <w:tcPr>
            <w:tcW w:w="1260" w:type="dxa"/>
            <w:vAlign w:val="bottom"/>
          </w:tcPr>
          <w:p>
            <w:pPr>
              <w:jc w:val="right"/>
              <w:spacing w:after="0" w:line="176" w:lineRule="exact"/>
              <w:rPr>
                <w:sz w:val="20"/>
                <w:szCs w:val="20"/>
                <w:color w:val="auto"/>
              </w:rPr>
            </w:pPr>
            <w:r>
              <w:rPr>
                <w:rFonts w:ascii="Arial" w:cs="Arial" w:eastAsia="Arial" w:hAnsi="Arial"/>
                <w:sz w:val="16"/>
                <w:szCs w:val="16"/>
                <w:color w:val="auto"/>
              </w:rPr>
              <w:t>25</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0" w:type="dxa"/>
            <w:vAlign w:val="bottom"/>
          </w:tcPr>
          <w:p>
            <w:pPr>
              <w:spacing w:after="0" w:line="176" w:lineRule="exact"/>
              <w:rPr>
                <w:sz w:val="20"/>
                <w:szCs w:val="20"/>
                <w:color w:val="auto"/>
              </w:rPr>
            </w:pPr>
            <w:r>
              <w:rPr>
                <w:rFonts w:ascii="Arial" w:cs="Arial" w:eastAsia="Arial" w:hAnsi="Arial"/>
                <w:sz w:val="16"/>
                <w:szCs w:val="16"/>
                <w:color w:val="auto"/>
              </w:rPr>
              <w:t>Regulatory liabilities arising from removal obligations</w:t>
            </w:r>
          </w:p>
        </w:tc>
        <w:tc>
          <w:tcPr>
            <w:tcW w:w="200" w:type="dxa"/>
            <w:vAlign w:val="bottom"/>
          </w:tcPr>
          <w:p>
            <w:pPr>
              <w:spacing w:after="0"/>
              <w:rPr>
                <w:sz w:val="15"/>
                <w:szCs w:val="15"/>
                <w:color w:val="auto"/>
              </w:rPr>
            </w:pPr>
          </w:p>
        </w:tc>
        <w:tc>
          <w:tcPr>
            <w:tcW w:w="1200" w:type="dxa"/>
            <w:vAlign w:val="bottom"/>
          </w:tcPr>
          <w:p>
            <w:pPr>
              <w:jc w:val="right"/>
              <w:spacing w:after="0" w:line="176" w:lineRule="exact"/>
              <w:rPr>
                <w:sz w:val="20"/>
                <w:szCs w:val="20"/>
                <w:color w:val="auto"/>
              </w:rPr>
            </w:pPr>
            <w:r>
              <w:rPr>
                <w:rFonts w:ascii="Arial" w:cs="Arial" w:eastAsia="Arial" w:hAnsi="Arial"/>
                <w:sz w:val="16"/>
                <w:szCs w:val="16"/>
                <w:color w:val="auto"/>
              </w:rPr>
              <w:t>1,219</w:t>
            </w:r>
          </w:p>
        </w:tc>
        <w:tc>
          <w:tcPr>
            <w:tcW w:w="180" w:type="dxa"/>
            <w:vAlign w:val="bottom"/>
          </w:tcPr>
          <w:p>
            <w:pPr>
              <w:spacing w:after="0"/>
              <w:rPr>
                <w:sz w:val="15"/>
                <w:szCs w:val="15"/>
                <w:color w:val="auto"/>
              </w:rPr>
            </w:pPr>
          </w:p>
        </w:tc>
        <w:tc>
          <w:tcPr>
            <w:tcW w:w="1260" w:type="dxa"/>
            <w:vAlign w:val="bottom"/>
          </w:tcPr>
          <w:p>
            <w:pPr>
              <w:jc w:val="right"/>
              <w:spacing w:after="0" w:line="176" w:lineRule="exact"/>
              <w:rPr>
                <w:sz w:val="20"/>
                <w:szCs w:val="20"/>
                <w:color w:val="auto"/>
              </w:rPr>
            </w:pPr>
            <w:r>
              <w:rPr>
                <w:rFonts w:ascii="Arial" w:cs="Arial" w:eastAsia="Arial" w:hAnsi="Arial"/>
                <w:sz w:val="16"/>
                <w:szCs w:val="16"/>
                <w:color w:val="auto"/>
              </w:rPr>
              <w:t>1,208</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8560" w:type="dxa"/>
            <w:vAlign w:val="bottom"/>
            <w:gridSpan w:val="2"/>
          </w:tcPr>
          <w:p>
            <w:pPr>
              <w:ind w:left="160"/>
              <w:spacing w:after="0" w:line="176" w:lineRule="exact"/>
              <w:rPr>
                <w:sz w:val="20"/>
                <w:szCs w:val="20"/>
                <w:color w:val="auto"/>
              </w:rPr>
            </w:pPr>
            <w:r>
              <w:rPr>
                <w:rFonts w:ascii="Arial" w:cs="Arial" w:eastAsia="Arial" w:hAnsi="Arial"/>
                <w:sz w:val="16"/>
                <w:szCs w:val="16"/>
                <w:color w:val="auto"/>
              </w:rPr>
              <w:t>Asset retirement obligations</w:t>
            </w:r>
          </w:p>
        </w:tc>
        <w:tc>
          <w:tcPr>
            <w:tcW w:w="200" w:type="dxa"/>
            <w:vAlign w:val="bottom"/>
          </w:tcPr>
          <w:p>
            <w:pPr>
              <w:spacing w:after="0"/>
              <w:rPr>
                <w:sz w:val="15"/>
                <w:szCs w:val="15"/>
                <w:color w:val="auto"/>
              </w:rPr>
            </w:pPr>
          </w:p>
        </w:tc>
        <w:tc>
          <w:tcPr>
            <w:tcW w:w="1200" w:type="dxa"/>
            <w:vAlign w:val="bottom"/>
          </w:tcPr>
          <w:p>
            <w:pPr>
              <w:jc w:val="right"/>
              <w:spacing w:after="0" w:line="176" w:lineRule="exact"/>
              <w:rPr>
                <w:sz w:val="20"/>
                <w:szCs w:val="20"/>
                <w:color w:val="auto"/>
              </w:rPr>
            </w:pPr>
            <w:r>
              <w:rPr>
                <w:rFonts w:ascii="Arial" w:cs="Arial" w:eastAsia="Arial" w:hAnsi="Arial"/>
                <w:sz w:val="16"/>
                <w:szCs w:val="16"/>
                <w:color w:val="auto"/>
              </w:rPr>
              <w:t>808</w:t>
            </w:r>
          </w:p>
        </w:tc>
        <w:tc>
          <w:tcPr>
            <w:tcW w:w="180" w:type="dxa"/>
            <w:vAlign w:val="bottom"/>
          </w:tcPr>
          <w:p>
            <w:pPr>
              <w:spacing w:after="0"/>
              <w:rPr>
                <w:sz w:val="15"/>
                <w:szCs w:val="15"/>
                <w:color w:val="auto"/>
              </w:rPr>
            </w:pPr>
          </w:p>
        </w:tc>
        <w:tc>
          <w:tcPr>
            <w:tcW w:w="1260" w:type="dxa"/>
            <w:vAlign w:val="bottom"/>
          </w:tcPr>
          <w:p>
            <w:pPr>
              <w:jc w:val="right"/>
              <w:spacing w:after="0" w:line="176" w:lineRule="exact"/>
              <w:rPr>
                <w:sz w:val="20"/>
                <w:szCs w:val="20"/>
                <w:color w:val="auto"/>
              </w:rPr>
            </w:pPr>
            <w:r>
              <w:rPr>
                <w:rFonts w:ascii="Arial" w:cs="Arial" w:eastAsia="Arial" w:hAnsi="Arial"/>
                <w:sz w:val="16"/>
                <w:szCs w:val="16"/>
                <w:color w:val="auto"/>
              </w:rPr>
              <w:t>788</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0" w:type="dxa"/>
            <w:vAlign w:val="bottom"/>
          </w:tcPr>
          <w:p>
            <w:pPr>
              <w:spacing w:after="0" w:line="176" w:lineRule="exact"/>
              <w:rPr>
                <w:sz w:val="20"/>
                <w:szCs w:val="20"/>
                <w:color w:val="auto"/>
              </w:rPr>
            </w:pPr>
            <w:r>
              <w:rPr>
                <w:rFonts w:ascii="Arial" w:cs="Arial" w:eastAsia="Arial" w:hAnsi="Arial"/>
                <w:sz w:val="16"/>
                <w:szCs w:val="16"/>
                <w:color w:val="auto"/>
              </w:rPr>
              <w:t>Deferred taxes refundable in rates</w:t>
            </w:r>
          </w:p>
        </w:tc>
        <w:tc>
          <w:tcPr>
            <w:tcW w:w="200" w:type="dxa"/>
            <w:vAlign w:val="bottom"/>
          </w:tcPr>
          <w:p>
            <w:pPr>
              <w:spacing w:after="0"/>
              <w:rPr>
                <w:sz w:val="15"/>
                <w:szCs w:val="15"/>
                <w:color w:val="auto"/>
              </w:rPr>
            </w:pPr>
          </w:p>
        </w:tc>
        <w:tc>
          <w:tcPr>
            <w:tcW w:w="1200" w:type="dxa"/>
            <w:vAlign w:val="bottom"/>
          </w:tcPr>
          <w:p>
            <w:pPr>
              <w:jc w:val="right"/>
              <w:spacing w:after="0" w:line="176" w:lineRule="exact"/>
              <w:rPr>
                <w:sz w:val="20"/>
                <w:szCs w:val="20"/>
                <w:color w:val="auto"/>
              </w:rPr>
            </w:pPr>
            <w:r>
              <w:rPr>
                <w:rFonts w:ascii="Arial" w:cs="Arial" w:eastAsia="Arial" w:hAnsi="Arial"/>
                <w:sz w:val="16"/>
                <w:szCs w:val="16"/>
                <w:color w:val="auto"/>
              </w:rPr>
              <w:t>115</w:t>
            </w:r>
          </w:p>
        </w:tc>
        <w:tc>
          <w:tcPr>
            <w:tcW w:w="180" w:type="dxa"/>
            <w:vAlign w:val="bottom"/>
          </w:tcPr>
          <w:p>
            <w:pPr>
              <w:spacing w:after="0"/>
              <w:rPr>
                <w:sz w:val="15"/>
                <w:szCs w:val="15"/>
                <w:color w:val="auto"/>
              </w:rPr>
            </w:pPr>
          </w:p>
        </w:tc>
        <w:tc>
          <w:tcPr>
            <w:tcW w:w="1260" w:type="dxa"/>
            <w:vAlign w:val="bottom"/>
          </w:tcPr>
          <w:p>
            <w:pPr>
              <w:jc w:val="right"/>
              <w:spacing w:after="0" w:line="176" w:lineRule="exact"/>
              <w:rPr>
                <w:sz w:val="20"/>
                <w:szCs w:val="20"/>
                <w:color w:val="auto"/>
              </w:rPr>
            </w:pPr>
            <w:r>
              <w:rPr>
                <w:rFonts w:ascii="Arial" w:cs="Arial" w:eastAsia="Arial" w:hAnsi="Arial"/>
                <w:sz w:val="16"/>
                <w:szCs w:val="16"/>
                <w:color w:val="auto"/>
              </w:rPr>
              <w:t>138</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0" w:type="dxa"/>
            <w:vAlign w:val="bottom"/>
          </w:tcPr>
          <w:p>
            <w:pPr>
              <w:spacing w:after="0"/>
              <w:rPr>
                <w:sz w:val="20"/>
                <w:szCs w:val="20"/>
                <w:color w:val="auto"/>
              </w:rPr>
            </w:pPr>
            <w:r>
              <w:rPr>
                <w:rFonts w:ascii="Arial" w:cs="Arial" w:eastAsia="Arial" w:hAnsi="Arial"/>
                <w:sz w:val="16"/>
                <w:szCs w:val="16"/>
                <w:color w:val="auto"/>
              </w:rPr>
              <w:t>Deferred credits and other</w:t>
            </w:r>
          </w:p>
        </w:tc>
        <w:tc>
          <w:tcPr>
            <w:tcW w:w="2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195</w:t>
            </w:r>
          </w:p>
        </w:tc>
        <w:tc>
          <w:tcPr>
            <w:tcW w:w="1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178</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0" w:type="dxa"/>
            <w:vAlign w:val="bottom"/>
          </w:tcPr>
          <w:p>
            <w:pPr>
              <w:ind w:left="180"/>
              <w:spacing w:after="0" w:line="176" w:lineRule="exact"/>
              <w:rPr>
                <w:sz w:val="20"/>
                <w:szCs w:val="20"/>
                <w:color w:val="auto"/>
              </w:rPr>
            </w:pPr>
            <w:r>
              <w:rPr>
                <w:rFonts w:ascii="Arial" w:cs="Arial" w:eastAsia="Arial" w:hAnsi="Arial"/>
                <w:sz w:val="16"/>
                <w:szCs w:val="16"/>
                <w:color w:val="auto"/>
              </w:rPr>
              <w:t>Total deferred credits and other liabilities</w:t>
            </w:r>
          </w:p>
        </w:tc>
        <w:tc>
          <w:tcPr>
            <w:tcW w:w="20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6"/>
                <w:szCs w:val="16"/>
                <w:color w:val="auto"/>
              </w:rPr>
              <w:t>3,599</w:t>
            </w:r>
          </w:p>
        </w:tc>
        <w:tc>
          <w:tcPr>
            <w:tcW w:w="18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6"/>
                <w:szCs w:val="16"/>
                <w:color w:val="auto"/>
              </w:rPr>
              <w:t>3,501</w:t>
            </w:r>
          </w:p>
        </w:tc>
        <w:tc>
          <w:tcPr>
            <w:tcW w:w="0" w:type="dxa"/>
            <w:vAlign w:val="bottom"/>
          </w:tcPr>
          <w:p>
            <w:pPr>
              <w:spacing w:after="0"/>
              <w:rPr>
                <w:sz w:val="1"/>
                <w:szCs w:val="1"/>
                <w:color w:val="auto"/>
              </w:rPr>
            </w:pPr>
          </w:p>
        </w:tc>
      </w:tr>
      <w:tr>
        <w:trPr>
          <w:trHeight w:val="359"/>
        </w:trPr>
        <w:tc>
          <w:tcPr>
            <w:tcW w:w="8580" w:type="dxa"/>
            <w:vAlign w:val="bottom"/>
            <w:gridSpan w:val="3"/>
          </w:tcPr>
          <w:p>
            <w:pPr>
              <w:spacing w:after="0"/>
              <w:rPr>
                <w:sz w:val="20"/>
                <w:szCs w:val="20"/>
                <w:color w:val="auto"/>
              </w:rPr>
            </w:pPr>
            <w:r>
              <w:rPr>
                <w:rFonts w:ascii="Arial" w:cs="Arial" w:eastAsia="Arial" w:hAnsi="Arial"/>
                <w:sz w:val="16"/>
                <w:szCs w:val="16"/>
                <w:color w:val="auto"/>
              </w:rPr>
              <w:t>Commitments and contingencies (Note 10)</w:t>
            </w:r>
          </w:p>
        </w:tc>
        <w:tc>
          <w:tcPr>
            <w:tcW w:w="2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2"/>
        </w:trPr>
        <w:tc>
          <w:tcPr>
            <w:tcW w:w="8580" w:type="dxa"/>
            <w:vAlign w:val="bottom"/>
            <w:gridSpan w:val="3"/>
          </w:tcPr>
          <w:p>
            <w:pPr>
              <w:spacing w:after="0"/>
              <w:rPr>
                <w:sz w:val="20"/>
                <w:szCs w:val="20"/>
                <w:color w:val="auto"/>
              </w:rPr>
            </w:pPr>
            <w:r>
              <w:rPr>
                <w:rFonts w:ascii="Arial" w:cs="Arial" w:eastAsia="Arial" w:hAnsi="Arial"/>
                <w:sz w:val="16"/>
                <w:szCs w:val="16"/>
                <w:color w:val="auto"/>
              </w:rPr>
              <w:t>Shareholders' equity:</w:t>
            </w:r>
          </w:p>
        </w:tc>
        <w:tc>
          <w:tcPr>
            <w:tcW w:w="2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0" w:type="dxa"/>
            <w:vAlign w:val="bottom"/>
          </w:tcPr>
          <w:p>
            <w:pPr>
              <w:spacing w:after="0" w:line="176" w:lineRule="exact"/>
              <w:rPr>
                <w:sz w:val="20"/>
                <w:szCs w:val="20"/>
                <w:color w:val="auto"/>
              </w:rPr>
            </w:pPr>
            <w:r>
              <w:rPr>
                <w:rFonts w:ascii="Arial" w:cs="Arial" w:eastAsia="Arial" w:hAnsi="Arial"/>
                <w:sz w:val="16"/>
                <w:szCs w:val="16"/>
                <w:color w:val="auto"/>
              </w:rPr>
              <w:t>Preferred stock</w:t>
            </w:r>
          </w:p>
        </w:tc>
        <w:tc>
          <w:tcPr>
            <w:tcW w:w="200" w:type="dxa"/>
            <w:vAlign w:val="bottom"/>
          </w:tcPr>
          <w:p>
            <w:pPr>
              <w:spacing w:after="0"/>
              <w:rPr>
                <w:sz w:val="15"/>
                <w:szCs w:val="15"/>
                <w:color w:val="auto"/>
              </w:rPr>
            </w:pPr>
          </w:p>
        </w:tc>
        <w:tc>
          <w:tcPr>
            <w:tcW w:w="1200" w:type="dxa"/>
            <w:vAlign w:val="bottom"/>
          </w:tcPr>
          <w:p>
            <w:pPr>
              <w:jc w:val="right"/>
              <w:spacing w:after="0" w:line="176" w:lineRule="exact"/>
              <w:rPr>
                <w:sz w:val="20"/>
                <w:szCs w:val="20"/>
                <w:color w:val="auto"/>
              </w:rPr>
            </w:pPr>
            <w:r>
              <w:rPr>
                <w:rFonts w:ascii="Arial" w:cs="Arial" w:eastAsia="Arial" w:hAnsi="Arial"/>
                <w:sz w:val="16"/>
                <w:szCs w:val="16"/>
                <w:color w:val="auto"/>
              </w:rPr>
              <w:t>22</w:t>
            </w:r>
          </w:p>
        </w:tc>
        <w:tc>
          <w:tcPr>
            <w:tcW w:w="180" w:type="dxa"/>
            <w:vAlign w:val="bottom"/>
          </w:tcPr>
          <w:p>
            <w:pPr>
              <w:spacing w:after="0"/>
              <w:rPr>
                <w:sz w:val="15"/>
                <w:szCs w:val="15"/>
                <w:color w:val="auto"/>
              </w:rPr>
            </w:pPr>
          </w:p>
        </w:tc>
        <w:tc>
          <w:tcPr>
            <w:tcW w:w="1260" w:type="dxa"/>
            <w:vAlign w:val="bottom"/>
          </w:tcPr>
          <w:p>
            <w:pPr>
              <w:jc w:val="right"/>
              <w:spacing w:after="0" w:line="176" w:lineRule="exact"/>
              <w:rPr>
                <w:sz w:val="20"/>
                <w:szCs w:val="20"/>
                <w:color w:val="auto"/>
              </w:rPr>
            </w:pPr>
            <w:r>
              <w:rPr>
                <w:rFonts w:ascii="Arial" w:cs="Arial" w:eastAsia="Arial" w:hAnsi="Arial"/>
                <w:sz w:val="16"/>
                <w:szCs w:val="16"/>
                <w:color w:val="auto"/>
              </w:rPr>
              <w:t>22</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0" w:type="dxa"/>
            <w:vAlign w:val="bottom"/>
          </w:tcPr>
          <w:p>
            <w:pPr>
              <w:spacing w:after="0" w:line="176" w:lineRule="exact"/>
              <w:rPr>
                <w:sz w:val="20"/>
                <w:szCs w:val="20"/>
                <w:color w:val="auto"/>
              </w:rPr>
            </w:pPr>
            <w:r>
              <w:rPr>
                <w:rFonts w:ascii="Arial" w:cs="Arial" w:eastAsia="Arial" w:hAnsi="Arial"/>
                <w:sz w:val="16"/>
                <w:szCs w:val="16"/>
                <w:color w:val="auto"/>
              </w:rPr>
              <w:t>Common stock (100 million shares authorized; 91 million shares outstanding;</w:t>
            </w:r>
          </w:p>
        </w:tc>
        <w:tc>
          <w:tcPr>
            <w:tcW w:w="2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0" w:type="dxa"/>
            <w:vAlign w:val="bottom"/>
          </w:tcPr>
          <w:p>
            <w:pPr>
              <w:ind w:left="180"/>
              <w:spacing w:after="0" w:line="176" w:lineRule="exact"/>
              <w:rPr>
                <w:sz w:val="20"/>
                <w:szCs w:val="20"/>
                <w:color w:val="auto"/>
              </w:rPr>
            </w:pPr>
            <w:r>
              <w:rPr>
                <w:rFonts w:ascii="Arial" w:cs="Arial" w:eastAsia="Arial" w:hAnsi="Arial"/>
                <w:sz w:val="16"/>
                <w:szCs w:val="16"/>
                <w:color w:val="auto"/>
              </w:rPr>
              <w:t>no par value)</w:t>
            </w:r>
          </w:p>
        </w:tc>
        <w:tc>
          <w:tcPr>
            <w:tcW w:w="200" w:type="dxa"/>
            <w:vAlign w:val="bottom"/>
          </w:tcPr>
          <w:p>
            <w:pPr>
              <w:spacing w:after="0"/>
              <w:rPr>
                <w:sz w:val="15"/>
                <w:szCs w:val="15"/>
                <w:color w:val="auto"/>
              </w:rPr>
            </w:pPr>
          </w:p>
        </w:tc>
        <w:tc>
          <w:tcPr>
            <w:tcW w:w="1200" w:type="dxa"/>
            <w:vAlign w:val="bottom"/>
          </w:tcPr>
          <w:p>
            <w:pPr>
              <w:jc w:val="right"/>
              <w:spacing w:after="0" w:line="176" w:lineRule="exact"/>
              <w:rPr>
                <w:sz w:val="20"/>
                <w:szCs w:val="20"/>
                <w:color w:val="auto"/>
              </w:rPr>
            </w:pPr>
            <w:r>
              <w:rPr>
                <w:rFonts w:ascii="Arial" w:cs="Arial" w:eastAsia="Arial" w:hAnsi="Arial"/>
                <w:sz w:val="16"/>
                <w:szCs w:val="16"/>
                <w:color w:val="auto"/>
              </w:rPr>
              <w:t>866</w:t>
            </w:r>
          </w:p>
        </w:tc>
        <w:tc>
          <w:tcPr>
            <w:tcW w:w="180" w:type="dxa"/>
            <w:vAlign w:val="bottom"/>
          </w:tcPr>
          <w:p>
            <w:pPr>
              <w:spacing w:after="0"/>
              <w:rPr>
                <w:sz w:val="15"/>
                <w:szCs w:val="15"/>
                <w:color w:val="auto"/>
              </w:rPr>
            </w:pPr>
          </w:p>
        </w:tc>
        <w:tc>
          <w:tcPr>
            <w:tcW w:w="1260" w:type="dxa"/>
            <w:vAlign w:val="bottom"/>
          </w:tcPr>
          <w:p>
            <w:pPr>
              <w:jc w:val="right"/>
              <w:spacing w:after="0" w:line="176" w:lineRule="exact"/>
              <w:rPr>
                <w:sz w:val="20"/>
                <w:szCs w:val="20"/>
                <w:color w:val="auto"/>
              </w:rPr>
            </w:pPr>
            <w:r>
              <w:rPr>
                <w:rFonts w:ascii="Arial" w:cs="Arial" w:eastAsia="Arial" w:hAnsi="Arial"/>
                <w:sz w:val="16"/>
                <w:szCs w:val="16"/>
                <w:color w:val="auto"/>
              </w:rPr>
              <w:t>866</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0" w:type="dxa"/>
            <w:vAlign w:val="bottom"/>
          </w:tcPr>
          <w:p>
            <w:pPr>
              <w:spacing w:after="0" w:line="176" w:lineRule="exact"/>
              <w:rPr>
                <w:sz w:val="20"/>
                <w:szCs w:val="20"/>
                <w:color w:val="auto"/>
              </w:rPr>
            </w:pPr>
            <w:r>
              <w:rPr>
                <w:rFonts w:ascii="Arial" w:cs="Arial" w:eastAsia="Arial" w:hAnsi="Arial"/>
                <w:sz w:val="16"/>
                <w:szCs w:val="16"/>
                <w:color w:val="auto"/>
              </w:rPr>
              <w:t>Retained earnings</w:t>
            </w:r>
          </w:p>
        </w:tc>
        <w:tc>
          <w:tcPr>
            <w:tcW w:w="200" w:type="dxa"/>
            <w:vAlign w:val="bottom"/>
          </w:tcPr>
          <w:p>
            <w:pPr>
              <w:spacing w:after="0"/>
              <w:rPr>
                <w:sz w:val="15"/>
                <w:szCs w:val="15"/>
                <w:color w:val="auto"/>
              </w:rPr>
            </w:pPr>
          </w:p>
        </w:tc>
        <w:tc>
          <w:tcPr>
            <w:tcW w:w="1200" w:type="dxa"/>
            <w:vAlign w:val="bottom"/>
          </w:tcPr>
          <w:p>
            <w:pPr>
              <w:jc w:val="right"/>
              <w:spacing w:after="0" w:line="176" w:lineRule="exact"/>
              <w:rPr>
                <w:sz w:val="20"/>
                <w:szCs w:val="20"/>
                <w:color w:val="auto"/>
              </w:rPr>
            </w:pPr>
            <w:r>
              <w:rPr>
                <w:rFonts w:ascii="Arial" w:cs="Arial" w:eastAsia="Arial" w:hAnsi="Arial"/>
                <w:sz w:val="16"/>
                <w:szCs w:val="16"/>
                <w:color w:val="auto"/>
              </w:rPr>
              <w:t>1,166</w:t>
            </w:r>
          </w:p>
        </w:tc>
        <w:tc>
          <w:tcPr>
            <w:tcW w:w="180" w:type="dxa"/>
            <w:vAlign w:val="bottom"/>
          </w:tcPr>
          <w:p>
            <w:pPr>
              <w:spacing w:after="0"/>
              <w:rPr>
                <w:sz w:val="15"/>
                <w:szCs w:val="15"/>
                <w:color w:val="auto"/>
              </w:rPr>
            </w:pPr>
          </w:p>
        </w:tc>
        <w:tc>
          <w:tcPr>
            <w:tcW w:w="1260" w:type="dxa"/>
            <w:vAlign w:val="bottom"/>
          </w:tcPr>
          <w:p>
            <w:pPr>
              <w:jc w:val="right"/>
              <w:spacing w:after="0" w:line="176" w:lineRule="exact"/>
              <w:rPr>
                <w:sz w:val="20"/>
                <w:szCs w:val="20"/>
                <w:color w:val="auto"/>
              </w:rPr>
            </w:pPr>
            <w:r>
              <w:rPr>
                <w:rFonts w:ascii="Arial" w:cs="Arial" w:eastAsia="Arial" w:hAnsi="Arial"/>
                <w:sz w:val="16"/>
                <w:szCs w:val="16"/>
                <w:color w:val="auto"/>
              </w:rPr>
              <w:t>1,089</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8560" w:type="dxa"/>
            <w:vAlign w:val="bottom"/>
            <w:gridSpan w:val="2"/>
          </w:tcPr>
          <w:p>
            <w:pPr>
              <w:ind w:left="160"/>
              <w:spacing w:after="0"/>
              <w:rPr>
                <w:sz w:val="20"/>
                <w:szCs w:val="20"/>
                <w:color w:val="auto"/>
              </w:rPr>
            </w:pPr>
            <w:r>
              <w:rPr>
                <w:rFonts w:ascii="Arial" w:cs="Arial" w:eastAsia="Arial" w:hAnsi="Arial"/>
                <w:sz w:val="16"/>
                <w:szCs w:val="16"/>
                <w:color w:val="auto"/>
              </w:rPr>
              <w:t>Accumulated other comprehensive income (loss)</w:t>
            </w:r>
          </w:p>
        </w:tc>
        <w:tc>
          <w:tcPr>
            <w:tcW w:w="2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w:t>
            </w:r>
          </w:p>
        </w:tc>
        <w:tc>
          <w:tcPr>
            <w:tcW w:w="1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0" w:type="dxa"/>
            <w:vAlign w:val="bottom"/>
          </w:tcPr>
          <w:p>
            <w:pPr>
              <w:ind w:left="180"/>
              <w:spacing w:after="0" w:line="176" w:lineRule="exact"/>
              <w:rPr>
                <w:sz w:val="20"/>
                <w:szCs w:val="20"/>
                <w:color w:val="auto"/>
              </w:rPr>
            </w:pPr>
            <w:r>
              <w:rPr>
                <w:rFonts w:ascii="Arial" w:cs="Arial" w:eastAsia="Arial" w:hAnsi="Arial"/>
                <w:sz w:val="16"/>
                <w:szCs w:val="16"/>
                <w:color w:val="auto"/>
              </w:rPr>
              <w:t>Total shareholders' equity</w:t>
            </w:r>
          </w:p>
        </w:tc>
        <w:tc>
          <w:tcPr>
            <w:tcW w:w="20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6"/>
                <w:szCs w:val="16"/>
                <w:color w:val="auto"/>
              </w:rPr>
              <w:t>2,033</w:t>
            </w:r>
          </w:p>
        </w:tc>
        <w:tc>
          <w:tcPr>
            <w:tcW w:w="18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6"/>
                <w:szCs w:val="16"/>
                <w:color w:val="auto"/>
              </w:rPr>
              <w:t>1,955</w:t>
            </w:r>
          </w:p>
        </w:tc>
        <w:tc>
          <w:tcPr>
            <w:tcW w:w="0" w:type="dxa"/>
            <w:vAlign w:val="bottom"/>
          </w:tcPr>
          <w:p>
            <w:pPr>
              <w:spacing w:after="0"/>
              <w:rPr>
                <w:sz w:val="1"/>
                <w:szCs w:val="1"/>
                <w:color w:val="auto"/>
              </w:rPr>
            </w:pPr>
          </w:p>
        </w:tc>
      </w:tr>
      <w:tr>
        <w:trPr>
          <w:trHeight w:val="183"/>
        </w:trPr>
        <w:tc>
          <w:tcPr>
            <w:tcW w:w="8580" w:type="dxa"/>
            <w:vAlign w:val="bottom"/>
            <w:gridSpan w:val="3"/>
          </w:tcPr>
          <w:p>
            <w:pPr>
              <w:spacing w:after="0" w:line="176" w:lineRule="exact"/>
              <w:rPr>
                <w:sz w:val="20"/>
                <w:szCs w:val="20"/>
                <w:color w:val="auto"/>
              </w:rPr>
            </w:pPr>
            <w:r>
              <w:rPr>
                <w:rFonts w:ascii="Arial" w:cs="Arial" w:eastAsia="Arial" w:hAnsi="Arial"/>
                <w:sz w:val="16"/>
                <w:szCs w:val="16"/>
                <w:color w:val="auto"/>
              </w:rPr>
              <w:t>Total liabilities and shareholders' equity</w:t>
            </w:r>
          </w:p>
        </w:tc>
        <w:tc>
          <w:tcPr>
            <w:tcW w:w="200" w:type="dxa"/>
            <w:vAlign w:val="bottom"/>
          </w:tcPr>
          <w:p>
            <w:pPr>
              <w:jc w:val="right"/>
              <w:ind w:right="44"/>
              <w:spacing w:after="0"/>
              <w:rPr>
                <w:sz w:val="20"/>
                <w:szCs w:val="20"/>
                <w:color w:val="auto"/>
              </w:rPr>
            </w:pPr>
            <w:r>
              <w:rPr>
                <w:rFonts w:ascii="Arial" w:cs="Arial" w:eastAsia="Arial" w:hAnsi="Arial"/>
                <w:sz w:val="15"/>
                <w:szCs w:val="15"/>
                <w:color w:val="auto"/>
                <w:w w:val="71"/>
              </w:rPr>
              <w:t>$</w:t>
            </w:r>
          </w:p>
        </w:tc>
        <w:tc>
          <w:tcPr>
            <w:tcW w:w="1200" w:type="dxa"/>
            <w:vAlign w:val="bottom"/>
          </w:tcPr>
          <w:p>
            <w:pPr>
              <w:jc w:val="right"/>
              <w:spacing w:after="0" w:line="176" w:lineRule="exact"/>
              <w:rPr>
                <w:sz w:val="20"/>
                <w:szCs w:val="20"/>
                <w:color w:val="auto"/>
              </w:rPr>
            </w:pPr>
            <w:r>
              <w:rPr>
                <w:rFonts w:ascii="Arial" w:cs="Arial" w:eastAsia="Arial" w:hAnsi="Arial"/>
                <w:sz w:val="16"/>
                <w:szCs w:val="16"/>
                <w:color w:val="auto"/>
              </w:rPr>
              <w:t>7,740</w:t>
            </w:r>
          </w:p>
        </w:tc>
        <w:tc>
          <w:tcPr>
            <w:tcW w:w="180" w:type="dxa"/>
            <w:vAlign w:val="bottom"/>
          </w:tcPr>
          <w:p>
            <w:pPr>
              <w:jc w:val="right"/>
              <w:spacing w:after="0" w:line="176" w:lineRule="exact"/>
              <w:rPr>
                <w:sz w:val="20"/>
                <w:szCs w:val="20"/>
                <w:color w:val="auto"/>
              </w:rPr>
            </w:pPr>
            <w:r>
              <w:rPr>
                <w:rFonts w:ascii="Arial" w:cs="Arial" w:eastAsia="Arial" w:hAnsi="Arial"/>
                <w:sz w:val="16"/>
                <w:szCs w:val="16"/>
                <w:color w:val="auto"/>
                <w:w w:val="89"/>
              </w:rPr>
              <w:t>$</w:t>
            </w:r>
          </w:p>
        </w:tc>
        <w:tc>
          <w:tcPr>
            <w:tcW w:w="1260" w:type="dxa"/>
            <w:vAlign w:val="bottom"/>
          </w:tcPr>
          <w:p>
            <w:pPr>
              <w:jc w:val="right"/>
              <w:spacing w:after="0" w:line="176" w:lineRule="exact"/>
              <w:rPr>
                <w:sz w:val="20"/>
                <w:szCs w:val="20"/>
                <w:color w:val="auto"/>
              </w:rPr>
            </w:pPr>
            <w:r>
              <w:rPr>
                <w:rFonts w:ascii="Arial" w:cs="Arial" w:eastAsia="Arial" w:hAnsi="Arial"/>
                <w:sz w:val="16"/>
                <w:szCs w:val="16"/>
                <w:color w:val="auto"/>
              </w:rPr>
              <w:t>7,986</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160" w:type="dxa"/>
            <w:vAlign w:val="bottom"/>
            <w:tcBorders>
              <w:top w:val="single" w:sz="8" w:color="auto"/>
            </w:tcBorders>
          </w:tcPr>
          <w:p>
            <w:pPr>
              <w:spacing w:after="0" w:line="153" w:lineRule="exact"/>
              <w:rPr>
                <w:sz w:val="20"/>
                <w:szCs w:val="20"/>
                <w:color w:val="auto"/>
              </w:rPr>
            </w:pPr>
            <w:r>
              <w:rPr>
                <w:rFonts w:ascii="Arial" w:cs="Arial" w:eastAsia="Arial" w:hAnsi="Arial"/>
                <w:sz w:val="14"/>
                <w:szCs w:val="14"/>
                <w:i w:val="1"/>
                <w:iCs w:val="1"/>
                <w:color w:val="auto"/>
                <w:w w:val="81"/>
              </w:rPr>
              <w:t>(1)</w:t>
            </w:r>
          </w:p>
        </w:tc>
        <w:tc>
          <w:tcPr>
            <w:tcW w:w="8400" w:type="dxa"/>
            <w:vAlign w:val="bottom"/>
            <w:tcBorders>
              <w:top w:val="single" w:sz="8" w:color="auto"/>
            </w:tcBorders>
          </w:tcPr>
          <w:p>
            <w:pPr>
              <w:ind w:left="320"/>
              <w:spacing w:after="0" w:line="153" w:lineRule="exact"/>
              <w:rPr>
                <w:sz w:val="20"/>
                <w:szCs w:val="20"/>
                <w:color w:val="auto"/>
              </w:rPr>
            </w:pPr>
            <w:r>
              <w:rPr>
                <w:rFonts w:ascii="Arial" w:cs="Arial" w:eastAsia="Arial" w:hAnsi="Arial"/>
                <w:sz w:val="14"/>
                <w:szCs w:val="14"/>
                <w:i w:val="1"/>
                <w:iCs w:val="1"/>
                <w:color w:val="auto"/>
              </w:rPr>
              <w:t>Derived from audited financial statements.</w:t>
            </w:r>
          </w:p>
        </w:tc>
        <w:tc>
          <w:tcPr>
            <w:tcW w:w="200" w:type="dxa"/>
            <w:vAlign w:val="bottom"/>
            <w:tcBorders>
              <w:top w:val="single" w:sz="8" w:color="auto"/>
            </w:tcBorders>
          </w:tcPr>
          <w:p>
            <w:pPr>
              <w:spacing w:after="0"/>
              <w:rPr>
                <w:sz w:val="13"/>
                <w:szCs w:val="13"/>
                <w:color w:val="auto"/>
              </w:rPr>
            </w:pPr>
          </w:p>
        </w:tc>
        <w:tc>
          <w:tcPr>
            <w:tcW w:w="1200" w:type="dxa"/>
            <w:vAlign w:val="bottom"/>
            <w:tcBorders>
              <w:top w:val="single" w:sz="8" w:color="auto"/>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126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86"/>
        </w:trPr>
        <w:tc>
          <w:tcPr>
            <w:tcW w:w="8580" w:type="dxa"/>
            <w:vAlign w:val="bottom"/>
            <w:gridSpan w:val="3"/>
          </w:tcPr>
          <w:p>
            <w:pPr>
              <w:spacing w:after="0"/>
              <w:rPr>
                <w:sz w:val="20"/>
                <w:szCs w:val="20"/>
                <w:color w:val="auto"/>
              </w:rPr>
            </w:pPr>
            <w:r>
              <w:rPr>
                <w:rFonts w:ascii="Arial" w:cs="Arial" w:eastAsia="Arial" w:hAnsi="Arial"/>
                <w:sz w:val="14"/>
                <w:szCs w:val="14"/>
                <w:i w:val="1"/>
                <w:iCs w:val="1"/>
                <w:color w:val="auto"/>
              </w:rPr>
              <w:t>See Notes to Condensed Consolidated Financial Statements.</w:t>
            </w:r>
          </w:p>
        </w:tc>
        <w:tc>
          <w:tcPr>
            <w:tcW w:w="2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513" w:right="239" w:bottom="1440" w:gutter="0" w:footer="0" w:header="0"/>
        </w:sectPr>
      </w:pPr>
    </w:p>
    <w:bookmarkStart w:id="18" w:name="page19"/>
    <w:bookmarkEnd w:id="18"/>
    <w:p>
      <w:pPr>
        <w:spacing w:after="0"/>
        <w:rPr>
          <w:sz w:val="20"/>
          <w:szCs w:val="20"/>
          <w:color w:val="auto"/>
        </w:rPr>
      </w:pPr>
      <w:r>
        <w:rPr>
          <w:rFonts w:ascii="Arial" w:cs="Arial" w:eastAsia="Arial" w:hAnsi="Arial"/>
          <w:sz w:val="16"/>
          <w:szCs w:val="16"/>
          <w:b w:val="1"/>
          <w:bCs w:val="1"/>
          <w:color w:val="auto"/>
        </w:rPr>
        <w:t>SOUTHERN CALIFORNIA GAS COMPANY AND SUBSIDIARIES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-104775</wp:posOffset>
            </wp:positionV>
            <wp:extent cx="7246620" cy="3346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334645"/>
                    </a:xfrm>
                    <a:prstGeom prst="rect">
                      <a:avLst/>
                    </a:prstGeom>
                    <a:noFill/>
                  </pic:spPr>
                </pic:pic>
              </a:graphicData>
            </a:graphic>
          </wp:anchor>
        </w:drawing>
      </w:r>
    </w:p>
    <w:p>
      <w:pPr>
        <w:spacing w:after="0"/>
        <w:rPr>
          <w:sz w:val="20"/>
          <w:szCs w:val="20"/>
          <w:color w:val="auto"/>
        </w:rPr>
      </w:pPr>
      <w:r>
        <w:rPr>
          <w:rFonts w:ascii="Arial" w:cs="Arial" w:eastAsia="Arial" w:hAnsi="Arial"/>
          <w:sz w:val="16"/>
          <w:szCs w:val="16"/>
          <w:b w:val="1"/>
          <w:bCs w:val="1"/>
          <w:color w:val="auto"/>
        </w:rPr>
        <w:t>CONDENSED CONSOLIDATED STATEMENTS OF CASH FLOWS</w:t>
      </w:r>
    </w:p>
    <w:p>
      <w:pPr>
        <w:spacing w:after="0" w:line="8"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(Dollars in millions)</w:t>
      </w:r>
    </w:p>
    <w:tbl>
      <w:tblPr>
        <w:tblLayout w:type="fixed"/>
        <w:tblInd w:w="0" w:type="dxa"/>
        <w:tblCellMar>
          <w:top w:w="0" w:type="dxa"/>
          <w:left w:w="0" w:type="dxa"/>
          <w:bottom w:w="0" w:type="dxa"/>
          <w:right w:w="0" w:type="dxa"/>
        </w:tblCellMar>
      </w:tblPr>
      <w:tr>
        <w:trPr>
          <w:trHeight w:val="165"/>
        </w:trPr>
        <w:tc>
          <w:tcPr>
            <w:tcW w:w="8880" w:type="dxa"/>
            <w:vAlign w:val="bottom"/>
          </w:tcPr>
          <w:p>
            <w:pPr>
              <w:spacing w:after="0"/>
              <w:rPr>
                <w:sz w:val="14"/>
                <w:szCs w:val="14"/>
                <w:color w:val="auto"/>
              </w:rPr>
            </w:pPr>
          </w:p>
        </w:tc>
        <w:tc>
          <w:tcPr>
            <w:tcW w:w="2160" w:type="dxa"/>
            <w:vAlign w:val="bottom"/>
            <w:tcBorders>
              <w:bottom w:val="single" w:sz="8" w:color="auto"/>
            </w:tcBorders>
            <w:gridSpan w:val="3"/>
          </w:tcPr>
          <w:p>
            <w:pPr>
              <w:jc w:val="right"/>
              <w:spacing w:after="0" w:line="159" w:lineRule="exact"/>
              <w:rPr>
                <w:sz w:val="20"/>
                <w:szCs w:val="20"/>
                <w:color w:val="auto"/>
              </w:rPr>
            </w:pPr>
            <w:r>
              <w:rPr>
                <w:rFonts w:ascii="Arial" w:cs="Arial" w:eastAsia="Arial" w:hAnsi="Arial"/>
                <w:sz w:val="14"/>
                <w:szCs w:val="14"/>
                <w:color w:val="auto"/>
              </w:rPr>
              <w:t>Six months ended June 30,</w:t>
            </w:r>
          </w:p>
        </w:tc>
        <w:tc>
          <w:tcPr>
            <w:tcW w:w="3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888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2011</w:t>
            </w:r>
          </w:p>
        </w:tc>
        <w:tc>
          <w:tcPr>
            <w:tcW w:w="4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101"/>
              <w:spacing w:after="0"/>
              <w:rPr>
                <w:sz w:val="20"/>
                <w:szCs w:val="20"/>
                <w:color w:val="auto"/>
              </w:rPr>
            </w:pPr>
            <w:r>
              <w:rPr>
                <w:rFonts w:ascii="Arial" w:cs="Arial" w:eastAsia="Arial" w:hAnsi="Arial"/>
                <w:sz w:val="14"/>
                <w:szCs w:val="14"/>
                <w:color w:val="auto"/>
              </w:rPr>
              <w:t>2010</w:t>
            </w:r>
          </w:p>
        </w:tc>
        <w:tc>
          <w:tcPr>
            <w:tcW w:w="38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8880" w:type="dxa"/>
            <w:vAlign w:val="bottom"/>
            <w:vMerge w:val="restart"/>
          </w:tcPr>
          <w:p>
            <w:pPr>
              <w:spacing w:after="0"/>
              <w:rPr>
                <w:sz w:val="20"/>
                <w:szCs w:val="20"/>
                <w:color w:val="auto"/>
              </w:rPr>
            </w:pPr>
            <w:r>
              <w:rPr>
                <w:rFonts w:ascii="Arial" w:cs="Arial" w:eastAsia="Arial" w:hAnsi="Arial"/>
                <w:sz w:val="16"/>
                <w:szCs w:val="16"/>
                <w:color w:val="auto"/>
              </w:rPr>
              <w:t>CASH FLOWS FROM OPERATING ACTIVITIES</w:t>
            </w:r>
          </w:p>
        </w:tc>
        <w:tc>
          <w:tcPr>
            <w:tcW w:w="720" w:type="dxa"/>
            <w:vAlign w:val="bottom"/>
          </w:tcPr>
          <w:p>
            <w:pPr>
              <w:spacing w:after="0"/>
              <w:rPr>
                <w:sz w:val="16"/>
                <w:szCs w:val="16"/>
                <w:color w:val="auto"/>
              </w:rPr>
            </w:pPr>
          </w:p>
        </w:tc>
        <w:tc>
          <w:tcPr>
            <w:tcW w:w="1440" w:type="dxa"/>
            <w:vAlign w:val="bottom"/>
            <w:gridSpan w:val="2"/>
          </w:tcPr>
          <w:p>
            <w:pPr>
              <w:jc w:val="right"/>
              <w:ind w:right="441"/>
              <w:spacing w:after="0"/>
              <w:rPr>
                <w:sz w:val="20"/>
                <w:szCs w:val="20"/>
                <w:color w:val="auto"/>
              </w:rPr>
            </w:pPr>
            <w:r>
              <w:rPr>
                <w:rFonts w:ascii="Arial" w:cs="Arial" w:eastAsia="Arial" w:hAnsi="Arial"/>
                <w:sz w:val="14"/>
                <w:szCs w:val="14"/>
                <w:color w:val="auto"/>
              </w:rPr>
              <w:t>(unaudited)</w:t>
            </w:r>
          </w:p>
        </w:tc>
        <w:tc>
          <w:tcPr>
            <w:tcW w:w="3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8880" w:type="dxa"/>
            <w:vAlign w:val="bottom"/>
            <w:vMerge w:val="continue"/>
          </w:tcPr>
          <w:p>
            <w:pPr>
              <w:spacing w:after="0"/>
              <w:rPr>
                <w:sz w:val="12"/>
                <w:szCs w:val="12"/>
                <w:color w:val="auto"/>
              </w:rPr>
            </w:pPr>
          </w:p>
        </w:tc>
        <w:tc>
          <w:tcPr>
            <w:tcW w:w="7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8880" w:type="dxa"/>
            <w:vAlign w:val="bottom"/>
          </w:tcPr>
          <w:p>
            <w:pPr>
              <w:ind w:left="180"/>
              <w:spacing w:after="0" w:line="176" w:lineRule="exact"/>
              <w:rPr>
                <w:sz w:val="20"/>
                <w:szCs w:val="20"/>
                <w:color w:val="auto"/>
              </w:rPr>
            </w:pPr>
            <w:r>
              <w:rPr>
                <w:rFonts w:ascii="Arial" w:cs="Arial" w:eastAsia="Arial" w:hAnsi="Arial"/>
                <w:sz w:val="16"/>
                <w:szCs w:val="16"/>
                <w:color w:val="auto"/>
              </w:rPr>
              <w:t>Net income</w:t>
            </w:r>
          </w:p>
        </w:tc>
        <w:tc>
          <w:tcPr>
            <w:tcW w:w="720" w:type="dxa"/>
            <w:vAlign w:val="bottom"/>
          </w:tcPr>
          <w:p>
            <w:pPr>
              <w:jc w:val="right"/>
              <w:ind w:right="542"/>
              <w:spacing w:after="0" w:line="176" w:lineRule="exact"/>
              <w:rPr>
                <w:sz w:val="20"/>
                <w:szCs w:val="20"/>
                <w:color w:val="auto"/>
              </w:rPr>
            </w:pPr>
            <w:r>
              <w:rPr>
                <w:rFonts w:ascii="Arial" w:cs="Arial" w:eastAsia="Arial" w:hAnsi="Arial"/>
                <w:sz w:val="16"/>
                <w:szCs w:val="16"/>
                <w:color w:val="auto"/>
                <w:w w:val="89"/>
              </w:rPr>
              <w:t>$</w:t>
            </w:r>
          </w:p>
        </w:tc>
        <w:tc>
          <w:tcPr>
            <w:tcW w:w="400" w:type="dxa"/>
            <w:vAlign w:val="bottom"/>
          </w:tcPr>
          <w:p>
            <w:pPr>
              <w:jc w:val="right"/>
              <w:spacing w:after="0" w:line="176" w:lineRule="exact"/>
              <w:rPr>
                <w:sz w:val="20"/>
                <w:szCs w:val="20"/>
                <w:color w:val="auto"/>
              </w:rPr>
            </w:pPr>
            <w:r>
              <w:rPr>
                <w:rFonts w:ascii="Arial" w:cs="Arial" w:eastAsia="Arial" w:hAnsi="Arial"/>
                <w:sz w:val="16"/>
                <w:szCs w:val="16"/>
                <w:color w:val="auto"/>
              </w:rPr>
              <w:t>128</w:t>
            </w:r>
          </w:p>
        </w:tc>
        <w:tc>
          <w:tcPr>
            <w:tcW w:w="1040" w:type="dxa"/>
            <w:vAlign w:val="bottom"/>
          </w:tcPr>
          <w:p>
            <w:pPr>
              <w:jc w:val="right"/>
              <w:ind w:right="861"/>
              <w:spacing w:after="0" w:line="176" w:lineRule="exact"/>
              <w:rPr>
                <w:sz w:val="20"/>
                <w:szCs w:val="20"/>
                <w:color w:val="auto"/>
              </w:rPr>
            </w:pPr>
            <w:r>
              <w:rPr>
                <w:rFonts w:ascii="Arial" w:cs="Arial" w:eastAsia="Arial" w:hAnsi="Arial"/>
                <w:sz w:val="16"/>
                <w:szCs w:val="16"/>
                <w:color w:val="auto"/>
                <w:w w:val="89"/>
              </w:rPr>
              <w:t>$</w:t>
            </w:r>
          </w:p>
        </w:tc>
        <w:tc>
          <w:tcPr>
            <w:tcW w:w="380" w:type="dxa"/>
            <w:vAlign w:val="bottom"/>
          </w:tcPr>
          <w:p>
            <w:pPr>
              <w:jc w:val="right"/>
              <w:spacing w:after="0" w:line="176" w:lineRule="exact"/>
              <w:rPr>
                <w:sz w:val="20"/>
                <w:szCs w:val="20"/>
                <w:color w:val="auto"/>
              </w:rPr>
            </w:pPr>
            <w:r>
              <w:rPr>
                <w:rFonts w:ascii="Arial" w:cs="Arial" w:eastAsia="Arial" w:hAnsi="Arial"/>
                <w:sz w:val="16"/>
                <w:szCs w:val="16"/>
                <w:color w:val="auto"/>
              </w:rPr>
              <w:t>135</w:t>
            </w:r>
          </w:p>
        </w:tc>
        <w:tc>
          <w:tcPr>
            <w:tcW w:w="0" w:type="dxa"/>
            <w:vAlign w:val="bottom"/>
          </w:tcPr>
          <w:p>
            <w:pPr>
              <w:spacing w:after="0"/>
              <w:rPr>
                <w:sz w:val="1"/>
                <w:szCs w:val="1"/>
                <w:color w:val="auto"/>
              </w:rPr>
            </w:pPr>
          </w:p>
        </w:tc>
      </w:tr>
      <w:tr>
        <w:trPr>
          <w:trHeight w:val="176"/>
        </w:trPr>
        <w:tc>
          <w:tcPr>
            <w:tcW w:w="8880" w:type="dxa"/>
            <w:vAlign w:val="bottom"/>
          </w:tcPr>
          <w:p>
            <w:pPr>
              <w:ind w:left="180"/>
              <w:spacing w:after="0" w:line="176" w:lineRule="exact"/>
              <w:rPr>
                <w:sz w:val="20"/>
                <w:szCs w:val="20"/>
                <w:color w:val="auto"/>
              </w:rPr>
            </w:pPr>
            <w:r>
              <w:rPr>
                <w:rFonts w:ascii="Arial" w:cs="Arial" w:eastAsia="Arial" w:hAnsi="Arial"/>
                <w:sz w:val="16"/>
                <w:szCs w:val="16"/>
                <w:color w:val="auto"/>
              </w:rPr>
              <w:t>Adjustments to reconcile net income to net cash provided by</w:t>
            </w:r>
          </w:p>
        </w:tc>
        <w:tc>
          <w:tcPr>
            <w:tcW w:w="7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8880" w:type="dxa"/>
            <w:vAlign w:val="bottom"/>
          </w:tcPr>
          <w:p>
            <w:pPr>
              <w:ind w:left="360"/>
              <w:spacing w:after="0" w:line="176" w:lineRule="exact"/>
              <w:rPr>
                <w:sz w:val="20"/>
                <w:szCs w:val="20"/>
                <w:color w:val="auto"/>
              </w:rPr>
            </w:pPr>
            <w:r>
              <w:rPr>
                <w:rFonts w:ascii="Arial" w:cs="Arial" w:eastAsia="Arial" w:hAnsi="Arial"/>
                <w:sz w:val="16"/>
                <w:szCs w:val="16"/>
                <w:color w:val="auto"/>
              </w:rPr>
              <w:t>operating activities:</w:t>
            </w:r>
          </w:p>
        </w:tc>
        <w:tc>
          <w:tcPr>
            <w:tcW w:w="7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8880" w:type="dxa"/>
            <w:vAlign w:val="bottom"/>
          </w:tcPr>
          <w:p>
            <w:pPr>
              <w:ind w:left="540"/>
              <w:spacing w:after="0" w:line="176" w:lineRule="exact"/>
              <w:rPr>
                <w:sz w:val="20"/>
                <w:szCs w:val="20"/>
                <w:color w:val="auto"/>
              </w:rPr>
            </w:pPr>
            <w:r>
              <w:rPr>
                <w:rFonts w:ascii="Arial" w:cs="Arial" w:eastAsia="Arial" w:hAnsi="Arial"/>
                <w:sz w:val="16"/>
                <w:szCs w:val="16"/>
                <w:color w:val="auto"/>
              </w:rPr>
              <w:t>Depreciation</w:t>
            </w:r>
          </w:p>
        </w:tc>
        <w:tc>
          <w:tcPr>
            <w:tcW w:w="720" w:type="dxa"/>
            <w:vAlign w:val="bottom"/>
          </w:tcPr>
          <w:p>
            <w:pPr>
              <w:spacing w:after="0"/>
              <w:rPr>
                <w:sz w:val="15"/>
                <w:szCs w:val="15"/>
                <w:color w:val="auto"/>
              </w:rPr>
            </w:pPr>
          </w:p>
        </w:tc>
        <w:tc>
          <w:tcPr>
            <w:tcW w:w="400" w:type="dxa"/>
            <w:vAlign w:val="bottom"/>
          </w:tcPr>
          <w:p>
            <w:pPr>
              <w:jc w:val="right"/>
              <w:spacing w:after="0" w:line="176" w:lineRule="exact"/>
              <w:rPr>
                <w:sz w:val="20"/>
                <w:szCs w:val="20"/>
                <w:color w:val="auto"/>
              </w:rPr>
            </w:pPr>
            <w:r>
              <w:rPr>
                <w:rFonts w:ascii="Arial" w:cs="Arial" w:eastAsia="Arial" w:hAnsi="Arial"/>
                <w:sz w:val="16"/>
                <w:szCs w:val="16"/>
                <w:color w:val="auto"/>
              </w:rPr>
              <w:t>163</w:t>
            </w:r>
          </w:p>
        </w:tc>
        <w:tc>
          <w:tcPr>
            <w:tcW w:w="1040" w:type="dxa"/>
            <w:vAlign w:val="bottom"/>
          </w:tcPr>
          <w:p>
            <w:pPr>
              <w:spacing w:after="0"/>
              <w:rPr>
                <w:sz w:val="15"/>
                <w:szCs w:val="15"/>
                <w:color w:val="auto"/>
              </w:rPr>
            </w:pPr>
          </w:p>
        </w:tc>
        <w:tc>
          <w:tcPr>
            <w:tcW w:w="380" w:type="dxa"/>
            <w:vAlign w:val="bottom"/>
          </w:tcPr>
          <w:p>
            <w:pPr>
              <w:jc w:val="right"/>
              <w:spacing w:after="0" w:line="176" w:lineRule="exact"/>
              <w:rPr>
                <w:sz w:val="20"/>
                <w:szCs w:val="20"/>
                <w:color w:val="auto"/>
              </w:rPr>
            </w:pPr>
            <w:r>
              <w:rPr>
                <w:rFonts w:ascii="Arial" w:cs="Arial" w:eastAsia="Arial" w:hAnsi="Arial"/>
                <w:sz w:val="16"/>
                <w:szCs w:val="16"/>
                <w:color w:val="auto"/>
              </w:rPr>
              <w:t>152</w:t>
            </w:r>
          </w:p>
        </w:tc>
        <w:tc>
          <w:tcPr>
            <w:tcW w:w="0" w:type="dxa"/>
            <w:vAlign w:val="bottom"/>
          </w:tcPr>
          <w:p>
            <w:pPr>
              <w:spacing w:after="0"/>
              <w:rPr>
                <w:sz w:val="1"/>
                <w:szCs w:val="1"/>
                <w:color w:val="auto"/>
              </w:rPr>
            </w:pPr>
          </w:p>
        </w:tc>
      </w:tr>
      <w:tr>
        <w:trPr>
          <w:trHeight w:val="176"/>
        </w:trPr>
        <w:tc>
          <w:tcPr>
            <w:tcW w:w="8880" w:type="dxa"/>
            <w:vAlign w:val="bottom"/>
          </w:tcPr>
          <w:p>
            <w:pPr>
              <w:ind w:left="540"/>
              <w:spacing w:after="0" w:line="176" w:lineRule="exact"/>
              <w:rPr>
                <w:sz w:val="20"/>
                <w:szCs w:val="20"/>
                <w:color w:val="auto"/>
              </w:rPr>
            </w:pPr>
            <w:r>
              <w:rPr>
                <w:rFonts w:ascii="Arial" w:cs="Arial" w:eastAsia="Arial" w:hAnsi="Arial"/>
                <w:sz w:val="16"/>
                <w:szCs w:val="16"/>
                <w:color w:val="auto"/>
              </w:rPr>
              <w:t>Deferred income taxes and investment tax credits</w:t>
            </w:r>
          </w:p>
        </w:tc>
        <w:tc>
          <w:tcPr>
            <w:tcW w:w="720" w:type="dxa"/>
            <w:vAlign w:val="bottom"/>
          </w:tcPr>
          <w:p>
            <w:pPr>
              <w:spacing w:after="0"/>
              <w:rPr>
                <w:sz w:val="15"/>
                <w:szCs w:val="15"/>
                <w:color w:val="auto"/>
              </w:rPr>
            </w:pPr>
          </w:p>
        </w:tc>
        <w:tc>
          <w:tcPr>
            <w:tcW w:w="400" w:type="dxa"/>
            <w:vAlign w:val="bottom"/>
          </w:tcPr>
          <w:p>
            <w:pPr>
              <w:jc w:val="right"/>
              <w:spacing w:after="0" w:line="176" w:lineRule="exact"/>
              <w:rPr>
                <w:sz w:val="20"/>
                <w:szCs w:val="20"/>
                <w:color w:val="auto"/>
              </w:rPr>
            </w:pPr>
            <w:r>
              <w:rPr>
                <w:rFonts w:ascii="Arial" w:cs="Arial" w:eastAsia="Arial" w:hAnsi="Arial"/>
                <w:sz w:val="16"/>
                <w:szCs w:val="16"/>
                <w:color w:val="auto"/>
              </w:rPr>
              <w:t>62</w:t>
            </w:r>
          </w:p>
        </w:tc>
        <w:tc>
          <w:tcPr>
            <w:tcW w:w="1040" w:type="dxa"/>
            <w:vAlign w:val="bottom"/>
          </w:tcPr>
          <w:p>
            <w:pPr>
              <w:spacing w:after="0"/>
              <w:rPr>
                <w:sz w:val="15"/>
                <w:szCs w:val="15"/>
                <w:color w:val="auto"/>
              </w:rPr>
            </w:pPr>
          </w:p>
        </w:tc>
        <w:tc>
          <w:tcPr>
            <w:tcW w:w="380" w:type="dxa"/>
            <w:vAlign w:val="bottom"/>
          </w:tcPr>
          <w:p>
            <w:pPr>
              <w:jc w:val="right"/>
              <w:spacing w:after="0" w:line="176" w:lineRule="exact"/>
              <w:rPr>
                <w:sz w:val="20"/>
                <w:szCs w:val="20"/>
                <w:color w:val="auto"/>
              </w:rPr>
            </w:pPr>
            <w:r>
              <w:rPr>
                <w:rFonts w:ascii="Arial" w:cs="Arial" w:eastAsia="Arial" w:hAnsi="Arial"/>
                <w:sz w:val="16"/>
                <w:szCs w:val="16"/>
                <w:color w:val="auto"/>
              </w:rPr>
              <w:t>13</w:t>
            </w:r>
          </w:p>
        </w:tc>
        <w:tc>
          <w:tcPr>
            <w:tcW w:w="0" w:type="dxa"/>
            <w:vAlign w:val="bottom"/>
          </w:tcPr>
          <w:p>
            <w:pPr>
              <w:spacing w:after="0"/>
              <w:rPr>
                <w:sz w:val="1"/>
                <w:szCs w:val="1"/>
                <w:color w:val="auto"/>
              </w:rPr>
            </w:pPr>
          </w:p>
        </w:tc>
      </w:tr>
      <w:tr>
        <w:trPr>
          <w:trHeight w:val="176"/>
        </w:trPr>
        <w:tc>
          <w:tcPr>
            <w:tcW w:w="8880" w:type="dxa"/>
            <w:vAlign w:val="bottom"/>
          </w:tcPr>
          <w:p>
            <w:pPr>
              <w:ind w:left="540"/>
              <w:spacing w:after="0" w:line="176" w:lineRule="exact"/>
              <w:rPr>
                <w:sz w:val="20"/>
                <w:szCs w:val="20"/>
                <w:color w:val="auto"/>
              </w:rPr>
            </w:pPr>
            <w:r>
              <w:rPr>
                <w:rFonts w:ascii="Arial" w:cs="Arial" w:eastAsia="Arial" w:hAnsi="Arial"/>
                <w:sz w:val="16"/>
                <w:szCs w:val="16"/>
                <w:color w:val="auto"/>
              </w:rPr>
              <w:t>Other</w:t>
            </w:r>
          </w:p>
        </w:tc>
        <w:tc>
          <w:tcPr>
            <w:tcW w:w="720" w:type="dxa"/>
            <w:vAlign w:val="bottom"/>
          </w:tcPr>
          <w:p>
            <w:pPr>
              <w:spacing w:after="0"/>
              <w:rPr>
                <w:sz w:val="15"/>
                <w:szCs w:val="15"/>
                <w:color w:val="auto"/>
              </w:rPr>
            </w:pPr>
          </w:p>
        </w:tc>
        <w:tc>
          <w:tcPr>
            <w:tcW w:w="400" w:type="dxa"/>
            <w:vAlign w:val="bottom"/>
          </w:tcPr>
          <w:p>
            <w:pPr>
              <w:jc w:val="right"/>
              <w:spacing w:after="0" w:line="176" w:lineRule="exact"/>
              <w:rPr>
                <w:sz w:val="20"/>
                <w:szCs w:val="20"/>
                <w:color w:val="auto"/>
              </w:rPr>
            </w:pPr>
            <w:r>
              <w:rPr>
                <w:rFonts w:ascii="Arial" w:cs="Arial" w:eastAsia="Arial" w:hAnsi="Arial"/>
                <w:sz w:val="16"/>
                <w:szCs w:val="16"/>
                <w:color w:val="auto"/>
              </w:rPr>
              <w:t>(3)</w:t>
            </w:r>
          </w:p>
        </w:tc>
        <w:tc>
          <w:tcPr>
            <w:tcW w:w="1040" w:type="dxa"/>
            <w:vAlign w:val="bottom"/>
          </w:tcPr>
          <w:p>
            <w:pPr>
              <w:spacing w:after="0"/>
              <w:rPr>
                <w:sz w:val="15"/>
                <w:szCs w:val="15"/>
                <w:color w:val="auto"/>
              </w:rPr>
            </w:pPr>
          </w:p>
        </w:tc>
        <w:tc>
          <w:tcPr>
            <w:tcW w:w="380" w:type="dxa"/>
            <w:vAlign w:val="bottom"/>
          </w:tcPr>
          <w:p>
            <w:pPr>
              <w:jc w:val="right"/>
              <w:spacing w:after="0" w:line="176" w:lineRule="exact"/>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176"/>
        </w:trPr>
        <w:tc>
          <w:tcPr>
            <w:tcW w:w="8880" w:type="dxa"/>
            <w:vAlign w:val="bottom"/>
          </w:tcPr>
          <w:p>
            <w:pPr>
              <w:ind w:left="180"/>
              <w:spacing w:after="0" w:line="176" w:lineRule="exact"/>
              <w:rPr>
                <w:sz w:val="20"/>
                <w:szCs w:val="20"/>
                <w:color w:val="auto"/>
              </w:rPr>
            </w:pPr>
            <w:r>
              <w:rPr>
                <w:rFonts w:ascii="Arial" w:cs="Arial" w:eastAsia="Arial" w:hAnsi="Arial"/>
                <w:sz w:val="16"/>
                <w:szCs w:val="16"/>
                <w:color w:val="auto"/>
              </w:rPr>
              <w:t>Net change in other working capital components</w:t>
            </w:r>
          </w:p>
        </w:tc>
        <w:tc>
          <w:tcPr>
            <w:tcW w:w="720" w:type="dxa"/>
            <w:vAlign w:val="bottom"/>
          </w:tcPr>
          <w:p>
            <w:pPr>
              <w:spacing w:after="0"/>
              <w:rPr>
                <w:sz w:val="15"/>
                <w:szCs w:val="15"/>
                <w:color w:val="auto"/>
              </w:rPr>
            </w:pPr>
          </w:p>
        </w:tc>
        <w:tc>
          <w:tcPr>
            <w:tcW w:w="400" w:type="dxa"/>
            <w:vAlign w:val="bottom"/>
          </w:tcPr>
          <w:p>
            <w:pPr>
              <w:jc w:val="right"/>
              <w:spacing w:after="0" w:line="176" w:lineRule="exact"/>
              <w:rPr>
                <w:sz w:val="20"/>
                <w:szCs w:val="20"/>
                <w:color w:val="auto"/>
              </w:rPr>
            </w:pPr>
            <w:r>
              <w:rPr>
                <w:rFonts w:ascii="Arial" w:cs="Arial" w:eastAsia="Arial" w:hAnsi="Arial"/>
                <w:sz w:val="16"/>
                <w:szCs w:val="16"/>
                <w:color w:val="auto"/>
              </w:rPr>
              <w:t>74</w:t>
            </w:r>
          </w:p>
        </w:tc>
        <w:tc>
          <w:tcPr>
            <w:tcW w:w="1040" w:type="dxa"/>
            <w:vAlign w:val="bottom"/>
          </w:tcPr>
          <w:p>
            <w:pPr>
              <w:spacing w:after="0"/>
              <w:rPr>
                <w:sz w:val="15"/>
                <w:szCs w:val="15"/>
                <w:color w:val="auto"/>
              </w:rPr>
            </w:pPr>
          </w:p>
        </w:tc>
        <w:tc>
          <w:tcPr>
            <w:tcW w:w="380" w:type="dxa"/>
            <w:vAlign w:val="bottom"/>
          </w:tcPr>
          <w:p>
            <w:pPr>
              <w:jc w:val="right"/>
              <w:spacing w:after="0" w:line="176" w:lineRule="exact"/>
              <w:rPr>
                <w:sz w:val="20"/>
                <w:szCs w:val="20"/>
                <w:color w:val="auto"/>
              </w:rPr>
            </w:pPr>
            <w:r>
              <w:rPr>
                <w:rFonts w:ascii="Arial" w:cs="Arial" w:eastAsia="Arial" w:hAnsi="Arial"/>
                <w:sz w:val="16"/>
                <w:szCs w:val="16"/>
                <w:color w:val="auto"/>
              </w:rPr>
              <w:t>325</w:t>
            </w:r>
          </w:p>
        </w:tc>
        <w:tc>
          <w:tcPr>
            <w:tcW w:w="0" w:type="dxa"/>
            <w:vAlign w:val="bottom"/>
          </w:tcPr>
          <w:p>
            <w:pPr>
              <w:spacing w:after="0"/>
              <w:rPr>
                <w:sz w:val="1"/>
                <w:szCs w:val="1"/>
                <w:color w:val="auto"/>
              </w:rPr>
            </w:pPr>
          </w:p>
        </w:tc>
      </w:tr>
      <w:tr>
        <w:trPr>
          <w:trHeight w:val="176"/>
        </w:trPr>
        <w:tc>
          <w:tcPr>
            <w:tcW w:w="8880" w:type="dxa"/>
            <w:vAlign w:val="bottom"/>
          </w:tcPr>
          <w:p>
            <w:pPr>
              <w:ind w:left="180"/>
              <w:spacing w:after="0" w:line="176" w:lineRule="exact"/>
              <w:rPr>
                <w:sz w:val="20"/>
                <w:szCs w:val="20"/>
                <w:color w:val="auto"/>
              </w:rPr>
            </w:pPr>
            <w:r>
              <w:rPr>
                <w:rFonts w:ascii="Arial" w:cs="Arial" w:eastAsia="Arial" w:hAnsi="Arial"/>
                <w:sz w:val="16"/>
                <w:szCs w:val="16"/>
                <w:color w:val="auto"/>
              </w:rPr>
              <w:t>Changes in other assets</w:t>
            </w:r>
          </w:p>
        </w:tc>
        <w:tc>
          <w:tcPr>
            <w:tcW w:w="720" w:type="dxa"/>
            <w:vAlign w:val="bottom"/>
          </w:tcPr>
          <w:p>
            <w:pPr>
              <w:spacing w:after="0"/>
              <w:rPr>
                <w:sz w:val="15"/>
                <w:szCs w:val="15"/>
                <w:color w:val="auto"/>
              </w:rPr>
            </w:pPr>
          </w:p>
        </w:tc>
        <w:tc>
          <w:tcPr>
            <w:tcW w:w="400" w:type="dxa"/>
            <w:vAlign w:val="bottom"/>
          </w:tcPr>
          <w:p>
            <w:pPr>
              <w:jc w:val="right"/>
              <w:spacing w:after="0" w:line="176" w:lineRule="exact"/>
              <w:rPr>
                <w:sz w:val="20"/>
                <w:szCs w:val="20"/>
                <w:color w:val="auto"/>
              </w:rPr>
            </w:pPr>
            <w:r>
              <w:rPr>
                <w:rFonts w:ascii="Arial" w:cs="Arial" w:eastAsia="Arial" w:hAnsi="Arial"/>
                <w:sz w:val="16"/>
                <w:szCs w:val="16"/>
                <w:color w:val="auto"/>
              </w:rPr>
              <w:t>16</w:t>
            </w:r>
          </w:p>
        </w:tc>
        <w:tc>
          <w:tcPr>
            <w:tcW w:w="1040" w:type="dxa"/>
            <w:vAlign w:val="bottom"/>
          </w:tcPr>
          <w:p>
            <w:pPr>
              <w:spacing w:after="0"/>
              <w:rPr>
                <w:sz w:val="15"/>
                <w:szCs w:val="15"/>
                <w:color w:val="auto"/>
              </w:rPr>
            </w:pPr>
          </w:p>
        </w:tc>
        <w:tc>
          <w:tcPr>
            <w:tcW w:w="380" w:type="dxa"/>
            <w:vAlign w:val="bottom"/>
          </w:tcPr>
          <w:p>
            <w:pPr>
              <w:jc w:val="right"/>
              <w:spacing w:after="0" w:line="176" w:lineRule="exact"/>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194"/>
        </w:trPr>
        <w:tc>
          <w:tcPr>
            <w:tcW w:w="8880" w:type="dxa"/>
            <w:vAlign w:val="bottom"/>
          </w:tcPr>
          <w:p>
            <w:pPr>
              <w:ind w:left="180"/>
              <w:spacing w:after="0"/>
              <w:rPr>
                <w:sz w:val="20"/>
                <w:szCs w:val="20"/>
                <w:color w:val="auto"/>
              </w:rPr>
            </w:pPr>
            <w:r>
              <w:rPr>
                <w:rFonts w:ascii="Arial" w:cs="Arial" w:eastAsia="Arial" w:hAnsi="Arial"/>
                <w:sz w:val="16"/>
                <w:szCs w:val="16"/>
                <w:color w:val="auto"/>
              </w:rPr>
              <w:t>Changes in other liabilities</w:t>
            </w:r>
          </w:p>
        </w:tc>
        <w:tc>
          <w:tcPr>
            <w:tcW w:w="72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w:t>
            </w:r>
          </w:p>
        </w:tc>
        <w:tc>
          <w:tcPr>
            <w:tcW w:w="104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w:t>
            </w:r>
          </w:p>
        </w:tc>
        <w:tc>
          <w:tcPr>
            <w:tcW w:w="0" w:type="dxa"/>
            <w:vAlign w:val="bottom"/>
          </w:tcPr>
          <w:p>
            <w:pPr>
              <w:spacing w:after="0"/>
              <w:rPr>
                <w:sz w:val="1"/>
                <w:szCs w:val="1"/>
                <w:color w:val="auto"/>
              </w:rPr>
            </w:pPr>
          </w:p>
        </w:tc>
      </w:tr>
      <w:tr>
        <w:trPr>
          <w:trHeight w:val="183"/>
        </w:trPr>
        <w:tc>
          <w:tcPr>
            <w:tcW w:w="8880" w:type="dxa"/>
            <w:vAlign w:val="bottom"/>
          </w:tcPr>
          <w:p>
            <w:pPr>
              <w:ind w:left="360"/>
              <w:spacing w:after="0" w:line="176" w:lineRule="exact"/>
              <w:rPr>
                <w:sz w:val="20"/>
                <w:szCs w:val="20"/>
                <w:color w:val="auto"/>
              </w:rPr>
            </w:pPr>
            <w:r>
              <w:rPr>
                <w:rFonts w:ascii="Arial" w:cs="Arial" w:eastAsia="Arial" w:hAnsi="Arial"/>
                <w:sz w:val="16"/>
                <w:szCs w:val="16"/>
                <w:color w:val="auto"/>
              </w:rPr>
              <w:t>Net cash provided by operating activities</w:t>
            </w:r>
          </w:p>
        </w:tc>
        <w:tc>
          <w:tcPr>
            <w:tcW w:w="72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6"/>
                <w:szCs w:val="16"/>
                <w:color w:val="auto"/>
              </w:rPr>
              <w:t>436</w:t>
            </w:r>
          </w:p>
        </w:tc>
        <w:tc>
          <w:tcPr>
            <w:tcW w:w="104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6"/>
                <w:szCs w:val="16"/>
                <w:color w:val="auto"/>
              </w:rPr>
              <w:t>621</w:t>
            </w:r>
          </w:p>
        </w:tc>
        <w:tc>
          <w:tcPr>
            <w:tcW w:w="0" w:type="dxa"/>
            <w:vAlign w:val="bottom"/>
          </w:tcPr>
          <w:p>
            <w:pPr>
              <w:spacing w:after="0"/>
              <w:rPr>
                <w:sz w:val="1"/>
                <w:szCs w:val="1"/>
                <w:color w:val="auto"/>
              </w:rPr>
            </w:pPr>
          </w:p>
        </w:tc>
      </w:tr>
      <w:tr>
        <w:trPr>
          <w:trHeight w:val="340"/>
        </w:trPr>
        <w:tc>
          <w:tcPr>
            <w:tcW w:w="8880" w:type="dxa"/>
            <w:vAlign w:val="bottom"/>
          </w:tcPr>
          <w:p>
            <w:pPr>
              <w:spacing w:after="0"/>
              <w:rPr>
                <w:sz w:val="20"/>
                <w:szCs w:val="20"/>
                <w:color w:val="auto"/>
              </w:rPr>
            </w:pPr>
            <w:r>
              <w:rPr>
                <w:rFonts w:ascii="Arial" w:cs="Arial" w:eastAsia="Arial" w:hAnsi="Arial"/>
                <w:sz w:val="16"/>
                <w:szCs w:val="16"/>
                <w:color w:val="auto"/>
              </w:rPr>
              <w:t>CASH FLOWS FROM INVESTING ACTIVITIES</w:t>
            </w:r>
          </w:p>
        </w:tc>
        <w:tc>
          <w:tcPr>
            <w:tcW w:w="7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8880" w:type="dxa"/>
            <w:vAlign w:val="bottom"/>
          </w:tcPr>
          <w:p>
            <w:pPr>
              <w:ind w:left="180"/>
              <w:spacing w:after="0" w:line="176" w:lineRule="exact"/>
              <w:rPr>
                <w:sz w:val="20"/>
                <w:szCs w:val="20"/>
                <w:color w:val="auto"/>
              </w:rPr>
            </w:pPr>
            <w:r>
              <w:rPr>
                <w:rFonts w:ascii="Arial" w:cs="Arial" w:eastAsia="Arial" w:hAnsi="Arial"/>
                <w:sz w:val="16"/>
                <w:szCs w:val="16"/>
                <w:color w:val="auto"/>
              </w:rPr>
              <w:t>Expenditures for property, plant and equipment</w:t>
            </w:r>
          </w:p>
        </w:tc>
        <w:tc>
          <w:tcPr>
            <w:tcW w:w="720" w:type="dxa"/>
            <w:vAlign w:val="bottom"/>
          </w:tcPr>
          <w:p>
            <w:pPr>
              <w:spacing w:after="0"/>
              <w:rPr>
                <w:sz w:val="15"/>
                <w:szCs w:val="15"/>
                <w:color w:val="auto"/>
              </w:rPr>
            </w:pPr>
          </w:p>
        </w:tc>
        <w:tc>
          <w:tcPr>
            <w:tcW w:w="400" w:type="dxa"/>
            <w:vAlign w:val="bottom"/>
          </w:tcPr>
          <w:p>
            <w:pPr>
              <w:jc w:val="right"/>
              <w:spacing w:after="0" w:line="176" w:lineRule="exact"/>
              <w:rPr>
                <w:sz w:val="20"/>
                <w:szCs w:val="20"/>
                <w:color w:val="auto"/>
              </w:rPr>
            </w:pPr>
            <w:r>
              <w:rPr>
                <w:rFonts w:ascii="Arial" w:cs="Arial" w:eastAsia="Arial" w:hAnsi="Arial"/>
                <w:sz w:val="16"/>
                <w:szCs w:val="16"/>
                <w:color w:val="auto"/>
              </w:rPr>
              <w:t>(325)</w:t>
            </w:r>
          </w:p>
        </w:tc>
        <w:tc>
          <w:tcPr>
            <w:tcW w:w="1040" w:type="dxa"/>
            <w:vAlign w:val="bottom"/>
          </w:tcPr>
          <w:p>
            <w:pPr>
              <w:spacing w:after="0"/>
              <w:rPr>
                <w:sz w:val="15"/>
                <w:szCs w:val="15"/>
                <w:color w:val="auto"/>
              </w:rPr>
            </w:pPr>
          </w:p>
        </w:tc>
        <w:tc>
          <w:tcPr>
            <w:tcW w:w="380" w:type="dxa"/>
            <w:vAlign w:val="bottom"/>
          </w:tcPr>
          <w:p>
            <w:pPr>
              <w:jc w:val="right"/>
              <w:spacing w:after="0" w:line="176" w:lineRule="exact"/>
              <w:rPr>
                <w:sz w:val="20"/>
                <w:szCs w:val="20"/>
                <w:color w:val="auto"/>
              </w:rPr>
            </w:pPr>
            <w:r>
              <w:rPr>
                <w:rFonts w:ascii="Arial" w:cs="Arial" w:eastAsia="Arial" w:hAnsi="Arial"/>
                <w:sz w:val="16"/>
                <w:szCs w:val="16"/>
                <w:color w:val="auto"/>
                <w:w w:val="96"/>
              </w:rPr>
              <w:t>(216)</w:t>
            </w:r>
          </w:p>
        </w:tc>
        <w:tc>
          <w:tcPr>
            <w:tcW w:w="0" w:type="dxa"/>
            <w:vAlign w:val="bottom"/>
          </w:tcPr>
          <w:p>
            <w:pPr>
              <w:spacing w:after="0"/>
              <w:rPr>
                <w:sz w:val="1"/>
                <w:szCs w:val="1"/>
                <w:color w:val="auto"/>
              </w:rPr>
            </w:pPr>
          </w:p>
        </w:tc>
      </w:tr>
      <w:tr>
        <w:trPr>
          <w:trHeight w:val="194"/>
        </w:trPr>
        <w:tc>
          <w:tcPr>
            <w:tcW w:w="8880" w:type="dxa"/>
            <w:vAlign w:val="bottom"/>
          </w:tcPr>
          <w:p>
            <w:pPr>
              <w:ind w:left="180"/>
              <w:spacing w:after="0"/>
              <w:rPr>
                <w:sz w:val="20"/>
                <w:szCs w:val="20"/>
                <w:color w:val="auto"/>
              </w:rPr>
            </w:pPr>
            <w:r>
              <w:rPr>
                <w:rFonts w:ascii="Arial" w:cs="Arial" w:eastAsia="Arial" w:hAnsi="Arial"/>
                <w:sz w:val="16"/>
                <w:szCs w:val="16"/>
                <w:color w:val="auto"/>
              </w:rPr>
              <w:t>Increase in loans to affiliates, net</w:t>
            </w:r>
          </w:p>
        </w:tc>
        <w:tc>
          <w:tcPr>
            <w:tcW w:w="72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(211)</w:t>
            </w:r>
          </w:p>
        </w:tc>
        <w:tc>
          <w:tcPr>
            <w:tcW w:w="104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6"/>
              </w:rPr>
              <w:t>(252)</w:t>
            </w:r>
          </w:p>
        </w:tc>
        <w:tc>
          <w:tcPr>
            <w:tcW w:w="0" w:type="dxa"/>
            <w:vAlign w:val="bottom"/>
          </w:tcPr>
          <w:p>
            <w:pPr>
              <w:spacing w:after="0"/>
              <w:rPr>
                <w:sz w:val="1"/>
                <w:szCs w:val="1"/>
                <w:color w:val="auto"/>
              </w:rPr>
            </w:pPr>
          </w:p>
        </w:tc>
      </w:tr>
      <w:tr>
        <w:trPr>
          <w:trHeight w:val="183"/>
        </w:trPr>
        <w:tc>
          <w:tcPr>
            <w:tcW w:w="8880" w:type="dxa"/>
            <w:vAlign w:val="bottom"/>
          </w:tcPr>
          <w:p>
            <w:pPr>
              <w:ind w:left="360"/>
              <w:spacing w:after="0" w:line="176" w:lineRule="exact"/>
              <w:rPr>
                <w:sz w:val="20"/>
                <w:szCs w:val="20"/>
                <w:color w:val="auto"/>
              </w:rPr>
            </w:pPr>
            <w:r>
              <w:rPr>
                <w:rFonts w:ascii="Arial" w:cs="Arial" w:eastAsia="Arial" w:hAnsi="Arial"/>
                <w:sz w:val="16"/>
                <w:szCs w:val="16"/>
                <w:color w:val="auto"/>
              </w:rPr>
              <w:t>Net cash used in investing activities</w:t>
            </w:r>
          </w:p>
        </w:tc>
        <w:tc>
          <w:tcPr>
            <w:tcW w:w="72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6"/>
                <w:szCs w:val="16"/>
                <w:color w:val="auto"/>
              </w:rPr>
              <w:t>(536)</w:t>
            </w:r>
          </w:p>
        </w:tc>
        <w:tc>
          <w:tcPr>
            <w:tcW w:w="104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6"/>
                <w:szCs w:val="16"/>
                <w:color w:val="auto"/>
                <w:w w:val="96"/>
              </w:rPr>
              <w:t>(468)</w:t>
            </w:r>
          </w:p>
        </w:tc>
        <w:tc>
          <w:tcPr>
            <w:tcW w:w="0" w:type="dxa"/>
            <w:vAlign w:val="bottom"/>
          </w:tcPr>
          <w:p>
            <w:pPr>
              <w:spacing w:after="0"/>
              <w:rPr>
                <w:sz w:val="1"/>
                <w:szCs w:val="1"/>
                <w:color w:val="auto"/>
              </w:rPr>
            </w:pPr>
          </w:p>
        </w:tc>
      </w:tr>
      <w:tr>
        <w:trPr>
          <w:trHeight w:val="340"/>
        </w:trPr>
        <w:tc>
          <w:tcPr>
            <w:tcW w:w="8880" w:type="dxa"/>
            <w:vAlign w:val="bottom"/>
          </w:tcPr>
          <w:p>
            <w:pPr>
              <w:spacing w:after="0"/>
              <w:rPr>
                <w:sz w:val="20"/>
                <w:szCs w:val="20"/>
                <w:color w:val="auto"/>
              </w:rPr>
            </w:pPr>
            <w:r>
              <w:rPr>
                <w:rFonts w:ascii="Arial" w:cs="Arial" w:eastAsia="Arial" w:hAnsi="Arial"/>
                <w:sz w:val="16"/>
                <w:szCs w:val="16"/>
                <w:color w:val="auto"/>
              </w:rPr>
              <w:t>CASH FLOWS FROM FINANCING ACTIVITIES</w:t>
            </w:r>
          </w:p>
        </w:tc>
        <w:tc>
          <w:tcPr>
            <w:tcW w:w="7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8880" w:type="dxa"/>
            <w:vAlign w:val="bottom"/>
          </w:tcPr>
          <w:p>
            <w:pPr>
              <w:ind w:left="180"/>
              <w:spacing w:after="0" w:line="176" w:lineRule="exact"/>
              <w:rPr>
                <w:sz w:val="20"/>
                <w:szCs w:val="20"/>
                <w:color w:val="auto"/>
              </w:rPr>
            </w:pPr>
            <w:r>
              <w:rPr>
                <w:rFonts w:ascii="Arial" w:cs="Arial" w:eastAsia="Arial" w:hAnsi="Arial"/>
                <w:sz w:val="16"/>
                <w:szCs w:val="16"/>
                <w:color w:val="auto"/>
              </w:rPr>
              <w:t>Common dividends paid</w:t>
            </w:r>
          </w:p>
        </w:tc>
        <w:tc>
          <w:tcPr>
            <w:tcW w:w="720" w:type="dxa"/>
            <w:vAlign w:val="bottom"/>
          </w:tcPr>
          <w:p>
            <w:pPr>
              <w:spacing w:after="0"/>
              <w:rPr>
                <w:sz w:val="15"/>
                <w:szCs w:val="15"/>
                <w:color w:val="auto"/>
              </w:rPr>
            </w:pPr>
          </w:p>
        </w:tc>
        <w:tc>
          <w:tcPr>
            <w:tcW w:w="400" w:type="dxa"/>
            <w:vAlign w:val="bottom"/>
          </w:tcPr>
          <w:p>
            <w:pPr>
              <w:jc w:val="right"/>
              <w:spacing w:after="0" w:line="176" w:lineRule="exact"/>
              <w:rPr>
                <w:sz w:val="20"/>
                <w:szCs w:val="20"/>
                <w:color w:val="auto"/>
              </w:rPr>
            </w:pPr>
            <w:r>
              <w:rPr>
                <w:rFonts w:ascii="Arial" w:cs="Arial" w:eastAsia="Arial" w:hAnsi="Arial"/>
                <w:sz w:val="16"/>
                <w:szCs w:val="16"/>
                <w:color w:val="auto"/>
              </w:rPr>
              <w:t>(50)</w:t>
            </w:r>
          </w:p>
        </w:tc>
        <w:tc>
          <w:tcPr>
            <w:tcW w:w="1040" w:type="dxa"/>
            <w:vAlign w:val="bottom"/>
          </w:tcPr>
          <w:p>
            <w:pPr>
              <w:spacing w:after="0"/>
              <w:rPr>
                <w:sz w:val="15"/>
                <w:szCs w:val="15"/>
                <w:color w:val="auto"/>
              </w:rPr>
            </w:pPr>
          </w:p>
        </w:tc>
        <w:tc>
          <w:tcPr>
            <w:tcW w:w="380" w:type="dxa"/>
            <w:vAlign w:val="bottom"/>
          </w:tcPr>
          <w:p>
            <w:pPr>
              <w:jc w:val="right"/>
              <w:spacing w:after="0" w:line="176" w:lineRule="exact"/>
              <w:rPr>
                <w:sz w:val="20"/>
                <w:szCs w:val="20"/>
                <w:color w:val="auto"/>
              </w:rPr>
            </w:pPr>
            <w:r>
              <w:rPr>
                <w:rFonts w:ascii="Arial" w:cs="Arial" w:eastAsia="Arial" w:hAnsi="Arial"/>
                <w:sz w:val="16"/>
                <w:szCs w:val="16"/>
                <w:color w:val="auto"/>
                <w:w w:val="96"/>
              </w:rPr>
              <w:t>(100)</w:t>
            </w:r>
          </w:p>
        </w:tc>
        <w:tc>
          <w:tcPr>
            <w:tcW w:w="0" w:type="dxa"/>
            <w:vAlign w:val="bottom"/>
          </w:tcPr>
          <w:p>
            <w:pPr>
              <w:spacing w:after="0"/>
              <w:rPr>
                <w:sz w:val="1"/>
                <w:szCs w:val="1"/>
                <w:color w:val="auto"/>
              </w:rPr>
            </w:pPr>
          </w:p>
        </w:tc>
      </w:tr>
      <w:tr>
        <w:trPr>
          <w:trHeight w:val="176"/>
        </w:trPr>
        <w:tc>
          <w:tcPr>
            <w:tcW w:w="8880" w:type="dxa"/>
            <w:vAlign w:val="bottom"/>
          </w:tcPr>
          <w:p>
            <w:pPr>
              <w:ind w:left="180"/>
              <w:spacing w:after="0" w:line="176" w:lineRule="exact"/>
              <w:rPr>
                <w:sz w:val="20"/>
                <w:szCs w:val="20"/>
                <w:color w:val="auto"/>
              </w:rPr>
            </w:pPr>
            <w:r>
              <w:rPr>
                <w:rFonts w:ascii="Arial" w:cs="Arial" w:eastAsia="Arial" w:hAnsi="Arial"/>
                <w:sz w:val="16"/>
                <w:szCs w:val="16"/>
                <w:color w:val="auto"/>
              </w:rPr>
              <w:t>Payment of long-term debt</w:t>
            </w:r>
          </w:p>
        </w:tc>
        <w:tc>
          <w:tcPr>
            <w:tcW w:w="720" w:type="dxa"/>
            <w:vAlign w:val="bottom"/>
          </w:tcPr>
          <w:p>
            <w:pPr>
              <w:spacing w:after="0"/>
              <w:rPr>
                <w:sz w:val="15"/>
                <w:szCs w:val="15"/>
                <w:color w:val="auto"/>
              </w:rPr>
            </w:pPr>
          </w:p>
        </w:tc>
        <w:tc>
          <w:tcPr>
            <w:tcW w:w="400" w:type="dxa"/>
            <w:vAlign w:val="bottom"/>
          </w:tcPr>
          <w:p>
            <w:pPr>
              <w:jc w:val="right"/>
              <w:spacing w:after="0" w:line="176" w:lineRule="exact"/>
              <w:rPr>
                <w:sz w:val="20"/>
                <w:szCs w:val="20"/>
                <w:color w:val="auto"/>
              </w:rPr>
            </w:pPr>
            <w:r>
              <w:rPr>
                <w:rFonts w:ascii="Arial" w:cs="Arial" w:eastAsia="Arial" w:hAnsi="Arial"/>
                <w:sz w:val="16"/>
                <w:szCs w:val="16"/>
                <w:color w:val="auto"/>
              </w:rPr>
              <w:t>(250)</w:t>
            </w:r>
          </w:p>
        </w:tc>
        <w:tc>
          <w:tcPr>
            <w:tcW w:w="1040" w:type="dxa"/>
            <w:vAlign w:val="bottom"/>
          </w:tcPr>
          <w:p>
            <w:pPr>
              <w:spacing w:after="0"/>
              <w:rPr>
                <w:sz w:val="15"/>
                <w:szCs w:val="15"/>
                <w:color w:val="auto"/>
              </w:rPr>
            </w:pPr>
          </w:p>
        </w:tc>
        <w:tc>
          <w:tcPr>
            <w:tcW w:w="380" w:type="dxa"/>
            <w:vAlign w:val="bottom"/>
          </w:tcPr>
          <w:p>
            <w:pPr>
              <w:jc w:val="right"/>
              <w:spacing w:after="0" w:line="176" w:lineRule="exact"/>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4"/>
        </w:trPr>
        <w:tc>
          <w:tcPr>
            <w:tcW w:w="8880" w:type="dxa"/>
            <w:vAlign w:val="bottom"/>
          </w:tcPr>
          <w:p>
            <w:pPr>
              <w:ind w:left="180"/>
              <w:spacing w:after="0"/>
              <w:rPr>
                <w:sz w:val="20"/>
                <w:szCs w:val="20"/>
                <w:color w:val="auto"/>
              </w:rPr>
            </w:pPr>
            <w:r>
              <w:rPr>
                <w:rFonts w:ascii="Arial" w:cs="Arial" w:eastAsia="Arial" w:hAnsi="Arial"/>
                <w:sz w:val="16"/>
                <w:szCs w:val="16"/>
                <w:color w:val="auto"/>
              </w:rPr>
              <w:t>Preferred dividends paid</w:t>
            </w:r>
          </w:p>
        </w:tc>
        <w:tc>
          <w:tcPr>
            <w:tcW w:w="72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104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183"/>
        </w:trPr>
        <w:tc>
          <w:tcPr>
            <w:tcW w:w="8880" w:type="dxa"/>
            <w:vAlign w:val="bottom"/>
          </w:tcPr>
          <w:p>
            <w:pPr>
              <w:ind w:left="360"/>
              <w:spacing w:after="0" w:line="176" w:lineRule="exact"/>
              <w:rPr>
                <w:sz w:val="20"/>
                <w:szCs w:val="20"/>
                <w:color w:val="auto"/>
              </w:rPr>
            </w:pPr>
            <w:r>
              <w:rPr>
                <w:rFonts w:ascii="Arial" w:cs="Arial" w:eastAsia="Arial" w:hAnsi="Arial"/>
                <w:sz w:val="16"/>
                <w:szCs w:val="16"/>
                <w:color w:val="auto"/>
              </w:rPr>
              <w:t>Net cash used in financing activities</w:t>
            </w:r>
          </w:p>
        </w:tc>
        <w:tc>
          <w:tcPr>
            <w:tcW w:w="72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6"/>
                <w:szCs w:val="16"/>
                <w:color w:val="auto"/>
              </w:rPr>
              <w:t>(301)</w:t>
            </w:r>
          </w:p>
        </w:tc>
        <w:tc>
          <w:tcPr>
            <w:tcW w:w="104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6"/>
                <w:szCs w:val="16"/>
                <w:color w:val="auto"/>
                <w:w w:val="96"/>
              </w:rPr>
              <w:t>(101)</w:t>
            </w:r>
          </w:p>
        </w:tc>
        <w:tc>
          <w:tcPr>
            <w:tcW w:w="0" w:type="dxa"/>
            <w:vAlign w:val="bottom"/>
          </w:tcPr>
          <w:p>
            <w:pPr>
              <w:spacing w:after="0"/>
              <w:rPr>
                <w:sz w:val="1"/>
                <w:szCs w:val="1"/>
                <w:color w:val="auto"/>
              </w:rPr>
            </w:pPr>
          </w:p>
        </w:tc>
      </w:tr>
      <w:tr>
        <w:trPr>
          <w:trHeight w:val="340"/>
        </w:trPr>
        <w:tc>
          <w:tcPr>
            <w:tcW w:w="8880" w:type="dxa"/>
            <w:vAlign w:val="bottom"/>
          </w:tcPr>
          <w:p>
            <w:pPr>
              <w:spacing w:after="0"/>
              <w:rPr>
                <w:sz w:val="20"/>
                <w:szCs w:val="20"/>
                <w:color w:val="auto"/>
              </w:rPr>
            </w:pPr>
            <w:r>
              <w:rPr>
                <w:rFonts w:ascii="Arial" w:cs="Arial" w:eastAsia="Arial" w:hAnsi="Arial"/>
                <w:sz w:val="16"/>
                <w:szCs w:val="16"/>
                <w:color w:val="auto"/>
              </w:rPr>
              <w:t>(Decrease) increase in cash and cash equivalents</w:t>
            </w:r>
          </w:p>
        </w:tc>
        <w:tc>
          <w:tcPr>
            <w:tcW w:w="720" w:type="dxa"/>
            <w:vAlign w:val="bottom"/>
          </w:tcPr>
          <w:p>
            <w:pPr>
              <w:spacing w:after="0"/>
              <w:rPr>
                <w:sz w:val="24"/>
                <w:szCs w:val="24"/>
                <w:color w:val="auto"/>
              </w:rPr>
            </w:pPr>
          </w:p>
        </w:tc>
        <w:tc>
          <w:tcPr>
            <w:tcW w:w="400" w:type="dxa"/>
            <w:vAlign w:val="bottom"/>
          </w:tcPr>
          <w:p>
            <w:pPr>
              <w:jc w:val="right"/>
              <w:spacing w:after="0"/>
              <w:rPr>
                <w:sz w:val="20"/>
                <w:szCs w:val="20"/>
                <w:color w:val="auto"/>
              </w:rPr>
            </w:pPr>
            <w:r>
              <w:rPr>
                <w:rFonts w:ascii="Arial" w:cs="Arial" w:eastAsia="Arial" w:hAnsi="Arial"/>
                <w:sz w:val="16"/>
                <w:szCs w:val="16"/>
                <w:color w:val="auto"/>
              </w:rPr>
              <w:t>(401)</w:t>
            </w:r>
          </w:p>
        </w:tc>
        <w:tc>
          <w:tcPr>
            <w:tcW w:w="1040" w:type="dxa"/>
            <w:vAlign w:val="bottom"/>
          </w:tcPr>
          <w:p>
            <w:pPr>
              <w:spacing w:after="0"/>
              <w:rPr>
                <w:sz w:val="24"/>
                <w:szCs w:val="24"/>
                <w:color w:val="auto"/>
              </w:rPr>
            </w:pPr>
          </w:p>
        </w:tc>
        <w:tc>
          <w:tcPr>
            <w:tcW w:w="380" w:type="dxa"/>
            <w:vAlign w:val="bottom"/>
          </w:tcPr>
          <w:p>
            <w:pPr>
              <w:jc w:val="right"/>
              <w:spacing w:after="0"/>
              <w:rPr>
                <w:sz w:val="20"/>
                <w:szCs w:val="20"/>
                <w:color w:val="auto"/>
              </w:rPr>
            </w:pPr>
            <w:r>
              <w:rPr>
                <w:rFonts w:ascii="Arial" w:cs="Arial" w:eastAsia="Arial" w:hAnsi="Arial"/>
                <w:sz w:val="16"/>
                <w:szCs w:val="16"/>
                <w:color w:val="auto"/>
              </w:rPr>
              <w:t>52</w:t>
            </w:r>
          </w:p>
        </w:tc>
        <w:tc>
          <w:tcPr>
            <w:tcW w:w="0" w:type="dxa"/>
            <w:vAlign w:val="bottom"/>
          </w:tcPr>
          <w:p>
            <w:pPr>
              <w:spacing w:after="0"/>
              <w:rPr>
                <w:sz w:val="1"/>
                <w:szCs w:val="1"/>
                <w:color w:val="auto"/>
              </w:rPr>
            </w:pPr>
          </w:p>
        </w:tc>
      </w:tr>
      <w:tr>
        <w:trPr>
          <w:trHeight w:val="194"/>
        </w:trPr>
        <w:tc>
          <w:tcPr>
            <w:tcW w:w="8880" w:type="dxa"/>
            <w:vAlign w:val="bottom"/>
          </w:tcPr>
          <w:p>
            <w:pPr>
              <w:spacing w:after="0"/>
              <w:rPr>
                <w:sz w:val="20"/>
                <w:szCs w:val="20"/>
                <w:color w:val="auto"/>
              </w:rPr>
            </w:pPr>
            <w:r>
              <w:rPr>
                <w:rFonts w:ascii="Arial" w:cs="Arial" w:eastAsia="Arial" w:hAnsi="Arial"/>
                <w:sz w:val="16"/>
                <w:szCs w:val="16"/>
                <w:color w:val="auto"/>
              </w:rPr>
              <w:t>Cash and cash equivalents, January 1</w:t>
            </w:r>
          </w:p>
        </w:tc>
        <w:tc>
          <w:tcPr>
            <w:tcW w:w="72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417</w:t>
            </w:r>
          </w:p>
        </w:tc>
        <w:tc>
          <w:tcPr>
            <w:tcW w:w="104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49</w:t>
            </w:r>
          </w:p>
        </w:tc>
        <w:tc>
          <w:tcPr>
            <w:tcW w:w="0" w:type="dxa"/>
            <w:vAlign w:val="bottom"/>
          </w:tcPr>
          <w:p>
            <w:pPr>
              <w:spacing w:after="0"/>
              <w:rPr>
                <w:sz w:val="1"/>
                <w:szCs w:val="1"/>
                <w:color w:val="auto"/>
              </w:rPr>
            </w:pPr>
          </w:p>
        </w:tc>
      </w:tr>
      <w:tr>
        <w:trPr>
          <w:trHeight w:val="183"/>
        </w:trPr>
        <w:tc>
          <w:tcPr>
            <w:tcW w:w="8880" w:type="dxa"/>
            <w:vAlign w:val="bottom"/>
          </w:tcPr>
          <w:p>
            <w:pPr>
              <w:spacing w:after="0" w:line="176" w:lineRule="exact"/>
              <w:rPr>
                <w:sz w:val="20"/>
                <w:szCs w:val="20"/>
                <w:color w:val="auto"/>
              </w:rPr>
            </w:pPr>
            <w:r>
              <w:rPr>
                <w:rFonts w:ascii="Arial" w:cs="Arial" w:eastAsia="Arial" w:hAnsi="Arial"/>
                <w:sz w:val="16"/>
                <w:szCs w:val="16"/>
                <w:color w:val="auto"/>
              </w:rPr>
              <w:t>Cash and cash equivalents, June 30</w:t>
            </w:r>
          </w:p>
        </w:tc>
        <w:tc>
          <w:tcPr>
            <w:tcW w:w="720" w:type="dxa"/>
            <w:vAlign w:val="bottom"/>
            <w:tcBorders>
              <w:bottom w:val="single" w:sz="8" w:color="auto"/>
            </w:tcBorders>
          </w:tcPr>
          <w:p>
            <w:pPr>
              <w:jc w:val="right"/>
              <w:ind w:right="542"/>
              <w:spacing w:after="0" w:line="176" w:lineRule="exact"/>
              <w:rPr>
                <w:sz w:val="20"/>
                <w:szCs w:val="20"/>
                <w:color w:val="auto"/>
              </w:rPr>
            </w:pPr>
            <w:r>
              <w:rPr>
                <w:rFonts w:ascii="Arial" w:cs="Arial" w:eastAsia="Arial" w:hAnsi="Arial"/>
                <w:sz w:val="16"/>
                <w:szCs w:val="16"/>
                <w:color w:val="auto"/>
                <w:w w:val="89"/>
              </w:rPr>
              <w:t>$</w:t>
            </w:r>
          </w:p>
        </w:tc>
        <w:tc>
          <w:tcPr>
            <w:tcW w:w="40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6"/>
                <w:szCs w:val="16"/>
                <w:color w:val="auto"/>
              </w:rPr>
              <w:t>16</w:t>
            </w:r>
          </w:p>
        </w:tc>
        <w:tc>
          <w:tcPr>
            <w:tcW w:w="1040" w:type="dxa"/>
            <w:vAlign w:val="bottom"/>
            <w:tcBorders>
              <w:bottom w:val="single" w:sz="8" w:color="auto"/>
            </w:tcBorders>
          </w:tcPr>
          <w:p>
            <w:pPr>
              <w:jc w:val="right"/>
              <w:ind w:right="861"/>
              <w:spacing w:after="0" w:line="176" w:lineRule="exact"/>
              <w:rPr>
                <w:sz w:val="20"/>
                <w:szCs w:val="20"/>
                <w:color w:val="auto"/>
              </w:rPr>
            </w:pPr>
            <w:r>
              <w:rPr>
                <w:rFonts w:ascii="Arial" w:cs="Arial" w:eastAsia="Arial" w:hAnsi="Arial"/>
                <w:sz w:val="16"/>
                <w:szCs w:val="16"/>
                <w:color w:val="auto"/>
                <w:w w:val="89"/>
              </w:rPr>
              <w:t>$</w:t>
            </w:r>
          </w:p>
        </w:tc>
        <w:tc>
          <w:tcPr>
            <w:tcW w:w="38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6"/>
                <w:szCs w:val="16"/>
                <w:color w:val="auto"/>
              </w:rPr>
              <w:t>101</w:t>
            </w:r>
          </w:p>
        </w:tc>
        <w:tc>
          <w:tcPr>
            <w:tcW w:w="0" w:type="dxa"/>
            <w:vAlign w:val="bottom"/>
          </w:tcPr>
          <w:p>
            <w:pPr>
              <w:spacing w:after="0"/>
              <w:rPr>
                <w:sz w:val="1"/>
                <w:szCs w:val="1"/>
                <w:color w:val="auto"/>
              </w:rPr>
            </w:pPr>
          </w:p>
        </w:tc>
      </w:tr>
      <w:tr>
        <w:trPr>
          <w:trHeight w:val="340"/>
        </w:trPr>
        <w:tc>
          <w:tcPr>
            <w:tcW w:w="8880" w:type="dxa"/>
            <w:vAlign w:val="bottom"/>
          </w:tcPr>
          <w:p>
            <w:pPr>
              <w:spacing w:after="0"/>
              <w:rPr>
                <w:sz w:val="20"/>
                <w:szCs w:val="20"/>
                <w:color w:val="auto"/>
              </w:rPr>
            </w:pPr>
            <w:r>
              <w:rPr>
                <w:rFonts w:ascii="Arial" w:cs="Arial" w:eastAsia="Arial" w:hAnsi="Arial"/>
                <w:sz w:val="16"/>
                <w:szCs w:val="16"/>
                <w:color w:val="auto"/>
              </w:rPr>
              <w:t>SUPPLEMENTAL DISCLOSURE OF CASH FLOW INFORMATION</w:t>
            </w:r>
          </w:p>
        </w:tc>
        <w:tc>
          <w:tcPr>
            <w:tcW w:w="7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8880" w:type="dxa"/>
            <w:vAlign w:val="bottom"/>
          </w:tcPr>
          <w:p>
            <w:pPr>
              <w:ind w:left="180"/>
              <w:spacing w:after="0" w:line="176" w:lineRule="exact"/>
              <w:rPr>
                <w:sz w:val="20"/>
                <w:szCs w:val="20"/>
                <w:color w:val="auto"/>
              </w:rPr>
            </w:pPr>
            <w:r>
              <w:rPr>
                <w:rFonts w:ascii="Arial" w:cs="Arial" w:eastAsia="Arial" w:hAnsi="Arial"/>
                <w:sz w:val="16"/>
                <w:szCs w:val="16"/>
                <w:color w:val="auto"/>
              </w:rPr>
              <w:t>Interest payments, net of amounts capitalized</w:t>
            </w:r>
          </w:p>
        </w:tc>
        <w:tc>
          <w:tcPr>
            <w:tcW w:w="720" w:type="dxa"/>
            <w:vAlign w:val="bottom"/>
          </w:tcPr>
          <w:p>
            <w:pPr>
              <w:jc w:val="right"/>
              <w:ind w:right="542"/>
              <w:spacing w:after="0" w:line="176" w:lineRule="exact"/>
              <w:rPr>
                <w:sz w:val="20"/>
                <w:szCs w:val="20"/>
                <w:color w:val="auto"/>
              </w:rPr>
            </w:pPr>
            <w:r>
              <w:rPr>
                <w:rFonts w:ascii="Arial" w:cs="Arial" w:eastAsia="Arial" w:hAnsi="Arial"/>
                <w:sz w:val="16"/>
                <w:szCs w:val="16"/>
                <w:color w:val="auto"/>
                <w:w w:val="89"/>
              </w:rPr>
              <w:t>$</w:t>
            </w:r>
          </w:p>
        </w:tc>
        <w:tc>
          <w:tcPr>
            <w:tcW w:w="400" w:type="dxa"/>
            <w:vAlign w:val="bottom"/>
          </w:tcPr>
          <w:p>
            <w:pPr>
              <w:jc w:val="right"/>
              <w:spacing w:after="0" w:line="176" w:lineRule="exact"/>
              <w:rPr>
                <w:sz w:val="20"/>
                <w:szCs w:val="20"/>
                <w:color w:val="auto"/>
              </w:rPr>
            </w:pPr>
            <w:r>
              <w:rPr>
                <w:rFonts w:ascii="Arial" w:cs="Arial" w:eastAsia="Arial" w:hAnsi="Arial"/>
                <w:sz w:val="16"/>
                <w:szCs w:val="16"/>
                <w:color w:val="auto"/>
              </w:rPr>
              <w:t>34</w:t>
            </w:r>
          </w:p>
        </w:tc>
        <w:tc>
          <w:tcPr>
            <w:tcW w:w="1040" w:type="dxa"/>
            <w:vAlign w:val="bottom"/>
          </w:tcPr>
          <w:p>
            <w:pPr>
              <w:jc w:val="right"/>
              <w:ind w:right="861"/>
              <w:spacing w:after="0" w:line="176" w:lineRule="exact"/>
              <w:rPr>
                <w:sz w:val="20"/>
                <w:szCs w:val="20"/>
                <w:color w:val="auto"/>
              </w:rPr>
            </w:pPr>
            <w:r>
              <w:rPr>
                <w:rFonts w:ascii="Arial" w:cs="Arial" w:eastAsia="Arial" w:hAnsi="Arial"/>
                <w:sz w:val="16"/>
                <w:szCs w:val="16"/>
                <w:color w:val="auto"/>
                <w:w w:val="89"/>
              </w:rPr>
              <w:t>$</w:t>
            </w:r>
          </w:p>
        </w:tc>
        <w:tc>
          <w:tcPr>
            <w:tcW w:w="380" w:type="dxa"/>
            <w:vAlign w:val="bottom"/>
          </w:tcPr>
          <w:p>
            <w:pPr>
              <w:jc w:val="right"/>
              <w:spacing w:after="0" w:line="176" w:lineRule="exact"/>
              <w:rPr>
                <w:sz w:val="20"/>
                <w:szCs w:val="20"/>
                <w:color w:val="auto"/>
              </w:rPr>
            </w:pPr>
            <w:r>
              <w:rPr>
                <w:rFonts w:ascii="Arial" w:cs="Arial" w:eastAsia="Arial" w:hAnsi="Arial"/>
                <w:sz w:val="16"/>
                <w:szCs w:val="16"/>
                <w:color w:val="auto"/>
              </w:rPr>
              <w:t>29</w:t>
            </w:r>
          </w:p>
        </w:tc>
        <w:tc>
          <w:tcPr>
            <w:tcW w:w="0" w:type="dxa"/>
            <w:vAlign w:val="bottom"/>
          </w:tcPr>
          <w:p>
            <w:pPr>
              <w:spacing w:after="0"/>
              <w:rPr>
                <w:sz w:val="1"/>
                <w:szCs w:val="1"/>
                <w:color w:val="auto"/>
              </w:rPr>
            </w:pPr>
          </w:p>
        </w:tc>
      </w:tr>
      <w:tr>
        <w:trPr>
          <w:trHeight w:val="195"/>
        </w:trPr>
        <w:tc>
          <w:tcPr>
            <w:tcW w:w="8880" w:type="dxa"/>
            <w:vAlign w:val="bottom"/>
          </w:tcPr>
          <w:p>
            <w:pPr>
              <w:ind w:left="180"/>
              <w:spacing w:after="0"/>
              <w:rPr>
                <w:sz w:val="20"/>
                <w:szCs w:val="20"/>
                <w:color w:val="auto"/>
              </w:rPr>
            </w:pPr>
            <w:r>
              <w:rPr>
                <w:rFonts w:ascii="Arial" w:cs="Arial" w:eastAsia="Arial" w:hAnsi="Arial"/>
                <w:sz w:val="16"/>
                <w:szCs w:val="16"/>
                <w:color w:val="auto"/>
              </w:rPr>
              <w:t>Income tax payments, net</w:t>
            </w:r>
          </w:p>
        </w:tc>
        <w:tc>
          <w:tcPr>
            <w:tcW w:w="720" w:type="dxa"/>
            <w:vAlign w:val="bottom"/>
          </w:tcPr>
          <w:p>
            <w:pPr>
              <w:spacing w:after="0"/>
              <w:rPr>
                <w:sz w:val="16"/>
                <w:szCs w:val="16"/>
                <w:color w:val="auto"/>
              </w:rPr>
            </w:pPr>
          </w:p>
        </w:tc>
        <w:tc>
          <w:tcPr>
            <w:tcW w:w="400" w:type="dxa"/>
            <w:vAlign w:val="bottom"/>
          </w:tcPr>
          <w:p>
            <w:pPr>
              <w:jc w:val="right"/>
              <w:spacing w:after="0"/>
              <w:rPr>
                <w:sz w:val="20"/>
                <w:szCs w:val="20"/>
                <w:color w:val="auto"/>
              </w:rPr>
            </w:pPr>
            <w:r>
              <w:rPr>
                <w:rFonts w:ascii="Arial" w:cs="Arial" w:eastAsia="Arial" w:hAnsi="Arial"/>
                <w:sz w:val="16"/>
                <w:szCs w:val="16"/>
                <w:color w:val="auto"/>
              </w:rPr>
              <w:t>6</w:t>
            </w:r>
          </w:p>
        </w:tc>
        <w:tc>
          <w:tcPr>
            <w:tcW w:w="1040" w:type="dxa"/>
            <w:vAlign w:val="bottom"/>
          </w:tcPr>
          <w:p>
            <w:pPr>
              <w:spacing w:after="0"/>
              <w:rPr>
                <w:sz w:val="16"/>
                <w:szCs w:val="16"/>
                <w:color w:val="auto"/>
              </w:rPr>
            </w:pPr>
          </w:p>
        </w:tc>
        <w:tc>
          <w:tcPr>
            <w:tcW w:w="380" w:type="dxa"/>
            <w:vAlign w:val="bottom"/>
          </w:tcPr>
          <w:p>
            <w:pPr>
              <w:jc w:val="right"/>
              <w:spacing w:after="0"/>
              <w:rPr>
                <w:sz w:val="20"/>
                <w:szCs w:val="20"/>
                <w:color w:val="auto"/>
              </w:rPr>
            </w:pPr>
            <w:r>
              <w:rPr>
                <w:rFonts w:ascii="Arial" w:cs="Arial" w:eastAsia="Arial" w:hAnsi="Arial"/>
                <w:sz w:val="16"/>
                <w:szCs w:val="16"/>
                <w:color w:val="auto"/>
              </w:rPr>
              <w:t>44</w:t>
            </w:r>
          </w:p>
        </w:tc>
        <w:tc>
          <w:tcPr>
            <w:tcW w:w="0" w:type="dxa"/>
            <w:vAlign w:val="bottom"/>
          </w:tcPr>
          <w:p>
            <w:pPr>
              <w:spacing w:after="0"/>
              <w:rPr>
                <w:sz w:val="1"/>
                <w:szCs w:val="1"/>
                <w:color w:val="auto"/>
              </w:rPr>
            </w:pPr>
          </w:p>
        </w:tc>
      </w:tr>
      <w:tr>
        <w:trPr>
          <w:trHeight w:val="332"/>
        </w:trPr>
        <w:tc>
          <w:tcPr>
            <w:tcW w:w="8880" w:type="dxa"/>
            <w:vAlign w:val="bottom"/>
          </w:tcPr>
          <w:p>
            <w:pPr>
              <w:spacing w:after="0"/>
              <w:rPr>
                <w:sz w:val="20"/>
                <w:szCs w:val="20"/>
                <w:color w:val="auto"/>
              </w:rPr>
            </w:pPr>
            <w:r>
              <w:rPr>
                <w:rFonts w:ascii="Arial" w:cs="Arial" w:eastAsia="Arial" w:hAnsi="Arial"/>
                <w:sz w:val="16"/>
                <w:szCs w:val="16"/>
                <w:color w:val="auto"/>
              </w:rPr>
              <w:t>SUPPLEMENTAL DISCLOSURE OF NONCASH ACTIVITIES</w:t>
            </w:r>
          </w:p>
        </w:tc>
        <w:tc>
          <w:tcPr>
            <w:tcW w:w="7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8880" w:type="dxa"/>
            <w:vAlign w:val="bottom"/>
          </w:tcPr>
          <w:p>
            <w:pPr>
              <w:ind w:left="180"/>
              <w:spacing w:after="0"/>
              <w:rPr>
                <w:sz w:val="20"/>
                <w:szCs w:val="20"/>
                <w:color w:val="auto"/>
              </w:rPr>
            </w:pPr>
            <w:r>
              <w:rPr>
                <w:rFonts w:ascii="Arial" w:cs="Arial" w:eastAsia="Arial" w:hAnsi="Arial"/>
                <w:sz w:val="16"/>
                <w:szCs w:val="16"/>
                <w:color w:val="auto"/>
              </w:rPr>
              <w:t>Accrued capital expenditures</w:t>
            </w:r>
          </w:p>
        </w:tc>
        <w:tc>
          <w:tcPr>
            <w:tcW w:w="720" w:type="dxa"/>
            <w:vAlign w:val="bottom"/>
          </w:tcPr>
          <w:p>
            <w:pPr>
              <w:jc w:val="right"/>
              <w:ind w:right="542"/>
              <w:spacing w:after="0"/>
              <w:rPr>
                <w:sz w:val="20"/>
                <w:szCs w:val="20"/>
                <w:color w:val="auto"/>
              </w:rPr>
            </w:pPr>
            <w:r>
              <w:rPr>
                <w:rFonts w:ascii="Arial" w:cs="Arial" w:eastAsia="Arial" w:hAnsi="Arial"/>
                <w:sz w:val="16"/>
                <w:szCs w:val="16"/>
                <w:color w:val="auto"/>
                <w:w w:val="89"/>
              </w:rPr>
              <w:t>$</w:t>
            </w:r>
          </w:p>
        </w:tc>
        <w:tc>
          <w:tcPr>
            <w:tcW w:w="400" w:type="dxa"/>
            <w:vAlign w:val="bottom"/>
          </w:tcPr>
          <w:p>
            <w:pPr>
              <w:jc w:val="right"/>
              <w:spacing w:after="0"/>
              <w:rPr>
                <w:sz w:val="20"/>
                <w:szCs w:val="20"/>
                <w:color w:val="auto"/>
              </w:rPr>
            </w:pPr>
            <w:r>
              <w:rPr>
                <w:rFonts w:ascii="Arial" w:cs="Arial" w:eastAsia="Arial" w:hAnsi="Arial"/>
                <w:sz w:val="16"/>
                <w:szCs w:val="16"/>
                <w:color w:val="auto"/>
              </w:rPr>
              <w:t>78</w:t>
            </w:r>
          </w:p>
        </w:tc>
        <w:tc>
          <w:tcPr>
            <w:tcW w:w="1040" w:type="dxa"/>
            <w:vAlign w:val="bottom"/>
          </w:tcPr>
          <w:p>
            <w:pPr>
              <w:jc w:val="right"/>
              <w:ind w:right="861"/>
              <w:spacing w:after="0"/>
              <w:rPr>
                <w:sz w:val="20"/>
                <w:szCs w:val="20"/>
                <w:color w:val="auto"/>
              </w:rPr>
            </w:pPr>
            <w:r>
              <w:rPr>
                <w:rFonts w:ascii="Arial" w:cs="Arial" w:eastAsia="Arial" w:hAnsi="Arial"/>
                <w:sz w:val="16"/>
                <w:szCs w:val="16"/>
                <w:color w:val="auto"/>
                <w:w w:val="89"/>
              </w:rPr>
              <w:t>$</w:t>
            </w:r>
          </w:p>
        </w:tc>
        <w:tc>
          <w:tcPr>
            <w:tcW w:w="380" w:type="dxa"/>
            <w:vAlign w:val="bottom"/>
          </w:tcPr>
          <w:p>
            <w:pPr>
              <w:jc w:val="right"/>
              <w:spacing w:after="0"/>
              <w:rPr>
                <w:sz w:val="20"/>
                <w:szCs w:val="20"/>
                <w:color w:val="auto"/>
              </w:rPr>
            </w:pPr>
            <w:r>
              <w:rPr>
                <w:rFonts w:ascii="Arial" w:cs="Arial" w:eastAsia="Arial" w:hAnsi="Arial"/>
                <w:sz w:val="16"/>
                <w:szCs w:val="16"/>
                <w:color w:val="auto"/>
              </w:rPr>
              <w:t>61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wp:posOffset>
            </wp:positionV>
            <wp:extent cx="72466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rPr>
          <w:sz w:val="20"/>
          <w:szCs w:val="20"/>
          <w:color w:val="auto"/>
        </w:rPr>
      </w:pPr>
      <w:r>
        <w:rPr>
          <w:rFonts w:ascii="Arial" w:cs="Arial" w:eastAsia="Arial" w:hAnsi="Arial"/>
          <w:sz w:val="14"/>
          <w:szCs w:val="14"/>
          <w:i w:val="1"/>
          <w:iCs w:val="1"/>
          <w:color w:val="auto"/>
        </w:rPr>
        <w:t>See Notes to Condensed Consolidated Financial Statements.</w:t>
      </w:r>
    </w:p>
    <w:p>
      <w:pPr>
        <w:sectPr>
          <w:pgSz w:w="11900" w:h="16838" w:orient="portrait"/>
          <w:cols w:equalWidth="0" w:num="1">
            <w:col w:w="11420"/>
          </w:cols>
          <w:pgMar w:left="240" w:top="513" w:right="239" w:bottom="1440" w:gutter="0" w:footer="0" w:header="0"/>
        </w:sectPr>
      </w:pPr>
    </w:p>
    <w:bookmarkStart w:id="19" w:name="page20"/>
    <w:bookmarkEnd w:id="19"/>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20" w:name="page21"/>
    <w:bookmarkEnd w:id="20"/>
    <w:p>
      <w:pPr>
        <w:spacing w:after="0" w:line="6" w:lineRule="exact"/>
        <w:rPr>
          <w:sz w:val="20"/>
          <w:szCs w:val="20"/>
          <w:color w:val="auto"/>
        </w:rPr>
      </w:pPr>
    </w:p>
    <w:p>
      <w:pPr>
        <w:spacing w:after="0"/>
        <w:rPr>
          <w:sz w:val="20"/>
          <w:szCs w:val="20"/>
          <w:color w:val="auto"/>
        </w:rPr>
      </w:pPr>
      <w:r>
        <w:rPr>
          <w:rFonts w:ascii="Arial" w:cs="Arial" w:eastAsia="Arial" w:hAnsi="Arial"/>
          <w:sz w:val="23"/>
          <w:szCs w:val="23"/>
          <w:color w:val="auto"/>
        </w:rPr>
        <w:t>SEMPRA ENERGY AND SUBSIDIARIES</w:t>
      </w:r>
    </w:p>
    <w:p>
      <w:pPr>
        <w:spacing w:after="0" w:line="276" w:lineRule="exact"/>
        <w:rPr>
          <w:sz w:val="20"/>
          <w:szCs w:val="20"/>
          <w:color w:val="auto"/>
        </w:rPr>
      </w:pPr>
    </w:p>
    <w:p>
      <w:pPr>
        <w:spacing w:after="0"/>
        <w:rPr>
          <w:sz w:val="20"/>
          <w:szCs w:val="20"/>
          <w:color w:val="auto"/>
        </w:rPr>
      </w:pPr>
      <w:r>
        <w:rPr>
          <w:rFonts w:ascii="Arial" w:cs="Arial" w:eastAsia="Arial" w:hAnsi="Arial"/>
          <w:sz w:val="23"/>
          <w:szCs w:val="23"/>
          <w:color w:val="auto"/>
        </w:rPr>
        <w:t>NOTES TO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240665</wp:posOffset>
            </wp:positionV>
            <wp:extent cx="7263765"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Arial" w:cs="Arial" w:eastAsia="Arial" w:hAnsi="Arial"/>
          <w:sz w:val="20"/>
          <w:szCs w:val="20"/>
          <w:color w:val="auto"/>
        </w:rPr>
        <w:t>NOTE 1. GENERAL</w:t>
      </w: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PRINCIPLES OF CONSOLIDATION</w:t>
      </w: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Sempra Energy</w:t>
      </w:r>
    </w:p>
    <w:p>
      <w:pPr>
        <w:spacing w:after="0" w:line="205"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Sempra Energy's Condensed Consolidated Financial Statements include the accounts of Sempra Energy, a California-based Fortune 500 holding company, and its consolidated subsidiaries and variable interest entities (VIEs). Sempra Energy’s principal subsidiaries are</w:t>
      </w:r>
    </w:p>
    <w:p>
      <w:pPr>
        <w:spacing w:after="0" w:line="170" w:lineRule="exact"/>
        <w:rPr>
          <w:sz w:val="20"/>
          <w:szCs w:val="20"/>
          <w:color w:val="auto"/>
        </w:rPr>
      </w:pPr>
    </w:p>
    <w:p>
      <w:pPr>
        <w:ind w:left="340" w:hanging="188"/>
        <w:spacing w:after="0" w:line="277" w:lineRule="auto"/>
        <w:tabs>
          <w:tab w:leader="none" w:pos="340" w:val="left"/>
        </w:tabs>
        <w:numPr>
          <w:ilvl w:val="0"/>
          <w:numId w:val="4"/>
        </w:numPr>
        <w:rPr>
          <w:rFonts w:ascii="Arial" w:cs="Arial" w:eastAsia="Arial" w:hAnsi="Arial"/>
          <w:sz w:val="18"/>
          <w:szCs w:val="18"/>
          <w:b w:val="1"/>
          <w:bCs w:val="1"/>
          <w:color w:val="auto"/>
        </w:rPr>
      </w:pPr>
      <w:r>
        <w:rPr>
          <w:rFonts w:ascii="Arial" w:cs="Arial" w:eastAsia="Arial" w:hAnsi="Arial"/>
          <w:sz w:val="18"/>
          <w:szCs w:val="18"/>
          <w:color w:val="auto"/>
        </w:rPr>
        <w:t>San Diego Gas &amp; Electric Company (SDG&amp;E) and Southern California Gas Company (SoCalGas), which we collectively refer to as the Sempra Utilities; and</w:t>
      </w:r>
    </w:p>
    <w:p>
      <w:pPr>
        <w:spacing w:after="0" w:line="197" w:lineRule="exact"/>
        <w:rPr>
          <w:rFonts w:ascii="Arial" w:cs="Arial" w:eastAsia="Arial" w:hAnsi="Arial"/>
          <w:sz w:val="18"/>
          <w:szCs w:val="18"/>
          <w:b w:val="1"/>
          <w:bCs w:val="1"/>
          <w:color w:val="auto"/>
        </w:rPr>
      </w:pPr>
    </w:p>
    <w:p>
      <w:pPr>
        <w:ind w:left="340" w:hanging="188"/>
        <w:spacing w:after="0" w:line="277" w:lineRule="auto"/>
        <w:tabs>
          <w:tab w:leader="none" w:pos="340" w:val="left"/>
        </w:tabs>
        <w:numPr>
          <w:ilvl w:val="0"/>
          <w:numId w:val="4"/>
        </w:numPr>
        <w:rPr>
          <w:rFonts w:ascii="Arial" w:cs="Arial" w:eastAsia="Arial" w:hAnsi="Arial"/>
          <w:sz w:val="18"/>
          <w:szCs w:val="18"/>
          <w:b w:val="1"/>
          <w:bCs w:val="1"/>
          <w:color w:val="auto"/>
        </w:rPr>
      </w:pPr>
      <w:r>
        <w:rPr>
          <w:rFonts w:ascii="Arial" w:cs="Arial" w:eastAsia="Arial" w:hAnsi="Arial"/>
          <w:sz w:val="18"/>
          <w:szCs w:val="18"/>
          <w:color w:val="auto"/>
        </w:rPr>
        <w:t>Sempra Global is the holding company for our energy-related businesses, which are Sempra Generation, Sempra Pipelines &amp; Storage and Sempra LNG. Sempra Pipelines &amp; Storage also owns utilities in the U.S., Mexico, and South America.</w:t>
      </w:r>
    </w:p>
    <w:p>
      <w:pPr>
        <w:spacing w:after="0" w:line="197"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Sempra Energy uses the equity method to account for investments in affiliated companies over which we have the ability to exercise significant influence, but not control. We discuss our investments in unconsolidated subsidiaries in Note 4 below and Note 4 of the Notes to Consolidated Financial Statements in our Annual Report on Form 10-K for the year ended December 31, 2010.</w:t>
      </w:r>
    </w:p>
    <w:p>
      <w:pPr>
        <w:spacing w:after="0" w:line="395"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SDG&amp;E</w:t>
      </w:r>
    </w:p>
    <w:p>
      <w:pPr>
        <w:spacing w:after="0" w:line="205"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SDG&amp;E's Condensed Consolidated Financial Statements include its accounts and the accounts of a VIE of which SDG&amp;E is the primary beneficiary, as we discuss in Note 5 under "Variable Interest Entities." SDG&amp;E’s common stock is wholly owned by Enova Corporation, which is a wholly owned subsidiary of Sempra Energy.</w:t>
      </w:r>
    </w:p>
    <w:p>
      <w:pPr>
        <w:spacing w:after="0" w:line="395"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SoCalGas</w:t>
      </w:r>
    </w:p>
    <w:p>
      <w:pPr>
        <w:spacing w:after="0" w:line="205" w:lineRule="exact"/>
        <w:rPr>
          <w:sz w:val="20"/>
          <w:szCs w:val="20"/>
          <w:color w:val="auto"/>
        </w:rPr>
      </w:pPr>
    </w:p>
    <w:p>
      <w:pPr>
        <w:ind w:right="100"/>
        <w:spacing w:after="0" w:line="342" w:lineRule="auto"/>
        <w:rPr>
          <w:sz w:val="20"/>
          <w:szCs w:val="20"/>
          <w:color w:val="auto"/>
        </w:rPr>
      </w:pPr>
      <w:r>
        <w:rPr>
          <w:rFonts w:ascii="Arial" w:cs="Arial" w:eastAsia="Arial" w:hAnsi="Arial"/>
          <w:sz w:val="16"/>
          <w:szCs w:val="16"/>
          <w:color w:val="auto"/>
        </w:rPr>
        <w:t>SoCalGas’ Condensed Consolidated Financial Statements include its subsidiaries, which comprise less than one percent of its consolidated financial position and results of operations. SoCalGas’ common stock is wholly owned by Pacific Enterprises (PE), which is a wholly owned subsidiary of Sempra Energy.</w:t>
      </w:r>
    </w:p>
    <w:p>
      <w:pPr>
        <w:spacing w:after="0" w:line="3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PRESENTATION</w:t>
      </w:r>
    </w:p>
    <w:p>
      <w:pPr>
        <w:spacing w:after="0" w:line="234" w:lineRule="exact"/>
        <w:rPr>
          <w:sz w:val="20"/>
          <w:szCs w:val="20"/>
          <w:color w:val="auto"/>
        </w:rPr>
      </w:pPr>
    </w:p>
    <w:p>
      <w:pPr>
        <w:ind w:right="120"/>
        <w:spacing w:after="0" w:line="312" w:lineRule="auto"/>
        <w:rPr>
          <w:sz w:val="20"/>
          <w:szCs w:val="20"/>
          <w:color w:val="auto"/>
        </w:rPr>
      </w:pPr>
      <w:r>
        <w:rPr>
          <w:rFonts w:ascii="Arial" w:cs="Arial" w:eastAsia="Arial" w:hAnsi="Arial"/>
          <w:sz w:val="16"/>
          <w:szCs w:val="16"/>
          <w:color w:val="auto"/>
        </w:rPr>
        <w:t>This is a combined report of Sempra Energy, SDG&amp;E and SoCalGas. We provide separate information for SDG&amp;E and SoCalGas as required. References in this report to "we," "our" and "Sempra Energy Consolidated" are to Sempra Energy and its consolidated entities, unless otherwise indicated by the context. We have eliminated intercompany accounts and transactions within the consolidated financial statements of each reporting entity.</w:t>
      </w:r>
    </w:p>
    <w:p>
      <w:pPr>
        <w:spacing w:after="0" w:line="147" w:lineRule="exact"/>
        <w:rPr>
          <w:sz w:val="20"/>
          <w:szCs w:val="20"/>
          <w:color w:val="auto"/>
        </w:rPr>
      </w:pPr>
    </w:p>
    <w:p>
      <w:pPr>
        <w:ind w:right="440"/>
        <w:spacing w:after="0" w:line="257" w:lineRule="auto"/>
        <w:rPr>
          <w:sz w:val="20"/>
          <w:szCs w:val="20"/>
          <w:color w:val="auto"/>
        </w:rPr>
      </w:pPr>
      <w:r>
        <w:rPr>
          <w:rFonts w:ascii="Arial" w:cs="Arial" w:eastAsia="Arial" w:hAnsi="Arial"/>
          <w:sz w:val="18"/>
          <w:szCs w:val="18"/>
          <w:color w:val="auto"/>
        </w:rPr>
        <w:t>We have prepared the Condensed Consolidated Financial Statements in conformity with accounting principles generally accepted in the United States of America (GAAP) and in accordance with the interim-period-reporting requirements of Form 10-Q. Results of operations for interim periods are not necessarily indicative of results for the entire year. We evaluated events and transactions that occurred after June 30, 2011 through the date the financial statements were issued, and in the opinion of management, the accompanying statements reflect all adjustments necessary for a fair presentation. These adjustments are only of a normal, recurring nature.</w:t>
      </w:r>
    </w:p>
    <w:p>
      <w:pPr>
        <w:spacing w:after="0" w:line="188"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As we discuss in Note 3, in April 2011, Sempra Pipelines &amp; Storage acquired two electric distribution utilities in South America. Sempra Pipelines &amp; Storage also owns Mobile Gas Service Corporation (Mobile Gas) in southwest Alabama and Ecogas Mexico, S de RL de CV (Ecogas) in Northern Mexico, both natural gas distribution utilities. Previous to this quarterly report, we provided separate revenue and cost of revenue information on our consolidated statements of operations for the Sempra Utilities only, as the amounts for Mobile Gas and Ecogas were immaterial. Due to the addition of the South American utilities, beginning with this quarterly report, we are providing separate revenue and cost of revenue information on the Condensed Consolidated Statements of Operations on a combined basis for all of our utilities. Accordingly, amounts in the prior periods have been reclassified to conform with the current year presentation.</w:t>
      </w:r>
    </w:p>
    <w:p>
      <w:pPr>
        <w:spacing w:after="0" w:line="189" w:lineRule="exact"/>
        <w:rPr>
          <w:sz w:val="20"/>
          <w:szCs w:val="20"/>
          <w:color w:val="auto"/>
        </w:rPr>
      </w:pPr>
    </w:p>
    <w:p>
      <w:pPr>
        <w:jc w:val="both"/>
        <w:ind w:right="20"/>
        <w:spacing w:after="0" w:line="312" w:lineRule="auto"/>
        <w:rPr>
          <w:sz w:val="20"/>
          <w:szCs w:val="20"/>
          <w:color w:val="auto"/>
        </w:rPr>
      </w:pPr>
      <w:r>
        <w:rPr>
          <w:rFonts w:ascii="Arial" w:cs="Arial" w:eastAsia="Arial" w:hAnsi="Arial"/>
          <w:sz w:val="16"/>
          <w:szCs w:val="16"/>
          <w:color w:val="auto"/>
        </w:rPr>
        <w:t>All December 31, 2010 balance sheet information in the Condensed Consolidated Financial Statements has been derived from our audited 2010 consolidated financial statements. Certain information and note disclosures normally included in annual financial statements prepared in accordance with GAAP have been condensed or omitted pursuant to the interim-period-reporting provisions of GAAP and the Securities and Exchange Commission.</w:t>
      </w:r>
    </w:p>
    <w:p>
      <w:pPr>
        <w:spacing w:after="0" w:line="147" w:lineRule="exact"/>
        <w:rPr>
          <w:sz w:val="20"/>
          <w:szCs w:val="20"/>
          <w:color w:val="auto"/>
        </w:rPr>
      </w:pPr>
    </w:p>
    <w:p>
      <w:pPr>
        <w:ind w:right="120"/>
        <w:spacing w:after="0" w:line="312" w:lineRule="auto"/>
        <w:rPr>
          <w:sz w:val="20"/>
          <w:szCs w:val="20"/>
          <w:color w:val="auto"/>
        </w:rPr>
      </w:pPr>
      <w:r>
        <w:rPr>
          <w:rFonts w:ascii="Arial" w:cs="Arial" w:eastAsia="Arial" w:hAnsi="Arial"/>
          <w:sz w:val="16"/>
          <w:szCs w:val="16"/>
          <w:color w:val="auto"/>
        </w:rPr>
        <w:t>You should read the information in this Quarterly Report in conjunction with our Annual Report on Form 10-K for the year ended December 31, 2010 (the Annual Report) and our Quarterly Report on Form 10-Q for the quarter ended March 31, 2011, which are combined reports for Sempra Energy, SDG&amp;E, PE and SoCalGas. PE is no longer obligated to file such annual or quarterly reports due to the redemption of its preferred stock as we discuss in Note 5.</w:t>
      </w:r>
    </w:p>
    <w:p>
      <w:pPr>
        <w:spacing w:after="0" w:line="147" w:lineRule="exact"/>
        <w:rPr>
          <w:sz w:val="20"/>
          <w:szCs w:val="20"/>
          <w:color w:val="auto"/>
        </w:rPr>
      </w:pPr>
    </w:p>
    <w:p>
      <w:pPr>
        <w:ind w:right="560"/>
        <w:spacing w:after="0" w:line="308" w:lineRule="auto"/>
        <w:rPr>
          <w:sz w:val="20"/>
          <w:szCs w:val="20"/>
          <w:color w:val="auto"/>
        </w:rPr>
      </w:pPr>
      <w:r>
        <w:rPr>
          <w:rFonts w:ascii="Arial" w:cs="Arial" w:eastAsia="Arial" w:hAnsi="Arial"/>
          <w:sz w:val="17"/>
          <w:szCs w:val="17"/>
          <w:color w:val="auto"/>
        </w:rPr>
        <w:t>We describe our significant accounting policies in Note 1 of the Notes to Consolidated Financial Statements in the Annual Report. We follow the same accounting policies for interim reporting purposes, except for the adoption of new accounting standards as we discuss in Note 2.</w:t>
      </w:r>
    </w:p>
    <w:p>
      <w:pPr>
        <w:spacing w:after="0" w:line="147" w:lineRule="exact"/>
        <w:rPr>
          <w:sz w:val="20"/>
          <w:szCs w:val="20"/>
          <w:color w:val="auto"/>
        </w:rPr>
      </w:pPr>
    </w:p>
    <w:p>
      <w:pPr>
        <w:ind w:right="500"/>
        <w:spacing w:after="0" w:line="308" w:lineRule="auto"/>
        <w:rPr>
          <w:sz w:val="20"/>
          <w:szCs w:val="20"/>
          <w:color w:val="auto"/>
        </w:rPr>
      </w:pPr>
      <w:r>
        <w:rPr>
          <w:rFonts w:ascii="Arial" w:cs="Arial" w:eastAsia="Arial" w:hAnsi="Arial"/>
          <w:sz w:val="17"/>
          <w:szCs w:val="17"/>
          <w:color w:val="auto"/>
        </w:rPr>
        <w:t>The Sempra Utilities and Sempra Pipelines &amp; Storage's Mobile Gas and Ecogas prepare their financial statements in accordance with GAAP provisions governing regulated operations, as we discuss in Note 1 of the Notes to Consolidated Financial Statements in the Annual Report.</w:t>
      </w:r>
    </w:p>
    <w:p>
      <w:pPr>
        <w:sectPr>
          <w:pgSz w:w="11900" w:h="16845" w:orient="portrait"/>
          <w:cols w:equalWidth="0" w:num="1">
            <w:col w:w="11420"/>
          </w:cols>
          <w:pgMar w:left="240" w:top="535" w:right="239" w:bottom="0" w:gutter="0" w:footer="0" w:header="0"/>
        </w:sectPr>
      </w:pPr>
    </w:p>
    <w:bookmarkStart w:id="21" w:name="page22"/>
    <w:bookmarkEnd w:id="21"/>
    <w:p>
      <w:pPr>
        <w:spacing w:after="0"/>
        <w:rPr>
          <w:sz w:val="20"/>
          <w:szCs w:val="20"/>
          <w:color w:val="auto"/>
        </w:rPr>
      </w:pPr>
      <w:r>
        <w:rPr>
          <w:rFonts w:ascii="Arial" w:cs="Arial" w:eastAsia="Arial" w:hAnsi="Arial"/>
          <w:sz w:val="20"/>
          <w:szCs w:val="20"/>
          <w:color w:val="auto"/>
        </w:rPr>
        <w:drawing>
          <wp:anchor simplePos="0" relativeHeight="251657728" behindDoc="1" locked="0" layoutInCell="0" allowOverlap="1">
            <wp:simplePos x="0" y="0"/>
            <wp:positionH relativeFrom="page">
              <wp:posOffset>157480</wp:posOffset>
            </wp:positionH>
            <wp:positionV relativeFrom="page">
              <wp:posOffset>294640</wp:posOffset>
            </wp:positionV>
            <wp:extent cx="7263765"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63765" cy="8890"/>
                    </a:xfrm>
                    <a:prstGeom prst="rect">
                      <a:avLst/>
                    </a:prstGeom>
                    <a:noFill/>
                  </pic:spPr>
                </pic:pic>
              </a:graphicData>
            </a:graphic>
          </wp:anchor>
        </w:drawing>
        <w:t>NOTE 2. NEW ACCOUNTING STANDARDS</w:t>
      </w:r>
    </w:p>
    <w:p>
      <w:pPr>
        <w:spacing w:after="0" w:line="191" w:lineRule="exact"/>
        <w:rPr>
          <w:sz w:val="20"/>
          <w:szCs w:val="20"/>
          <w:color w:val="auto"/>
        </w:rPr>
      </w:pPr>
    </w:p>
    <w:p>
      <w:pPr>
        <w:ind w:right="1120"/>
        <w:spacing w:after="0" w:line="342" w:lineRule="auto"/>
        <w:rPr>
          <w:sz w:val="20"/>
          <w:szCs w:val="20"/>
          <w:color w:val="auto"/>
        </w:rPr>
      </w:pPr>
      <w:r>
        <w:rPr>
          <w:rFonts w:ascii="Arial" w:cs="Arial" w:eastAsia="Arial" w:hAnsi="Arial"/>
          <w:sz w:val="16"/>
          <w:szCs w:val="16"/>
          <w:color w:val="auto"/>
        </w:rPr>
        <w:t>We describe below recent pronouncements that have had or may have a significant effect on our financial statements. We do not discuss recent pronouncements that are not anticipated to have an impact on or are unrelated to our financial condition, results of operations, or disclosures.</w:t>
      </w:r>
    </w:p>
    <w:p>
      <w:pPr>
        <w:spacing w:after="0" w:line="3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SEMPRA ENERGY, SDG&amp;E AND SOCALGAS</w:t>
      </w:r>
    </w:p>
    <w:p>
      <w:pPr>
        <w:spacing w:after="0" w:line="234"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b w:val="1"/>
          <w:bCs w:val="1"/>
          <w:i w:val="1"/>
          <w:iCs w:val="1"/>
          <w:color w:val="auto"/>
        </w:rPr>
        <w:t xml:space="preserve">Accounting Standards Update (ASU) 2011-04, "Amendments to Achieve Common Fair Value Measurement and Disclosure Requirements in U.S. GAAP and International Financial Reporting Standards (IFRSs)" (ASU 2011-04): </w:t>
      </w:r>
      <w:r>
        <w:rPr>
          <w:rFonts w:ascii="Arial" w:cs="Arial" w:eastAsia="Arial" w:hAnsi="Arial"/>
          <w:sz w:val="18"/>
          <w:szCs w:val="18"/>
          <w:color w:val="auto"/>
        </w:rPr>
        <w:t>ASU 2011-04 amends Accounting Standards Codification (ASC) Topic 820,</w:t>
      </w:r>
      <w:r>
        <w:rPr>
          <w:rFonts w:ascii="Arial" w:cs="Arial" w:eastAsia="Arial" w:hAnsi="Arial"/>
          <w:sz w:val="18"/>
          <w:szCs w:val="18"/>
          <w:b w:val="1"/>
          <w:bCs w:val="1"/>
          <w:i w:val="1"/>
          <w:iCs w:val="1"/>
          <w:color w:val="auto"/>
        </w:rPr>
        <w:t xml:space="preserve"> </w:t>
      </w:r>
      <w:r>
        <w:rPr>
          <w:rFonts w:ascii="Arial" w:cs="Arial" w:eastAsia="Arial" w:hAnsi="Arial"/>
          <w:sz w:val="18"/>
          <w:szCs w:val="18"/>
          <w:i w:val="1"/>
          <w:iCs w:val="1"/>
          <w:color w:val="auto"/>
        </w:rPr>
        <w:t xml:space="preserve">Fair Value Measurements and Disclosures, </w:t>
      </w:r>
      <w:r>
        <w:rPr>
          <w:rFonts w:ascii="Arial" w:cs="Arial" w:eastAsia="Arial" w:hAnsi="Arial"/>
          <w:sz w:val="18"/>
          <w:szCs w:val="18"/>
          <w:color w:val="auto"/>
        </w:rPr>
        <w:t>and provides changes in the wording used to describe the requirements for measuring fair value and disclosing</w:t>
      </w:r>
      <w:r>
        <w:rPr>
          <w:rFonts w:ascii="Arial" w:cs="Arial" w:eastAsia="Arial" w:hAnsi="Arial"/>
          <w:sz w:val="18"/>
          <w:szCs w:val="18"/>
          <w:i w:val="1"/>
          <w:iCs w:val="1"/>
          <w:color w:val="auto"/>
        </w:rPr>
        <w:t xml:space="preserve"> </w:t>
      </w:r>
      <w:r>
        <w:rPr>
          <w:rFonts w:ascii="Arial" w:cs="Arial" w:eastAsia="Arial" w:hAnsi="Arial"/>
          <w:sz w:val="18"/>
          <w:szCs w:val="18"/>
          <w:color w:val="auto"/>
        </w:rPr>
        <w:t>information about fair value measurement. ASU 2011-04 results in common fair value measurement and disclosure requirements under both GAAP and IFRSs.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ASU 2011-04 expands fair value measurement disclosures for Level 3 instruments to require</w:t>
      </w:r>
    </w:p>
    <w:p>
      <w:pPr>
        <w:spacing w:after="0" w:line="225" w:lineRule="exact"/>
        <w:rPr>
          <w:sz w:val="20"/>
          <w:szCs w:val="20"/>
          <w:color w:val="auto"/>
        </w:rPr>
      </w:pPr>
    </w:p>
    <w:p>
      <w:pPr>
        <w:ind w:left="340" w:hanging="188"/>
        <w:spacing w:after="0"/>
        <w:tabs>
          <w:tab w:leader="none" w:pos="340" w:val="left"/>
        </w:tabs>
        <w:numPr>
          <w:ilvl w:val="0"/>
          <w:numId w:val="5"/>
        </w:numPr>
        <w:rPr>
          <w:rFonts w:ascii="Arial" w:cs="Arial" w:eastAsia="Arial" w:hAnsi="Arial"/>
          <w:sz w:val="18"/>
          <w:szCs w:val="18"/>
          <w:color w:val="auto"/>
        </w:rPr>
      </w:pPr>
      <w:r>
        <w:rPr>
          <w:rFonts w:ascii="Arial" w:cs="Arial" w:eastAsia="Arial" w:hAnsi="Arial"/>
          <w:sz w:val="18"/>
          <w:szCs w:val="18"/>
          <w:color w:val="auto"/>
        </w:rPr>
        <w:t>quantitative information about the unobservable inputs</w:t>
      </w:r>
    </w:p>
    <w:p>
      <w:pPr>
        <w:spacing w:after="0" w:line="252" w:lineRule="exact"/>
        <w:rPr>
          <w:rFonts w:ascii="Arial" w:cs="Arial" w:eastAsia="Arial" w:hAnsi="Arial"/>
          <w:sz w:val="18"/>
          <w:szCs w:val="18"/>
          <w:color w:val="auto"/>
        </w:rPr>
      </w:pPr>
    </w:p>
    <w:p>
      <w:pPr>
        <w:ind w:left="340" w:hanging="188"/>
        <w:spacing w:after="0"/>
        <w:tabs>
          <w:tab w:leader="none" w:pos="340" w:val="left"/>
        </w:tabs>
        <w:numPr>
          <w:ilvl w:val="0"/>
          <w:numId w:val="5"/>
        </w:numPr>
        <w:rPr>
          <w:rFonts w:ascii="Arial" w:cs="Arial" w:eastAsia="Arial" w:hAnsi="Arial"/>
          <w:sz w:val="18"/>
          <w:szCs w:val="18"/>
          <w:color w:val="auto"/>
        </w:rPr>
      </w:pPr>
      <w:r>
        <w:rPr>
          <w:rFonts w:ascii="Arial" w:cs="Arial" w:eastAsia="Arial" w:hAnsi="Arial"/>
          <w:sz w:val="18"/>
          <w:szCs w:val="18"/>
          <w:color w:val="auto"/>
        </w:rPr>
        <w:t>a description of the valuation process</w:t>
      </w:r>
    </w:p>
    <w:p>
      <w:pPr>
        <w:spacing w:after="0" w:line="252" w:lineRule="exact"/>
        <w:rPr>
          <w:rFonts w:ascii="Arial" w:cs="Arial" w:eastAsia="Arial" w:hAnsi="Arial"/>
          <w:sz w:val="18"/>
          <w:szCs w:val="18"/>
          <w:color w:val="auto"/>
        </w:rPr>
      </w:pPr>
    </w:p>
    <w:p>
      <w:pPr>
        <w:ind w:left="340" w:hanging="188"/>
        <w:spacing w:after="0"/>
        <w:tabs>
          <w:tab w:leader="none" w:pos="340" w:val="left"/>
        </w:tabs>
        <w:numPr>
          <w:ilvl w:val="0"/>
          <w:numId w:val="5"/>
        </w:numPr>
        <w:rPr>
          <w:rFonts w:ascii="Arial" w:cs="Arial" w:eastAsia="Arial" w:hAnsi="Arial"/>
          <w:sz w:val="18"/>
          <w:szCs w:val="18"/>
          <w:color w:val="auto"/>
        </w:rPr>
      </w:pPr>
      <w:r>
        <w:rPr>
          <w:rFonts w:ascii="Arial" w:cs="Arial" w:eastAsia="Arial" w:hAnsi="Arial"/>
          <w:sz w:val="18"/>
          <w:szCs w:val="18"/>
          <w:color w:val="auto"/>
        </w:rPr>
        <w:t>a qualitative discussion about the sensitivity of the measurements</w:t>
      </w:r>
    </w:p>
    <w:p>
      <w:pPr>
        <w:spacing w:after="0" w:line="252"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We will adopt ASU 2011-04 on January 1, 2012 as required and do not expect it to affect our financial position or results of operations. We will provide the additional disclosure in our 2012 interim financial statements.</w:t>
      </w:r>
    </w:p>
    <w:p>
      <w:pPr>
        <w:spacing w:after="0" w:line="170" w:lineRule="exact"/>
        <w:rPr>
          <w:sz w:val="20"/>
          <w:szCs w:val="20"/>
          <w:color w:val="auto"/>
        </w:rPr>
      </w:pPr>
    </w:p>
    <w:p>
      <w:pPr>
        <w:spacing w:after="0" w:line="259" w:lineRule="auto"/>
        <w:rPr>
          <w:sz w:val="20"/>
          <w:szCs w:val="20"/>
          <w:color w:val="auto"/>
        </w:rPr>
      </w:pPr>
      <w:r>
        <w:rPr>
          <w:rFonts w:ascii="Arial" w:cs="Arial" w:eastAsia="Arial" w:hAnsi="Arial"/>
          <w:sz w:val="18"/>
          <w:szCs w:val="18"/>
          <w:b w:val="1"/>
          <w:bCs w:val="1"/>
          <w:i w:val="1"/>
          <w:iCs w:val="1"/>
          <w:color w:val="auto"/>
        </w:rPr>
        <w:t xml:space="preserve">ASU 2011-05, "Presentation of Comprehensive Income" (ASU 2011-05): </w:t>
      </w:r>
      <w:r>
        <w:rPr>
          <w:rFonts w:ascii="Arial" w:cs="Arial" w:eastAsia="Arial" w:hAnsi="Arial"/>
          <w:sz w:val="18"/>
          <w:szCs w:val="18"/>
          <w:color w:val="auto"/>
        </w:rPr>
        <w:t>ASU 2011-05 amends ASC Topic 220,</w:t>
      </w:r>
      <w:r>
        <w:rPr>
          <w:rFonts w:ascii="Arial" w:cs="Arial" w:eastAsia="Arial" w:hAnsi="Arial"/>
          <w:sz w:val="18"/>
          <w:szCs w:val="18"/>
          <w:b w:val="1"/>
          <w:bCs w:val="1"/>
          <w:i w:val="1"/>
          <w:iCs w:val="1"/>
          <w:color w:val="auto"/>
        </w:rPr>
        <w:t xml:space="preserve"> </w:t>
      </w:r>
      <w:r>
        <w:rPr>
          <w:rFonts w:ascii="Arial" w:cs="Arial" w:eastAsia="Arial" w:hAnsi="Arial"/>
          <w:sz w:val="18"/>
          <w:szCs w:val="18"/>
          <w:i w:val="1"/>
          <w:iCs w:val="1"/>
          <w:color w:val="auto"/>
        </w:rPr>
        <w:t>Comprehensive Income,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and eliminates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option to report other comprehensive income and its components in the statement of changes in equity. The ASU allows an entity an option to present the components of net income and other comprehensive income in one continuous statement, referred to as the statement of comprehensive income, or in two separate, but consecutive statements.</w:t>
      </w:r>
    </w:p>
    <w:p>
      <w:pPr>
        <w:spacing w:after="0" w:line="187"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color w:val="auto"/>
        </w:rPr>
        <w:t>ASU 2011-05 does not change the items that must be reported in other comprehensive income, when an item of other comprehensive income must be reclassified to net income, or the earnings per share computation.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We will adopt ASU 2011-05 on January 1, 2012 and present our 2012 interim financial statements as required by the ASU.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529590</wp:posOffset>
            </wp:positionV>
            <wp:extent cx="7263765"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Arial" w:cs="Arial" w:eastAsia="Arial" w:hAnsi="Arial"/>
          <w:sz w:val="20"/>
          <w:szCs w:val="20"/>
          <w:color w:val="auto"/>
        </w:rPr>
        <w:t>NOTE 3. ACQUISITION AND INVESTMENT ACTIVITY</w:t>
      </w: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SEMPRA PIPELINES &amp; STORAGE</w:t>
      </w: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Chilquinta Energía S.A. (Chilquinta Energía) and Luz del Sur S.A.A. (Luz del Sur)</w:t>
      </w:r>
    </w:p>
    <w:p>
      <w:pPr>
        <w:spacing w:after="0" w:line="205" w:lineRule="exact"/>
        <w:rPr>
          <w:sz w:val="20"/>
          <w:szCs w:val="20"/>
          <w:color w:val="auto"/>
        </w:rPr>
      </w:pPr>
    </w:p>
    <w:p>
      <w:pPr>
        <w:ind w:right="160"/>
        <w:spacing w:after="0" w:line="291" w:lineRule="auto"/>
        <w:rPr>
          <w:sz w:val="20"/>
          <w:szCs w:val="20"/>
          <w:color w:val="auto"/>
        </w:rPr>
      </w:pPr>
      <w:r>
        <w:rPr>
          <w:rFonts w:ascii="Arial" w:cs="Arial" w:eastAsia="Arial" w:hAnsi="Arial"/>
          <w:sz w:val="16"/>
          <w:szCs w:val="16"/>
          <w:color w:val="auto"/>
        </w:rPr>
        <w:t>On April 6, 2011, Sempra Pipelines &amp; Storage acquired from AEI its interests in Chilquinta Energía in Chile and Luz del Sur in Peru, and their subsidiaries. Prior to the acquisition, Sempra Pipelines &amp; Storage and AEI each owned 50 percent of Chilquinta Energía and approximately 38 percent of Luz del</w:t>
      </w:r>
    </w:p>
    <w:p>
      <w:pPr>
        <w:ind w:right="40"/>
        <w:spacing w:after="0" w:line="271" w:lineRule="auto"/>
        <w:rPr>
          <w:sz w:val="20"/>
          <w:szCs w:val="20"/>
          <w:color w:val="auto"/>
        </w:rPr>
      </w:pPr>
      <w:r>
        <w:rPr>
          <w:rFonts w:ascii="Arial" w:cs="Arial" w:eastAsia="Arial" w:hAnsi="Arial"/>
          <w:sz w:val="17"/>
          <w:szCs w:val="17"/>
          <w:color w:val="auto"/>
        </w:rPr>
        <w:t>Sur. Sempra Pipelines &amp; Storage now owns 100 percent of Chilquinta Energía and approximately 76 percent of Luz del Sur, with the remaining shares of Luz del Sur held by institutional investors and the general public. As part of the transaction, Sempra Pipelines &amp; Storage also acquired AEI’s interests in two energy-services companies, Tecnored S.A. and Tecsur S.A. The adjusted purchase price of $888 million resulted from valuing the net assets in Chile, Peru and other holding companies at $495 million, $385 million and $8 million, respectively. We paid $611 million in cash ($888 million less $245 million of cash acquired and $32 million of consideration withheld for a liability related to the purchase).</w:t>
      </w:r>
    </w:p>
    <w:p>
      <w:pPr>
        <w:spacing w:after="0" w:line="179"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As part of our acquisition of AEI’s interest in Luz del Sur, we are required to launch a tender offer to the minority shareholders of Luz del Sur to purchase their shares (up to a maximum 14.73 percent interest in the company). On August 8, 2011, we initiated a public tender offer for up to 14.73 percent of Luz del Sur’s stock to begin on August 9, 2011 and conclude on September 6, 2011 at a price of $2.29 per share. If the maximum shares were to be tendered, this would require a cash expenditure of up to $164 million. The per share value, computed according to procedures established by the local securities regulatory agency, was based on an independent appraiser’s valuation of $2.22 per share as of April 6, 2011, the date of acquisition, adjusted by an interest rate factor to the value as of August 1, 2011. The interest rate factor is published daily by the Central Bank of Peru.</w:t>
      </w:r>
    </w:p>
    <w:p>
      <w:pPr>
        <w:spacing w:after="0" w:line="178" w:lineRule="exact"/>
        <w:rPr>
          <w:sz w:val="20"/>
          <w:szCs w:val="20"/>
          <w:color w:val="auto"/>
        </w:rPr>
      </w:pPr>
    </w:p>
    <w:p>
      <w:pPr>
        <w:jc w:val="both"/>
        <w:ind w:right="140"/>
        <w:spacing w:after="0" w:line="286" w:lineRule="auto"/>
        <w:rPr>
          <w:sz w:val="20"/>
          <w:szCs w:val="20"/>
          <w:color w:val="auto"/>
        </w:rPr>
      </w:pPr>
      <w:r>
        <w:rPr>
          <w:rFonts w:ascii="Arial" w:cs="Arial" w:eastAsia="Arial" w:hAnsi="Arial"/>
          <w:sz w:val="17"/>
          <w:szCs w:val="17"/>
          <w:color w:val="auto"/>
        </w:rPr>
        <w:t>We expect the acquisition to be accretive to our earnings per share in 2011 and beyond, based on historically strong operating performance of the companies within sound regulatory environments and stable, growing countries. We provide additional information about Sempra Pipelines &amp; Storage’s investments in Chilquinta Energía and Luz Del Sur in Note 4 of the Notes to Consolidated Financial Statements in the Annual Report.</w:t>
      </w:r>
    </w:p>
    <w:p>
      <w:pPr>
        <w:spacing w:after="0" w:line="166" w:lineRule="exact"/>
        <w:rPr>
          <w:sz w:val="20"/>
          <w:szCs w:val="20"/>
          <w:color w:val="auto"/>
        </w:rPr>
      </w:pPr>
    </w:p>
    <w:p>
      <w:pPr>
        <w:ind w:right="120"/>
        <w:spacing w:after="0" w:line="302" w:lineRule="auto"/>
        <w:rPr>
          <w:sz w:val="20"/>
          <w:szCs w:val="20"/>
          <w:color w:val="auto"/>
        </w:rPr>
      </w:pPr>
      <w:r>
        <w:rPr>
          <w:rFonts w:ascii="Arial" w:cs="Arial" w:eastAsia="Arial" w:hAnsi="Arial"/>
          <w:sz w:val="16"/>
          <w:szCs w:val="16"/>
          <w:color w:val="auto"/>
        </w:rPr>
        <w:t>The allocation of the purchase price is preliminary and will be completed during the measurement period. Our analysis of acquired assets and liabilities is ongoing to ensure that all identifiable assets are properly valued. Accordingly, the amounts shown below, which include goodwill, deferred taxes and related amounts, could change upon completion of our analysis. The following table summarizes the preliminary consideration paid in the acquisition and the recognized amounts of the assets acquired and liabilities assumed, as well as the fair value at the acquisition date of the noncontrolling interests:</w:t>
      </w:r>
    </w:p>
    <w:p>
      <w:pPr>
        <w:sectPr>
          <w:pgSz w:w="11900" w:h="16838" w:orient="portrait"/>
          <w:cols w:equalWidth="0" w:num="1">
            <w:col w:w="11400"/>
          </w:cols>
          <w:pgMar w:left="240" w:top="798" w:right="259" w:bottom="150" w:gutter="0" w:footer="0" w:header="0"/>
        </w:sectPr>
      </w:pPr>
    </w:p>
    <w:bookmarkStart w:id="22" w:name="page23"/>
    <w:bookmarkEnd w:id="22"/>
    <w:tbl>
      <w:tblPr>
        <w:tblLayout w:type="fixed"/>
        <w:tblInd w:w="0" w:type="dxa"/>
        <w:tblCellMar>
          <w:top w:w="0" w:type="dxa"/>
          <w:left w:w="0" w:type="dxa"/>
          <w:bottom w:w="0" w:type="dxa"/>
          <w:right w:w="0" w:type="dxa"/>
        </w:tblCellMar>
      </w:tblPr>
      <w:tr>
        <w:trPr>
          <w:trHeight w:val="168"/>
        </w:trPr>
        <w:tc>
          <w:tcPr>
            <w:tcW w:w="5580" w:type="dxa"/>
            <w:vAlign w:val="bottom"/>
          </w:tcPr>
          <w:p>
            <w:pPr>
              <w:spacing w:after="0"/>
              <w:rPr>
                <w:sz w:val="14"/>
                <w:szCs w:val="14"/>
                <w:color w:val="auto"/>
              </w:rPr>
            </w:pPr>
          </w:p>
        </w:tc>
        <w:tc>
          <w:tcPr>
            <w:tcW w:w="1560" w:type="dxa"/>
            <w:vAlign w:val="bottom"/>
            <w:tcBorders>
              <w:bottom w:val="single" w:sz="8" w:color="auto"/>
            </w:tcBorders>
          </w:tcPr>
          <w:p>
            <w:pPr>
              <w:spacing w:after="0"/>
              <w:rPr>
                <w:sz w:val="14"/>
                <w:szCs w:val="14"/>
                <w:color w:val="auto"/>
              </w:rPr>
            </w:pPr>
          </w:p>
        </w:tc>
        <w:tc>
          <w:tcPr>
            <w:tcW w:w="1860" w:type="dxa"/>
            <w:vAlign w:val="bottom"/>
            <w:tcBorders>
              <w:bottom w:val="single" w:sz="8" w:color="auto"/>
            </w:tcBorders>
          </w:tcPr>
          <w:p>
            <w:pPr>
              <w:ind w:left="880"/>
              <w:spacing w:after="0"/>
              <w:rPr>
                <w:sz w:val="20"/>
                <w:szCs w:val="20"/>
                <w:color w:val="auto"/>
              </w:rPr>
            </w:pPr>
            <w:r>
              <w:rPr>
                <w:rFonts w:ascii="Arial" w:cs="Arial" w:eastAsia="Arial" w:hAnsi="Arial"/>
                <w:sz w:val="14"/>
                <w:szCs w:val="14"/>
                <w:color w:val="auto"/>
              </w:rPr>
              <w:t>At April 6, 2011</w:t>
            </w:r>
          </w:p>
        </w:tc>
        <w:tc>
          <w:tcPr>
            <w:tcW w:w="132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spacing w:after="0"/>
              <w:rPr>
                <w:sz w:val="14"/>
                <w:szCs w:val="14"/>
                <w:color w:val="auto"/>
              </w:rPr>
            </w:pPr>
          </w:p>
        </w:tc>
      </w:tr>
      <w:tr>
        <w:trPr>
          <w:trHeight w:val="218"/>
        </w:trPr>
        <w:tc>
          <w:tcPr>
            <w:tcW w:w="5580" w:type="dxa"/>
            <w:vAlign w:val="bottom"/>
          </w:tcPr>
          <w:p>
            <w:pPr>
              <w:spacing w:after="0"/>
              <w:rPr>
                <w:sz w:val="18"/>
                <w:szCs w:val="18"/>
                <w:color w:val="auto"/>
              </w:rPr>
            </w:pPr>
          </w:p>
        </w:tc>
        <w:tc>
          <w:tcPr>
            <w:tcW w:w="1560" w:type="dxa"/>
            <w:vAlign w:val="bottom"/>
          </w:tcPr>
          <w:p>
            <w:pPr>
              <w:jc w:val="right"/>
              <w:ind w:right="408"/>
              <w:spacing w:after="0"/>
              <w:rPr>
                <w:sz w:val="20"/>
                <w:szCs w:val="20"/>
                <w:color w:val="auto"/>
              </w:rPr>
            </w:pPr>
            <w:r>
              <w:rPr>
                <w:rFonts w:ascii="Arial" w:cs="Arial" w:eastAsia="Arial" w:hAnsi="Arial"/>
                <w:sz w:val="14"/>
                <w:szCs w:val="14"/>
                <w:color w:val="auto"/>
              </w:rPr>
              <w:t>Chilean</w:t>
            </w:r>
          </w:p>
        </w:tc>
        <w:tc>
          <w:tcPr>
            <w:tcW w:w="1860" w:type="dxa"/>
            <w:vAlign w:val="bottom"/>
          </w:tcPr>
          <w:p>
            <w:pPr>
              <w:jc w:val="center"/>
              <w:ind w:right="268"/>
              <w:spacing w:after="0"/>
              <w:rPr>
                <w:sz w:val="20"/>
                <w:szCs w:val="20"/>
                <w:color w:val="auto"/>
              </w:rPr>
            </w:pPr>
            <w:r>
              <w:rPr>
                <w:rFonts w:ascii="Arial" w:cs="Arial" w:eastAsia="Arial" w:hAnsi="Arial"/>
                <w:sz w:val="14"/>
                <w:szCs w:val="14"/>
                <w:color w:val="auto"/>
              </w:rPr>
              <w:t>Peruvian</w:t>
            </w:r>
          </w:p>
        </w:tc>
        <w:tc>
          <w:tcPr>
            <w:tcW w:w="1320" w:type="dxa"/>
            <w:vAlign w:val="bottom"/>
          </w:tcPr>
          <w:p>
            <w:pPr>
              <w:jc w:val="center"/>
              <w:ind w:right="348"/>
              <w:spacing w:after="0"/>
              <w:rPr>
                <w:sz w:val="20"/>
                <w:szCs w:val="20"/>
                <w:color w:val="auto"/>
              </w:rPr>
            </w:pPr>
            <w:r>
              <w:rPr>
                <w:rFonts w:ascii="Arial" w:cs="Arial" w:eastAsia="Arial" w:hAnsi="Arial"/>
                <w:sz w:val="14"/>
                <w:szCs w:val="14"/>
                <w:color w:val="auto"/>
              </w:rPr>
              <w:t>Other holding</w:t>
            </w:r>
          </w:p>
        </w:tc>
        <w:tc>
          <w:tcPr>
            <w:tcW w:w="1100" w:type="dxa"/>
            <w:vAlign w:val="bottom"/>
          </w:tcPr>
          <w:p>
            <w:pPr>
              <w:spacing w:after="0"/>
              <w:rPr>
                <w:sz w:val="18"/>
                <w:szCs w:val="18"/>
                <w:color w:val="auto"/>
              </w:rPr>
            </w:pPr>
          </w:p>
        </w:tc>
      </w:tr>
      <w:tr>
        <w:trPr>
          <w:trHeight w:val="195"/>
        </w:trPr>
        <w:tc>
          <w:tcPr>
            <w:tcW w:w="5580" w:type="dxa"/>
            <w:vAlign w:val="bottom"/>
            <w:tcBorders>
              <w:bottom w:val="single" w:sz="8" w:color="auto"/>
            </w:tcBorders>
          </w:tcPr>
          <w:p>
            <w:pPr>
              <w:spacing w:after="0"/>
              <w:rPr>
                <w:sz w:val="20"/>
                <w:szCs w:val="20"/>
                <w:color w:val="auto"/>
              </w:rPr>
            </w:pPr>
            <w:r>
              <w:rPr>
                <w:rFonts w:ascii="Arial" w:cs="Arial" w:eastAsia="Arial" w:hAnsi="Arial"/>
                <w:sz w:val="14"/>
                <w:szCs w:val="14"/>
                <w:i w:val="1"/>
                <w:iCs w:val="1"/>
                <w:color w:val="auto"/>
              </w:rPr>
              <w:t>(Dollars in millions)</w:t>
            </w:r>
          </w:p>
        </w:tc>
        <w:tc>
          <w:tcPr>
            <w:tcW w:w="156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color w:val="auto"/>
              </w:rPr>
              <w:t>entities</w:t>
            </w:r>
          </w:p>
        </w:tc>
        <w:tc>
          <w:tcPr>
            <w:tcW w:w="1860" w:type="dxa"/>
            <w:vAlign w:val="bottom"/>
            <w:tcBorders>
              <w:bottom w:val="single" w:sz="8" w:color="auto"/>
            </w:tcBorders>
          </w:tcPr>
          <w:p>
            <w:pPr>
              <w:jc w:val="center"/>
              <w:ind w:right="248"/>
              <w:spacing w:after="0"/>
              <w:rPr>
                <w:sz w:val="20"/>
                <w:szCs w:val="20"/>
                <w:color w:val="auto"/>
              </w:rPr>
            </w:pPr>
            <w:r>
              <w:rPr>
                <w:rFonts w:ascii="Arial" w:cs="Arial" w:eastAsia="Arial" w:hAnsi="Arial"/>
                <w:sz w:val="14"/>
                <w:szCs w:val="14"/>
                <w:color w:val="auto"/>
              </w:rPr>
              <w:t>entities</w:t>
            </w:r>
          </w:p>
        </w:tc>
        <w:tc>
          <w:tcPr>
            <w:tcW w:w="1320" w:type="dxa"/>
            <w:vAlign w:val="bottom"/>
            <w:tcBorders>
              <w:bottom w:val="single" w:sz="8" w:color="auto"/>
            </w:tcBorders>
          </w:tcPr>
          <w:p>
            <w:pPr>
              <w:jc w:val="center"/>
              <w:ind w:right="348"/>
              <w:spacing w:after="0"/>
              <w:rPr>
                <w:sz w:val="20"/>
                <w:szCs w:val="20"/>
                <w:color w:val="auto"/>
              </w:rPr>
            </w:pPr>
            <w:r>
              <w:rPr>
                <w:rFonts w:ascii="Arial" w:cs="Arial" w:eastAsia="Arial" w:hAnsi="Arial"/>
                <w:sz w:val="14"/>
                <w:szCs w:val="14"/>
                <w:color w:val="auto"/>
              </w:rPr>
              <w:t>companies</w:t>
            </w:r>
          </w:p>
        </w:tc>
        <w:tc>
          <w:tcPr>
            <w:tcW w:w="1100" w:type="dxa"/>
            <w:vAlign w:val="bottom"/>
            <w:tcBorders>
              <w:bottom w:val="single" w:sz="8" w:color="auto"/>
            </w:tcBorders>
          </w:tcPr>
          <w:p>
            <w:pPr>
              <w:ind w:left="420"/>
              <w:spacing w:after="0"/>
              <w:rPr>
                <w:sz w:val="20"/>
                <w:szCs w:val="20"/>
                <w:color w:val="auto"/>
              </w:rPr>
            </w:pPr>
            <w:r>
              <w:rPr>
                <w:rFonts w:ascii="Arial" w:cs="Arial" w:eastAsia="Arial" w:hAnsi="Arial"/>
                <w:sz w:val="14"/>
                <w:szCs w:val="14"/>
                <w:color w:val="auto"/>
              </w:rPr>
              <w:t>Total</w:t>
            </w:r>
          </w:p>
        </w:tc>
      </w:tr>
    </w:tbl>
    <w:p>
      <w:pPr>
        <w:spacing w:after="0" w:line="15" w:lineRule="exact"/>
        <w:rPr>
          <w:sz w:val="20"/>
          <w:szCs w:val="20"/>
          <w:color w:val="auto"/>
        </w:rPr>
      </w:pPr>
    </w:p>
    <w:p>
      <w:pPr>
        <w:sectPr>
          <w:pgSz w:w="11900" w:h="16838" w:orient="portrait"/>
          <w:cols w:equalWidth="0" w:num="1">
            <w:col w:w="11420"/>
          </w:cols>
          <w:pgMar w:left="240" w:top="397" w:right="239" w:bottom="0" w:gutter="0" w:footer="0" w:header="0"/>
        </w:sectPr>
      </w:pPr>
    </w:p>
    <w:p>
      <w:pPr>
        <w:spacing w:after="0"/>
        <w:rPr>
          <w:sz w:val="20"/>
          <w:szCs w:val="20"/>
          <w:color w:val="auto"/>
        </w:rPr>
      </w:pPr>
      <w:r>
        <w:rPr>
          <w:rFonts w:ascii="Arial" w:cs="Arial" w:eastAsia="Arial" w:hAnsi="Arial"/>
          <w:sz w:val="16"/>
          <w:szCs w:val="16"/>
          <w:color w:val="auto"/>
        </w:rPr>
        <w:t>Fair value of businesses acquired:</w:t>
      </w:r>
    </w:p>
    <w:p>
      <w:pPr>
        <w:spacing w:after="0" w:line="19" w:lineRule="exact"/>
        <w:rPr>
          <w:sz w:val="20"/>
          <w:szCs w:val="20"/>
          <w:color w:val="auto"/>
        </w:rPr>
      </w:pPr>
    </w:p>
    <w:p>
      <w:pPr>
        <w:ind w:left="500"/>
        <w:spacing w:after="0"/>
        <w:rPr>
          <w:sz w:val="20"/>
          <w:szCs w:val="20"/>
          <w:color w:val="auto"/>
        </w:rPr>
      </w:pPr>
      <w:r>
        <w:rPr>
          <w:rFonts w:ascii="Arial" w:cs="Arial" w:eastAsia="Arial" w:hAnsi="Arial"/>
          <w:sz w:val="16"/>
          <w:szCs w:val="16"/>
          <w:color w:val="auto"/>
        </w:rPr>
        <w:t>Cash consideration (fair value of total consideration)</w:t>
      </w:r>
    </w:p>
    <w:p>
      <w:pPr>
        <w:spacing w:after="0" w:line="19" w:lineRule="exact"/>
        <w:rPr>
          <w:sz w:val="20"/>
          <w:szCs w:val="20"/>
          <w:color w:val="auto"/>
        </w:rPr>
      </w:pPr>
    </w:p>
    <w:p>
      <w:pPr>
        <w:ind w:left="500"/>
        <w:spacing w:after="0"/>
        <w:rPr>
          <w:sz w:val="20"/>
          <w:szCs w:val="20"/>
          <w:color w:val="auto"/>
        </w:rPr>
      </w:pPr>
      <w:r>
        <w:rPr>
          <w:rFonts w:ascii="Arial" w:cs="Arial" w:eastAsia="Arial" w:hAnsi="Arial"/>
          <w:sz w:val="16"/>
          <w:szCs w:val="16"/>
          <w:color w:val="auto"/>
        </w:rPr>
        <w:t>Fair value of equity method investments</w:t>
      </w:r>
    </w:p>
    <w:p>
      <w:pPr>
        <w:spacing w:after="0" w:line="19" w:lineRule="exact"/>
        <w:rPr>
          <w:sz w:val="20"/>
          <w:szCs w:val="20"/>
          <w:color w:val="auto"/>
        </w:rPr>
      </w:pPr>
    </w:p>
    <w:p>
      <w:pPr>
        <w:ind w:left="680"/>
        <w:spacing w:after="0"/>
        <w:rPr>
          <w:sz w:val="20"/>
          <w:szCs w:val="20"/>
          <w:color w:val="auto"/>
        </w:rPr>
      </w:pPr>
      <w:r>
        <w:rPr>
          <w:rFonts w:ascii="Arial" w:cs="Arial" w:eastAsia="Arial" w:hAnsi="Arial"/>
          <w:sz w:val="16"/>
          <w:szCs w:val="16"/>
          <w:color w:val="auto"/>
        </w:rPr>
        <w:t>immediately prior to the acquisition</w:t>
      </w:r>
    </w:p>
    <w:p>
      <w:pPr>
        <w:spacing w:after="0" w:line="46" w:lineRule="exact"/>
        <w:rPr>
          <w:sz w:val="20"/>
          <w:szCs w:val="20"/>
          <w:color w:val="auto"/>
        </w:rPr>
      </w:pPr>
    </w:p>
    <w:p>
      <w:pPr>
        <w:ind w:right="1760" w:firstLine="486"/>
        <w:spacing w:after="0" w:line="242" w:lineRule="auto"/>
        <w:rPr>
          <w:sz w:val="20"/>
          <w:szCs w:val="20"/>
          <w:color w:val="auto"/>
        </w:rPr>
      </w:pPr>
      <w:r>
        <w:rPr>
          <w:rFonts w:ascii="Arial" w:cs="Arial" w:eastAsia="Arial" w:hAnsi="Arial"/>
          <w:sz w:val="16"/>
          <w:szCs w:val="16"/>
          <w:color w:val="auto"/>
        </w:rPr>
        <w:t>Fair value of noncontrolling interests Total fair value of businesses acquired</w:t>
      </w:r>
    </w:p>
    <w:p>
      <w:pPr>
        <w:spacing w:after="0" w:line="115" w:lineRule="exact"/>
        <w:rPr>
          <w:sz w:val="20"/>
          <w:szCs w:val="20"/>
          <w:color w:val="auto"/>
        </w:rPr>
      </w:pPr>
    </w:p>
    <w:p>
      <w:pPr>
        <w:ind w:left="260" w:right="1820" w:hanging="242"/>
        <w:spacing w:after="0" w:line="229" w:lineRule="auto"/>
        <w:rPr>
          <w:sz w:val="20"/>
          <w:szCs w:val="20"/>
          <w:color w:val="auto"/>
        </w:rPr>
      </w:pPr>
      <w:r>
        <w:rPr>
          <w:rFonts w:ascii="Arial" w:cs="Arial" w:eastAsia="Arial" w:hAnsi="Arial"/>
          <w:sz w:val="16"/>
          <w:szCs w:val="16"/>
          <w:color w:val="auto"/>
        </w:rPr>
        <w:t>Recognized amounts of identifiable assets acquired and liabilities assumed:</w:t>
      </w:r>
    </w:p>
    <w:p>
      <w:pPr>
        <w:ind w:left="500"/>
        <w:spacing w:after="0" w:line="229" w:lineRule="auto"/>
        <w:rPr>
          <w:sz w:val="20"/>
          <w:szCs w:val="20"/>
          <w:color w:val="auto"/>
        </w:rPr>
      </w:pPr>
      <w:r>
        <w:rPr>
          <w:rFonts w:ascii="Arial" w:cs="Arial" w:eastAsia="Arial" w:hAnsi="Arial"/>
          <w:sz w:val="16"/>
          <w:szCs w:val="16"/>
          <w:color w:val="auto"/>
        </w:rPr>
        <w:t>Cash</w:t>
      </w:r>
    </w:p>
    <w:p>
      <w:pPr>
        <w:ind w:left="500"/>
        <w:spacing w:after="0" w:line="229" w:lineRule="auto"/>
        <w:rPr>
          <w:sz w:val="20"/>
          <w:szCs w:val="20"/>
          <w:color w:val="auto"/>
        </w:rPr>
      </w:pPr>
      <w:r>
        <w:rPr>
          <w:rFonts w:ascii="Arial" w:cs="Arial" w:eastAsia="Arial" w:hAnsi="Arial"/>
          <w:sz w:val="16"/>
          <w:szCs w:val="16"/>
          <w:color w:val="auto"/>
        </w:rPr>
        <w:t>Accounts receivable(1)</w:t>
      </w:r>
    </w:p>
    <w:p>
      <w:pPr>
        <w:ind w:left="500"/>
        <w:spacing w:after="0" w:line="229" w:lineRule="auto"/>
        <w:rPr>
          <w:sz w:val="20"/>
          <w:szCs w:val="20"/>
          <w:color w:val="auto"/>
        </w:rPr>
      </w:pPr>
      <w:r>
        <w:rPr>
          <w:rFonts w:ascii="Arial" w:cs="Arial" w:eastAsia="Arial" w:hAnsi="Arial"/>
          <w:sz w:val="16"/>
          <w:szCs w:val="16"/>
          <w:color w:val="auto"/>
        </w:rPr>
        <w:t>Other current assets</w:t>
      </w:r>
    </w:p>
    <w:p>
      <w:pPr>
        <w:ind w:left="500"/>
        <w:spacing w:after="0" w:line="229" w:lineRule="auto"/>
        <w:rPr>
          <w:sz w:val="20"/>
          <w:szCs w:val="20"/>
          <w:color w:val="auto"/>
        </w:rPr>
      </w:pPr>
      <w:r>
        <w:rPr>
          <w:rFonts w:ascii="Arial" w:cs="Arial" w:eastAsia="Arial" w:hAnsi="Arial"/>
          <w:sz w:val="16"/>
          <w:szCs w:val="16"/>
          <w:color w:val="auto"/>
        </w:rPr>
        <w:t>Property, plant and equipment</w:t>
      </w:r>
    </w:p>
    <w:p>
      <w:pPr>
        <w:ind w:left="500"/>
        <w:spacing w:after="0" w:line="229" w:lineRule="auto"/>
        <w:rPr>
          <w:sz w:val="20"/>
          <w:szCs w:val="20"/>
          <w:color w:val="auto"/>
        </w:rPr>
      </w:pPr>
      <w:r>
        <w:rPr>
          <w:rFonts w:ascii="Arial" w:cs="Arial" w:eastAsia="Arial" w:hAnsi="Arial"/>
          <w:sz w:val="16"/>
          <w:szCs w:val="16"/>
          <w:color w:val="auto"/>
        </w:rPr>
        <w:t>Other noncurrent assets</w:t>
      </w:r>
    </w:p>
    <w:p>
      <w:pPr>
        <w:ind w:left="500"/>
        <w:spacing w:after="0" w:line="229" w:lineRule="auto"/>
        <w:rPr>
          <w:sz w:val="20"/>
          <w:szCs w:val="20"/>
          <w:color w:val="auto"/>
        </w:rPr>
      </w:pPr>
      <w:r>
        <w:rPr>
          <w:rFonts w:ascii="Arial" w:cs="Arial" w:eastAsia="Arial" w:hAnsi="Arial"/>
          <w:sz w:val="16"/>
          <w:szCs w:val="16"/>
          <w:color w:val="auto"/>
        </w:rPr>
        <w:t>Accounts payable</w:t>
      </w:r>
    </w:p>
    <w:p>
      <w:pPr>
        <w:ind w:left="500"/>
        <w:spacing w:after="0" w:line="229" w:lineRule="auto"/>
        <w:rPr>
          <w:sz w:val="20"/>
          <w:szCs w:val="20"/>
          <w:color w:val="auto"/>
        </w:rPr>
      </w:pPr>
      <w:r>
        <w:rPr>
          <w:rFonts w:ascii="Arial" w:cs="Arial" w:eastAsia="Arial" w:hAnsi="Arial"/>
          <w:sz w:val="16"/>
          <w:szCs w:val="16"/>
          <w:color w:val="auto"/>
        </w:rPr>
        <w:t>Short-term debt and current portion of long-term debt</w:t>
      </w:r>
    </w:p>
    <w:p>
      <w:pPr>
        <w:ind w:left="500"/>
        <w:spacing w:after="0" w:line="229" w:lineRule="auto"/>
        <w:rPr>
          <w:sz w:val="20"/>
          <w:szCs w:val="20"/>
          <w:color w:val="auto"/>
        </w:rPr>
      </w:pPr>
      <w:r>
        <w:rPr>
          <w:rFonts w:ascii="Arial" w:cs="Arial" w:eastAsia="Arial" w:hAnsi="Arial"/>
          <w:sz w:val="16"/>
          <w:szCs w:val="16"/>
          <w:color w:val="auto"/>
        </w:rPr>
        <w:t>Other current liabilities</w:t>
      </w:r>
    </w:p>
    <w:p>
      <w:pPr>
        <w:ind w:left="500"/>
        <w:spacing w:after="0"/>
        <w:rPr>
          <w:sz w:val="20"/>
          <w:szCs w:val="20"/>
          <w:color w:val="auto"/>
        </w:rPr>
      </w:pPr>
      <w:r>
        <w:rPr>
          <w:rFonts w:ascii="Arial" w:cs="Arial" w:eastAsia="Arial" w:hAnsi="Arial"/>
          <w:sz w:val="16"/>
          <w:szCs w:val="16"/>
          <w:color w:val="auto"/>
        </w:rPr>
        <w:t>Long-term debt</w:t>
      </w:r>
    </w:p>
    <w:p>
      <w:pPr>
        <w:spacing w:after="0" w:line="19" w:lineRule="exact"/>
        <w:rPr>
          <w:sz w:val="20"/>
          <w:szCs w:val="20"/>
          <w:color w:val="auto"/>
        </w:rPr>
      </w:pPr>
    </w:p>
    <w:p>
      <w:pPr>
        <w:ind w:left="500"/>
        <w:spacing w:after="0"/>
        <w:rPr>
          <w:sz w:val="20"/>
          <w:szCs w:val="20"/>
          <w:color w:val="auto"/>
        </w:rPr>
      </w:pPr>
      <w:r>
        <w:rPr>
          <w:rFonts w:ascii="Arial" w:cs="Arial" w:eastAsia="Arial" w:hAnsi="Arial"/>
          <w:sz w:val="16"/>
          <w:szCs w:val="16"/>
          <w:color w:val="auto"/>
        </w:rPr>
        <w:t>Other noncurrent liabilities</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Total identifiable net assets</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Goodwill</w:t>
      </w:r>
    </w:p>
    <w:p>
      <w:pPr>
        <w:spacing w:after="0" w:line="167" w:lineRule="exact"/>
        <w:rPr>
          <w:sz w:val="20"/>
          <w:szCs w:val="20"/>
          <w:color w:val="auto"/>
        </w:rPr>
      </w:pPr>
    </w:p>
    <w:p>
      <w:pPr>
        <w:ind w:left="260" w:right="900" w:hanging="242"/>
        <w:spacing w:after="0" w:line="235" w:lineRule="auto"/>
        <w:rPr>
          <w:sz w:val="20"/>
          <w:szCs w:val="20"/>
          <w:color w:val="auto"/>
        </w:rPr>
      </w:pPr>
      <w:r>
        <w:rPr>
          <w:rFonts w:ascii="Arial" w:cs="Arial" w:eastAsia="Arial" w:hAnsi="Arial"/>
          <w:sz w:val="16"/>
          <w:szCs w:val="16"/>
          <w:color w:val="auto"/>
        </w:rPr>
        <w:t>Acquisition-related costs (included in Other Operation and Maintenance expense on the Condensed Consolidated Statements of Operations for the three months and six months ended June 30, 2011)</w:t>
      </w:r>
    </w:p>
    <w:p>
      <w:pPr>
        <w:spacing w:after="0" w:line="20" w:lineRule="exact"/>
        <w:rPr>
          <w:sz w:val="20"/>
          <w:szCs w:val="20"/>
          <w:color w:val="auto"/>
        </w:rPr>
      </w:pPr>
      <w:r>
        <w:rPr>
          <w:sz w:val="20"/>
          <w:szCs w:val="20"/>
          <w:color w:val="auto"/>
        </w:rPr>
        <w:br w:type="column"/>
      </w:r>
    </w:p>
    <w:p>
      <w:pPr>
        <w:spacing w:after="0" w:line="18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5"/>
        </w:trPr>
        <w:tc>
          <w:tcPr>
            <w:tcW w:w="540" w:type="dxa"/>
            <w:vAlign w:val="bottom"/>
            <w:gridSpan w:val="2"/>
          </w:tcPr>
          <w:p>
            <w:pPr>
              <w:jc w:val="right"/>
              <w:ind w:right="364"/>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495</w:t>
            </w:r>
          </w:p>
        </w:tc>
        <w:tc>
          <w:tcPr>
            <w:tcW w:w="600" w:type="dxa"/>
            <w:vAlign w:val="bottom"/>
          </w:tcPr>
          <w:p>
            <w:pPr>
              <w:jc w:val="right"/>
              <w:ind w:right="419"/>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385</w:t>
            </w:r>
          </w:p>
        </w:tc>
        <w:tc>
          <w:tcPr>
            <w:tcW w:w="700" w:type="dxa"/>
            <w:vAlign w:val="bottom"/>
          </w:tcPr>
          <w:p>
            <w:pPr>
              <w:jc w:val="right"/>
              <w:ind w:right="544"/>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8</w:t>
            </w:r>
          </w:p>
        </w:tc>
        <w:tc>
          <w:tcPr>
            <w:tcW w:w="500" w:type="dxa"/>
            <w:vAlign w:val="bottom"/>
          </w:tcPr>
          <w:p>
            <w:pPr>
              <w:jc w:val="right"/>
              <w:ind w:right="299"/>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888</w:t>
            </w:r>
          </w:p>
        </w:tc>
      </w:tr>
      <w:tr>
        <w:trPr>
          <w:trHeight w:val="405"/>
        </w:trPr>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495</w:t>
            </w:r>
          </w:p>
        </w:tc>
        <w:tc>
          <w:tcPr>
            <w:tcW w:w="60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385</w:t>
            </w:r>
          </w:p>
        </w:tc>
        <w:tc>
          <w:tcPr>
            <w:tcW w:w="70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w:t>
            </w:r>
          </w:p>
        </w:tc>
        <w:tc>
          <w:tcPr>
            <w:tcW w:w="50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882</w:t>
            </w:r>
          </w:p>
        </w:tc>
      </w:tr>
      <w:tr>
        <w:trPr>
          <w:trHeight w:val="202"/>
        </w:trPr>
        <w:tc>
          <w:tcPr>
            <w:tcW w:w="20" w:type="dxa"/>
            <w:vAlign w:val="bottom"/>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w:t>
            </w:r>
          </w:p>
        </w:tc>
        <w:tc>
          <w:tcPr>
            <w:tcW w:w="6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242</w:t>
            </w:r>
          </w:p>
        </w:tc>
        <w:tc>
          <w:tcPr>
            <w:tcW w:w="70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50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279</w:t>
            </w:r>
          </w:p>
        </w:tc>
      </w:tr>
      <w:tr>
        <w:trPr>
          <w:trHeight w:val="195"/>
        </w:trPr>
        <w:tc>
          <w:tcPr>
            <w:tcW w:w="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1,027</w:t>
            </w:r>
          </w:p>
        </w:tc>
        <w:tc>
          <w:tcPr>
            <w:tcW w:w="6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1,012</w:t>
            </w:r>
          </w:p>
        </w:tc>
        <w:tc>
          <w:tcPr>
            <w:tcW w:w="7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10</w:t>
            </w:r>
          </w:p>
        </w:tc>
        <w:tc>
          <w:tcPr>
            <w:tcW w:w="50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2,049</w:t>
            </w:r>
          </w:p>
        </w:tc>
      </w:tr>
      <w:tr>
        <w:trPr>
          <w:trHeight w:val="631"/>
        </w:trPr>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219</w:t>
            </w:r>
          </w:p>
        </w:tc>
        <w:tc>
          <w:tcPr>
            <w:tcW w:w="60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22</w:t>
            </w:r>
          </w:p>
        </w:tc>
        <w:tc>
          <w:tcPr>
            <w:tcW w:w="70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4</w:t>
            </w:r>
          </w:p>
        </w:tc>
        <w:tc>
          <w:tcPr>
            <w:tcW w:w="50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245</w:t>
            </w:r>
          </w:p>
        </w:tc>
      </w:tr>
      <w:tr>
        <w:trPr>
          <w:trHeight w:val="176"/>
        </w:trPr>
        <w:tc>
          <w:tcPr>
            <w:tcW w:w="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80" w:type="dxa"/>
            <w:vAlign w:val="bottom"/>
          </w:tcPr>
          <w:p>
            <w:pPr>
              <w:jc w:val="right"/>
              <w:spacing w:after="0" w:line="176" w:lineRule="exact"/>
              <w:rPr>
                <w:sz w:val="20"/>
                <w:szCs w:val="20"/>
                <w:color w:val="auto"/>
              </w:rPr>
            </w:pPr>
            <w:r>
              <w:rPr>
                <w:rFonts w:ascii="Arial" w:cs="Arial" w:eastAsia="Arial" w:hAnsi="Arial"/>
                <w:sz w:val="16"/>
                <w:szCs w:val="16"/>
                <w:color w:val="auto"/>
              </w:rPr>
              <w:t>159</w:t>
            </w:r>
          </w:p>
        </w:tc>
        <w:tc>
          <w:tcPr>
            <w:tcW w:w="600" w:type="dxa"/>
            <w:vAlign w:val="bottom"/>
          </w:tcPr>
          <w:p>
            <w:pPr>
              <w:spacing w:after="0"/>
              <w:rPr>
                <w:sz w:val="15"/>
                <w:szCs w:val="15"/>
                <w:color w:val="auto"/>
              </w:rPr>
            </w:pPr>
          </w:p>
        </w:tc>
        <w:tc>
          <w:tcPr>
            <w:tcW w:w="960" w:type="dxa"/>
            <w:vAlign w:val="bottom"/>
          </w:tcPr>
          <w:p>
            <w:pPr>
              <w:jc w:val="right"/>
              <w:spacing w:after="0" w:line="176" w:lineRule="exact"/>
              <w:rPr>
                <w:sz w:val="20"/>
                <w:szCs w:val="20"/>
                <w:color w:val="auto"/>
              </w:rPr>
            </w:pPr>
            <w:r>
              <w:rPr>
                <w:rFonts w:ascii="Arial" w:cs="Arial" w:eastAsia="Arial" w:hAnsi="Arial"/>
                <w:sz w:val="16"/>
                <w:szCs w:val="16"/>
                <w:color w:val="auto"/>
              </w:rPr>
              <w:t>101</w:t>
            </w:r>
          </w:p>
        </w:tc>
        <w:tc>
          <w:tcPr>
            <w:tcW w:w="700" w:type="dxa"/>
            <w:vAlign w:val="bottom"/>
          </w:tcPr>
          <w:p>
            <w:pPr>
              <w:spacing w:after="0"/>
              <w:rPr>
                <w:sz w:val="15"/>
                <w:szCs w:val="15"/>
                <w:color w:val="auto"/>
              </w:rPr>
            </w:pPr>
          </w:p>
        </w:tc>
        <w:tc>
          <w:tcPr>
            <w:tcW w:w="820" w:type="dxa"/>
            <w:vAlign w:val="bottom"/>
          </w:tcPr>
          <w:p>
            <w:pPr>
              <w:jc w:val="right"/>
              <w:spacing w:after="0" w:line="176" w:lineRule="exact"/>
              <w:rPr>
                <w:sz w:val="20"/>
                <w:szCs w:val="20"/>
                <w:color w:val="auto"/>
              </w:rPr>
            </w:pPr>
            <w:r>
              <w:rPr>
                <w:rFonts w:ascii="Arial" w:cs="Arial" w:eastAsia="Arial" w:hAnsi="Arial"/>
                <w:sz w:val="16"/>
                <w:szCs w:val="16"/>
                <w:color w:val="auto"/>
              </w:rPr>
              <w:t>6</w:t>
            </w:r>
          </w:p>
        </w:tc>
        <w:tc>
          <w:tcPr>
            <w:tcW w:w="500" w:type="dxa"/>
            <w:vAlign w:val="bottom"/>
          </w:tcPr>
          <w:p>
            <w:pPr>
              <w:spacing w:after="0"/>
              <w:rPr>
                <w:sz w:val="15"/>
                <w:szCs w:val="15"/>
                <w:color w:val="auto"/>
              </w:rPr>
            </w:pPr>
          </w:p>
        </w:tc>
        <w:tc>
          <w:tcPr>
            <w:tcW w:w="840" w:type="dxa"/>
            <w:vAlign w:val="bottom"/>
          </w:tcPr>
          <w:p>
            <w:pPr>
              <w:jc w:val="right"/>
              <w:spacing w:after="0" w:line="176" w:lineRule="exact"/>
              <w:rPr>
                <w:sz w:val="20"/>
                <w:szCs w:val="20"/>
                <w:color w:val="auto"/>
              </w:rPr>
            </w:pPr>
            <w:r>
              <w:rPr>
                <w:rFonts w:ascii="Arial" w:cs="Arial" w:eastAsia="Arial" w:hAnsi="Arial"/>
                <w:sz w:val="16"/>
                <w:szCs w:val="16"/>
                <w:color w:val="auto"/>
              </w:rPr>
              <w:t>266</w:t>
            </w:r>
          </w:p>
        </w:tc>
      </w:tr>
      <w:tr>
        <w:trPr>
          <w:trHeight w:val="176"/>
        </w:trPr>
        <w:tc>
          <w:tcPr>
            <w:tcW w:w="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80" w:type="dxa"/>
            <w:vAlign w:val="bottom"/>
          </w:tcPr>
          <w:p>
            <w:pPr>
              <w:jc w:val="right"/>
              <w:spacing w:after="0" w:line="176" w:lineRule="exact"/>
              <w:rPr>
                <w:sz w:val="20"/>
                <w:szCs w:val="20"/>
                <w:color w:val="auto"/>
              </w:rPr>
            </w:pPr>
            <w:r>
              <w:rPr>
                <w:rFonts w:ascii="Arial" w:cs="Arial" w:eastAsia="Arial" w:hAnsi="Arial"/>
                <w:sz w:val="16"/>
                <w:szCs w:val="16"/>
                <w:color w:val="auto"/>
              </w:rPr>
              <w:t>20</w:t>
            </w:r>
          </w:p>
        </w:tc>
        <w:tc>
          <w:tcPr>
            <w:tcW w:w="600" w:type="dxa"/>
            <w:vAlign w:val="bottom"/>
          </w:tcPr>
          <w:p>
            <w:pPr>
              <w:spacing w:after="0"/>
              <w:rPr>
                <w:sz w:val="15"/>
                <w:szCs w:val="15"/>
                <w:color w:val="auto"/>
              </w:rPr>
            </w:pPr>
          </w:p>
        </w:tc>
        <w:tc>
          <w:tcPr>
            <w:tcW w:w="960" w:type="dxa"/>
            <w:vAlign w:val="bottom"/>
          </w:tcPr>
          <w:p>
            <w:pPr>
              <w:jc w:val="right"/>
              <w:spacing w:after="0" w:line="176" w:lineRule="exact"/>
              <w:rPr>
                <w:sz w:val="20"/>
                <w:szCs w:val="20"/>
                <w:color w:val="auto"/>
              </w:rPr>
            </w:pPr>
            <w:r>
              <w:rPr>
                <w:rFonts w:ascii="Arial" w:cs="Arial" w:eastAsia="Arial" w:hAnsi="Arial"/>
                <w:sz w:val="16"/>
                <w:szCs w:val="16"/>
                <w:color w:val="auto"/>
              </w:rPr>
              <w:t>19</w:t>
            </w:r>
          </w:p>
        </w:tc>
        <w:tc>
          <w:tcPr>
            <w:tcW w:w="700" w:type="dxa"/>
            <w:vAlign w:val="bottom"/>
          </w:tcPr>
          <w:p>
            <w:pPr>
              <w:spacing w:after="0"/>
              <w:rPr>
                <w:sz w:val="15"/>
                <w:szCs w:val="15"/>
                <w:color w:val="auto"/>
              </w:rPr>
            </w:pPr>
          </w:p>
        </w:tc>
        <w:tc>
          <w:tcPr>
            <w:tcW w:w="820" w:type="dxa"/>
            <w:vAlign w:val="bottom"/>
          </w:tcPr>
          <w:p>
            <w:pPr>
              <w:jc w:val="right"/>
              <w:spacing w:after="0" w:line="176" w:lineRule="exact"/>
              <w:rPr>
                <w:sz w:val="20"/>
                <w:szCs w:val="20"/>
                <w:color w:val="auto"/>
              </w:rPr>
            </w:pPr>
            <w:r>
              <w:rPr>
                <w:rFonts w:ascii="Arial" w:cs="Arial" w:eastAsia="Arial" w:hAnsi="Arial"/>
                <w:sz w:val="16"/>
                <w:szCs w:val="16"/>
                <w:color w:val="auto"/>
              </w:rPr>
              <w:t>―</w:t>
            </w:r>
          </w:p>
        </w:tc>
        <w:tc>
          <w:tcPr>
            <w:tcW w:w="500" w:type="dxa"/>
            <w:vAlign w:val="bottom"/>
          </w:tcPr>
          <w:p>
            <w:pPr>
              <w:spacing w:after="0"/>
              <w:rPr>
                <w:sz w:val="15"/>
                <w:szCs w:val="15"/>
                <w:color w:val="auto"/>
              </w:rPr>
            </w:pPr>
          </w:p>
        </w:tc>
        <w:tc>
          <w:tcPr>
            <w:tcW w:w="840" w:type="dxa"/>
            <w:vAlign w:val="bottom"/>
          </w:tcPr>
          <w:p>
            <w:pPr>
              <w:jc w:val="right"/>
              <w:spacing w:after="0" w:line="176" w:lineRule="exact"/>
              <w:rPr>
                <w:sz w:val="20"/>
                <w:szCs w:val="20"/>
                <w:color w:val="auto"/>
              </w:rPr>
            </w:pPr>
            <w:r>
              <w:rPr>
                <w:rFonts w:ascii="Arial" w:cs="Arial" w:eastAsia="Arial" w:hAnsi="Arial"/>
                <w:sz w:val="16"/>
                <w:szCs w:val="16"/>
                <w:color w:val="auto"/>
              </w:rPr>
              <w:t>39</w:t>
            </w:r>
          </w:p>
        </w:tc>
      </w:tr>
      <w:tr>
        <w:trPr>
          <w:trHeight w:val="176"/>
        </w:trPr>
        <w:tc>
          <w:tcPr>
            <w:tcW w:w="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80" w:type="dxa"/>
            <w:vAlign w:val="bottom"/>
          </w:tcPr>
          <w:p>
            <w:pPr>
              <w:jc w:val="right"/>
              <w:spacing w:after="0" w:line="176" w:lineRule="exact"/>
              <w:rPr>
                <w:sz w:val="20"/>
                <w:szCs w:val="20"/>
                <w:color w:val="auto"/>
              </w:rPr>
            </w:pPr>
            <w:r>
              <w:rPr>
                <w:rFonts w:ascii="Arial" w:cs="Arial" w:eastAsia="Arial" w:hAnsi="Arial"/>
                <w:sz w:val="16"/>
                <w:szCs w:val="16"/>
                <w:color w:val="auto"/>
              </w:rPr>
              <w:t>554</w:t>
            </w:r>
          </w:p>
        </w:tc>
        <w:tc>
          <w:tcPr>
            <w:tcW w:w="600" w:type="dxa"/>
            <w:vAlign w:val="bottom"/>
          </w:tcPr>
          <w:p>
            <w:pPr>
              <w:spacing w:after="0"/>
              <w:rPr>
                <w:sz w:val="15"/>
                <w:szCs w:val="15"/>
                <w:color w:val="auto"/>
              </w:rPr>
            </w:pPr>
          </w:p>
        </w:tc>
        <w:tc>
          <w:tcPr>
            <w:tcW w:w="960" w:type="dxa"/>
            <w:vAlign w:val="bottom"/>
          </w:tcPr>
          <w:p>
            <w:pPr>
              <w:jc w:val="right"/>
              <w:spacing w:after="0" w:line="176" w:lineRule="exact"/>
              <w:rPr>
                <w:sz w:val="20"/>
                <w:szCs w:val="20"/>
                <w:color w:val="auto"/>
              </w:rPr>
            </w:pPr>
            <w:r>
              <w:rPr>
                <w:rFonts w:ascii="Arial" w:cs="Arial" w:eastAsia="Arial" w:hAnsi="Arial"/>
                <w:sz w:val="16"/>
                <w:szCs w:val="16"/>
                <w:color w:val="auto"/>
              </w:rPr>
              <w:t>931</w:t>
            </w:r>
          </w:p>
        </w:tc>
        <w:tc>
          <w:tcPr>
            <w:tcW w:w="700" w:type="dxa"/>
            <w:vAlign w:val="bottom"/>
          </w:tcPr>
          <w:p>
            <w:pPr>
              <w:spacing w:after="0"/>
              <w:rPr>
                <w:sz w:val="15"/>
                <w:szCs w:val="15"/>
                <w:color w:val="auto"/>
              </w:rPr>
            </w:pPr>
          </w:p>
        </w:tc>
        <w:tc>
          <w:tcPr>
            <w:tcW w:w="820" w:type="dxa"/>
            <w:vAlign w:val="bottom"/>
          </w:tcPr>
          <w:p>
            <w:pPr>
              <w:jc w:val="right"/>
              <w:spacing w:after="0" w:line="176" w:lineRule="exact"/>
              <w:rPr>
                <w:sz w:val="20"/>
                <w:szCs w:val="20"/>
                <w:color w:val="auto"/>
              </w:rPr>
            </w:pPr>
            <w:r>
              <w:rPr>
                <w:rFonts w:ascii="Arial" w:cs="Arial" w:eastAsia="Arial" w:hAnsi="Arial"/>
                <w:sz w:val="16"/>
                <w:szCs w:val="16"/>
                <w:color w:val="auto"/>
              </w:rPr>
              <w:t>―</w:t>
            </w:r>
          </w:p>
        </w:tc>
        <w:tc>
          <w:tcPr>
            <w:tcW w:w="500" w:type="dxa"/>
            <w:vAlign w:val="bottom"/>
          </w:tcPr>
          <w:p>
            <w:pPr>
              <w:spacing w:after="0"/>
              <w:rPr>
                <w:sz w:val="15"/>
                <w:szCs w:val="15"/>
                <w:color w:val="auto"/>
              </w:rPr>
            </w:pPr>
          </w:p>
        </w:tc>
        <w:tc>
          <w:tcPr>
            <w:tcW w:w="840" w:type="dxa"/>
            <w:vAlign w:val="bottom"/>
          </w:tcPr>
          <w:p>
            <w:pPr>
              <w:jc w:val="right"/>
              <w:spacing w:after="0" w:line="176" w:lineRule="exact"/>
              <w:rPr>
                <w:sz w:val="20"/>
                <w:szCs w:val="20"/>
                <w:color w:val="auto"/>
              </w:rPr>
            </w:pPr>
            <w:r>
              <w:rPr>
                <w:rFonts w:ascii="Arial" w:cs="Arial" w:eastAsia="Arial" w:hAnsi="Arial"/>
                <w:sz w:val="16"/>
                <w:szCs w:val="16"/>
                <w:color w:val="auto"/>
              </w:rPr>
              <w:t>1,485</w:t>
            </w:r>
          </w:p>
        </w:tc>
      </w:tr>
      <w:tr>
        <w:trPr>
          <w:trHeight w:val="176"/>
        </w:trPr>
        <w:tc>
          <w:tcPr>
            <w:tcW w:w="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80" w:type="dxa"/>
            <w:vAlign w:val="bottom"/>
          </w:tcPr>
          <w:p>
            <w:pPr>
              <w:jc w:val="right"/>
              <w:spacing w:after="0" w:line="176" w:lineRule="exact"/>
              <w:rPr>
                <w:sz w:val="20"/>
                <w:szCs w:val="20"/>
                <w:color w:val="auto"/>
              </w:rPr>
            </w:pPr>
            <w:r>
              <w:rPr>
                <w:rFonts w:ascii="Arial" w:cs="Arial" w:eastAsia="Arial" w:hAnsi="Arial"/>
                <w:sz w:val="16"/>
                <w:szCs w:val="16"/>
                <w:color w:val="auto"/>
              </w:rPr>
              <w:t>66</w:t>
            </w:r>
          </w:p>
        </w:tc>
        <w:tc>
          <w:tcPr>
            <w:tcW w:w="600" w:type="dxa"/>
            <w:vAlign w:val="bottom"/>
          </w:tcPr>
          <w:p>
            <w:pPr>
              <w:spacing w:after="0"/>
              <w:rPr>
                <w:sz w:val="15"/>
                <w:szCs w:val="15"/>
                <w:color w:val="auto"/>
              </w:rPr>
            </w:pPr>
          </w:p>
        </w:tc>
        <w:tc>
          <w:tcPr>
            <w:tcW w:w="960" w:type="dxa"/>
            <w:vAlign w:val="bottom"/>
          </w:tcPr>
          <w:p>
            <w:pPr>
              <w:jc w:val="right"/>
              <w:spacing w:after="0" w:line="176" w:lineRule="exact"/>
              <w:rPr>
                <w:sz w:val="20"/>
                <w:szCs w:val="20"/>
                <w:color w:val="auto"/>
              </w:rPr>
            </w:pPr>
            <w:r>
              <w:rPr>
                <w:rFonts w:ascii="Arial" w:cs="Arial" w:eastAsia="Arial" w:hAnsi="Arial"/>
                <w:sz w:val="16"/>
                <w:szCs w:val="16"/>
                <w:color w:val="auto"/>
              </w:rPr>
              <w:t>―</w:t>
            </w:r>
          </w:p>
        </w:tc>
        <w:tc>
          <w:tcPr>
            <w:tcW w:w="700" w:type="dxa"/>
            <w:vAlign w:val="bottom"/>
          </w:tcPr>
          <w:p>
            <w:pPr>
              <w:spacing w:after="0"/>
              <w:rPr>
                <w:sz w:val="15"/>
                <w:szCs w:val="15"/>
                <w:color w:val="auto"/>
              </w:rPr>
            </w:pPr>
          </w:p>
        </w:tc>
        <w:tc>
          <w:tcPr>
            <w:tcW w:w="820" w:type="dxa"/>
            <w:vAlign w:val="bottom"/>
          </w:tcPr>
          <w:p>
            <w:pPr>
              <w:jc w:val="right"/>
              <w:spacing w:after="0" w:line="176" w:lineRule="exact"/>
              <w:rPr>
                <w:sz w:val="20"/>
                <w:szCs w:val="20"/>
                <w:color w:val="auto"/>
              </w:rPr>
            </w:pPr>
            <w:r>
              <w:rPr>
                <w:rFonts w:ascii="Arial" w:cs="Arial" w:eastAsia="Arial" w:hAnsi="Arial"/>
                <w:sz w:val="16"/>
                <w:szCs w:val="16"/>
                <w:color w:val="auto"/>
              </w:rPr>
              <w:t>―</w:t>
            </w:r>
          </w:p>
        </w:tc>
        <w:tc>
          <w:tcPr>
            <w:tcW w:w="500" w:type="dxa"/>
            <w:vAlign w:val="bottom"/>
          </w:tcPr>
          <w:p>
            <w:pPr>
              <w:spacing w:after="0"/>
              <w:rPr>
                <w:sz w:val="15"/>
                <w:szCs w:val="15"/>
                <w:color w:val="auto"/>
              </w:rPr>
            </w:pPr>
          </w:p>
        </w:tc>
        <w:tc>
          <w:tcPr>
            <w:tcW w:w="840" w:type="dxa"/>
            <w:vAlign w:val="bottom"/>
          </w:tcPr>
          <w:p>
            <w:pPr>
              <w:jc w:val="right"/>
              <w:spacing w:after="0" w:line="176" w:lineRule="exact"/>
              <w:rPr>
                <w:sz w:val="20"/>
                <w:szCs w:val="20"/>
                <w:color w:val="auto"/>
              </w:rPr>
            </w:pPr>
            <w:r>
              <w:rPr>
                <w:rFonts w:ascii="Arial" w:cs="Arial" w:eastAsia="Arial" w:hAnsi="Arial"/>
                <w:sz w:val="16"/>
                <w:szCs w:val="16"/>
                <w:color w:val="auto"/>
              </w:rPr>
              <w:t>66</w:t>
            </w:r>
          </w:p>
        </w:tc>
      </w:tr>
      <w:tr>
        <w:trPr>
          <w:trHeight w:val="176"/>
        </w:trPr>
        <w:tc>
          <w:tcPr>
            <w:tcW w:w="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80" w:type="dxa"/>
            <w:vAlign w:val="bottom"/>
          </w:tcPr>
          <w:p>
            <w:pPr>
              <w:jc w:val="right"/>
              <w:spacing w:after="0" w:line="176" w:lineRule="exact"/>
              <w:rPr>
                <w:sz w:val="20"/>
                <w:szCs w:val="20"/>
                <w:color w:val="auto"/>
              </w:rPr>
            </w:pPr>
            <w:r>
              <w:rPr>
                <w:rFonts w:ascii="Arial" w:cs="Arial" w:eastAsia="Arial" w:hAnsi="Arial"/>
                <w:sz w:val="16"/>
                <w:szCs w:val="16"/>
                <w:color w:val="auto"/>
              </w:rPr>
              <w:t>(79)</w:t>
            </w:r>
          </w:p>
        </w:tc>
        <w:tc>
          <w:tcPr>
            <w:tcW w:w="600" w:type="dxa"/>
            <w:vAlign w:val="bottom"/>
          </w:tcPr>
          <w:p>
            <w:pPr>
              <w:spacing w:after="0"/>
              <w:rPr>
                <w:sz w:val="15"/>
                <w:szCs w:val="15"/>
                <w:color w:val="auto"/>
              </w:rPr>
            </w:pPr>
          </w:p>
        </w:tc>
        <w:tc>
          <w:tcPr>
            <w:tcW w:w="960" w:type="dxa"/>
            <w:vAlign w:val="bottom"/>
          </w:tcPr>
          <w:p>
            <w:pPr>
              <w:jc w:val="right"/>
              <w:spacing w:after="0" w:line="176" w:lineRule="exact"/>
              <w:rPr>
                <w:sz w:val="20"/>
                <w:szCs w:val="20"/>
                <w:color w:val="auto"/>
              </w:rPr>
            </w:pPr>
            <w:r>
              <w:rPr>
                <w:rFonts w:ascii="Arial" w:cs="Arial" w:eastAsia="Arial" w:hAnsi="Arial"/>
                <w:sz w:val="16"/>
                <w:szCs w:val="16"/>
                <w:color w:val="auto"/>
              </w:rPr>
              <w:t>(59)</w:t>
            </w:r>
          </w:p>
        </w:tc>
        <w:tc>
          <w:tcPr>
            <w:tcW w:w="700" w:type="dxa"/>
            <w:vAlign w:val="bottom"/>
          </w:tcPr>
          <w:p>
            <w:pPr>
              <w:spacing w:after="0"/>
              <w:rPr>
                <w:sz w:val="15"/>
                <w:szCs w:val="15"/>
                <w:color w:val="auto"/>
              </w:rPr>
            </w:pPr>
          </w:p>
        </w:tc>
        <w:tc>
          <w:tcPr>
            <w:tcW w:w="820" w:type="dxa"/>
            <w:vAlign w:val="bottom"/>
          </w:tcPr>
          <w:p>
            <w:pPr>
              <w:jc w:val="right"/>
              <w:spacing w:after="0" w:line="176" w:lineRule="exact"/>
              <w:rPr>
                <w:sz w:val="20"/>
                <w:szCs w:val="20"/>
                <w:color w:val="auto"/>
              </w:rPr>
            </w:pPr>
            <w:r>
              <w:rPr>
                <w:rFonts w:ascii="Arial" w:cs="Arial" w:eastAsia="Arial" w:hAnsi="Arial"/>
                <w:sz w:val="16"/>
                <w:szCs w:val="16"/>
                <w:color w:val="auto"/>
              </w:rPr>
              <w:t>―</w:t>
            </w:r>
          </w:p>
        </w:tc>
        <w:tc>
          <w:tcPr>
            <w:tcW w:w="500" w:type="dxa"/>
            <w:vAlign w:val="bottom"/>
          </w:tcPr>
          <w:p>
            <w:pPr>
              <w:spacing w:after="0"/>
              <w:rPr>
                <w:sz w:val="15"/>
                <w:szCs w:val="15"/>
                <w:color w:val="auto"/>
              </w:rPr>
            </w:pPr>
          </w:p>
        </w:tc>
        <w:tc>
          <w:tcPr>
            <w:tcW w:w="840" w:type="dxa"/>
            <w:vAlign w:val="bottom"/>
          </w:tcPr>
          <w:p>
            <w:pPr>
              <w:jc w:val="right"/>
              <w:spacing w:after="0" w:line="176" w:lineRule="exact"/>
              <w:rPr>
                <w:sz w:val="20"/>
                <w:szCs w:val="20"/>
                <w:color w:val="auto"/>
              </w:rPr>
            </w:pPr>
            <w:r>
              <w:rPr>
                <w:rFonts w:ascii="Arial" w:cs="Arial" w:eastAsia="Arial" w:hAnsi="Arial"/>
                <w:sz w:val="16"/>
                <w:szCs w:val="16"/>
                <w:color w:val="auto"/>
              </w:rPr>
              <w:t>(138)</w:t>
            </w:r>
          </w:p>
        </w:tc>
      </w:tr>
      <w:tr>
        <w:trPr>
          <w:trHeight w:val="176"/>
        </w:trPr>
        <w:tc>
          <w:tcPr>
            <w:tcW w:w="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80" w:type="dxa"/>
            <w:vAlign w:val="bottom"/>
          </w:tcPr>
          <w:p>
            <w:pPr>
              <w:jc w:val="right"/>
              <w:spacing w:after="0" w:line="176" w:lineRule="exact"/>
              <w:rPr>
                <w:sz w:val="20"/>
                <w:szCs w:val="20"/>
                <w:color w:val="auto"/>
              </w:rPr>
            </w:pPr>
            <w:r>
              <w:rPr>
                <w:rFonts w:ascii="Arial" w:cs="Arial" w:eastAsia="Arial" w:hAnsi="Arial"/>
                <w:sz w:val="16"/>
                <w:szCs w:val="16"/>
                <w:color w:val="auto"/>
              </w:rPr>
              <w:t>―</w:t>
            </w:r>
          </w:p>
        </w:tc>
        <w:tc>
          <w:tcPr>
            <w:tcW w:w="600" w:type="dxa"/>
            <w:vAlign w:val="bottom"/>
          </w:tcPr>
          <w:p>
            <w:pPr>
              <w:spacing w:after="0"/>
              <w:rPr>
                <w:sz w:val="15"/>
                <w:szCs w:val="15"/>
                <w:color w:val="auto"/>
              </w:rPr>
            </w:pPr>
          </w:p>
        </w:tc>
        <w:tc>
          <w:tcPr>
            <w:tcW w:w="960" w:type="dxa"/>
            <w:vAlign w:val="bottom"/>
          </w:tcPr>
          <w:p>
            <w:pPr>
              <w:jc w:val="right"/>
              <w:spacing w:after="0" w:line="176" w:lineRule="exact"/>
              <w:rPr>
                <w:sz w:val="20"/>
                <w:szCs w:val="20"/>
                <w:color w:val="auto"/>
              </w:rPr>
            </w:pPr>
            <w:r>
              <w:rPr>
                <w:rFonts w:ascii="Arial" w:cs="Arial" w:eastAsia="Arial" w:hAnsi="Arial"/>
                <w:sz w:val="16"/>
                <w:szCs w:val="16"/>
                <w:color w:val="auto"/>
              </w:rPr>
              <w:t>(47)</w:t>
            </w:r>
          </w:p>
        </w:tc>
        <w:tc>
          <w:tcPr>
            <w:tcW w:w="700" w:type="dxa"/>
            <w:vAlign w:val="bottom"/>
          </w:tcPr>
          <w:p>
            <w:pPr>
              <w:spacing w:after="0"/>
              <w:rPr>
                <w:sz w:val="15"/>
                <w:szCs w:val="15"/>
                <w:color w:val="auto"/>
              </w:rPr>
            </w:pPr>
          </w:p>
        </w:tc>
        <w:tc>
          <w:tcPr>
            <w:tcW w:w="820" w:type="dxa"/>
            <w:vAlign w:val="bottom"/>
          </w:tcPr>
          <w:p>
            <w:pPr>
              <w:jc w:val="right"/>
              <w:spacing w:after="0" w:line="176" w:lineRule="exact"/>
              <w:rPr>
                <w:sz w:val="20"/>
                <w:szCs w:val="20"/>
                <w:color w:val="auto"/>
              </w:rPr>
            </w:pPr>
            <w:r>
              <w:rPr>
                <w:rFonts w:ascii="Arial" w:cs="Arial" w:eastAsia="Arial" w:hAnsi="Arial"/>
                <w:sz w:val="16"/>
                <w:szCs w:val="16"/>
                <w:color w:val="auto"/>
              </w:rPr>
              <w:t>―</w:t>
            </w:r>
          </w:p>
        </w:tc>
        <w:tc>
          <w:tcPr>
            <w:tcW w:w="500" w:type="dxa"/>
            <w:vAlign w:val="bottom"/>
          </w:tcPr>
          <w:p>
            <w:pPr>
              <w:spacing w:after="0"/>
              <w:rPr>
                <w:sz w:val="15"/>
                <w:szCs w:val="15"/>
                <w:color w:val="auto"/>
              </w:rPr>
            </w:pPr>
          </w:p>
        </w:tc>
        <w:tc>
          <w:tcPr>
            <w:tcW w:w="840" w:type="dxa"/>
            <w:vAlign w:val="bottom"/>
          </w:tcPr>
          <w:p>
            <w:pPr>
              <w:jc w:val="right"/>
              <w:spacing w:after="0" w:line="176" w:lineRule="exact"/>
              <w:rPr>
                <w:sz w:val="20"/>
                <w:szCs w:val="20"/>
                <w:color w:val="auto"/>
              </w:rPr>
            </w:pPr>
            <w:r>
              <w:rPr>
                <w:rFonts w:ascii="Arial" w:cs="Arial" w:eastAsia="Arial" w:hAnsi="Arial"/>
                <w:sz w:val="16"/>
                <w:szCs w:val="16"/>
                <w:color w:val="auto"/>
              </w:rPr>
              <w:t>(47)</w:t>
            </w:r>
          </w:p>
        </w:tc>
      </w:tr>
      <w:tr>
        <w:trPr>
          <w:trHeight w:val="176"/>
        </w:trPr>
        <w:tc>
          <w:tcPr>
            <w:tcW w:w="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80" w:type="dxa"/>
            <w:vAlign w:val="bottom"/>
          </w:tcPr>
          <w:p>
            <w:pPr>
              <w:jc w:val="right"/>
              <w:spacing w:after="0" w:line="176" w:lineRule="exact"/>
              <w:rPr>
                <w:sz w:val="20"/>
                <w:szCs w:val="20"/>
                <w:color w:val="auto"/>
              </w:rPr>
            </w:pPr>
            <w:r>
              <w:rPr>
                <w:rFonts w:ascii="Arial" w:cs="Arial" w:eastAsia="Arial" w:hAnsi="Arial"/>
                <w:sz w:val="16"/>
                <w:szCs w:val="16"/>
                <w:color w:val="auto"/>
              </w:rPr>
              <w:t>(29)</w:t>
            </w:r>
          </w:p>
        </w:tc>
        <w:tc>
          <w:tcPr>
            <w:tcW w:w="600" w:type="dxa"/>
            <w:vAlign w:val="bottom"/>
          </w:tcPr>
          <w:p>
            <w:pPr>
              <w:spacing w:after="0"/>
              <w:rPr>
                <w:sz w:val="15"/>
                <w:szCs w:val="15"/>
                <w:color w:val="auto"/>
              </w:rPr>
            </w:pPr>
          </w:p>
        </w:tc>
        <w:tc>
          <w:tcPr>
            <w:tcW w:w="960" w:type="dxa"/>
            <w:vAlign w:val="bottom"/>
          </w:tcPr>
          <w:p>
            <w:pPr>
              <w:jc w:val="right"/>
              <w:spacing w:after="0" w:line="176" w:lineRule="exact"/>
              <w:rPr>
                <w:sz w:val="20"/>
                <w:szCs w:val="20"/>
                <w:color w:val="auto"/>
              </w:rPr>
            </w:pPr>
            <w:r>
              <w:rPr>
                <w:rFonts w:ascii="Arial" w:cs="Arial" w:eastAsia="Arial" w:hAnsi="Arial"/>
                <w:sz w:val="16"/>
                <w:szCs w:val="16"/>
                <w:color w:val="auto"/>
              </w:rPr>
              <w:t>(56)</w:t>
            </w:r>
          </w:p>
        </w:tc>
        <w:tc>
          <w:tcPr>
            <w:tcW w:w="700" w:type="dxa"/>
            <w:vAlign w:val="bottom"/>
          </w:tcPr>
          <w:p>
            <w:pPr>
              <w:spacing w:after="0"/>
              <w:rPr>
                <w:sz w:val="15"/>
                <w:szCs w:val="15"/>
                <w:color w:val="auto"/>
              </w:rPr>
            </w:pPr>
          </w:p>
        </w:tc>
        <w:tc>
          <w:tcPr>
            <w:tcW w:w="820" w:type="dxa"/>
            <w:vAlign w:val="bottom"/>
          </w:tcPr>
          <w:p>
            <w:pPr>
              <w:jc w:val="right"/>
              <w:spacing w:after="0" w:line="176" w:lineRule="exact"/>
              <w:rPr>
                <w:sz w:val="20"/>
                <w:szCs w:val="20"/>
                <w:color w:val="auto"/>
              </w:rPr>
            </w:pPr>
            <w:r>
              <w:rPr>
                <w:rFonts w:ascii="Arial" w:cs="Arial" w:eastAsia="Arial" w:hAnsi="Arial"/>
                <w:sz w:val="16"/>
                <w:szCs w:val="16"/>
                <w:color w:val="auto"/>
              </w:rPr>
              <w:t>―</w:t>
            </w:r>
          </w:p>
        </w:tc>
        <w:tc>
          <w:tcPr>
            <w:tcW w:w="500" w:type="dxa"/>
            <w:vAlign w:val="bottom"/>
          </w:tcPr>
          <w:p>
            <w:pPr>
              <w:spacing w:after="0"/>
              <w:rPr>
                <w:sz w:val="15"/>
                <w:szCs w:val="15"/>
                <w:color w:val="auto"/>
              </w:rPr>
            </w:pPr>
          </w:p>
        </w:tc>
        <w:tc>
          <w:tcPr>
            <w:tcW w:w="840" w:type="dxa"/>
            <w:vAlign w:val="bottom"/>
          </w:tcPr>
          <w:p>
            <w:pPr>
              <w:jc w:val="right"/>
              <w:spacing w:after="0" w:line="176" w:lineRule="exact"/>
              <w:rPr>
                <w:sz w:val="20"/>
                <w:szCs w:val="20"/>
                <w:color w:val="auto"/>
              </w:rPr>
            </w:pPr>
            <w:r>
              <w:rPr>
                <w:rFonts w:ascii="Arial" w:cs="Arial" w:eastAsia="Arial" w:hAnsi="Arial"/>
                <w:sz w:val="16"/>
                <w:szCs w:val="16"/>
                <w:color w:val="auto"/>
              </w:rPr>
              <w:t>(85)</w:t>
            </w:r>
          </w:p>
        </w:tc>
      </w:tr>
      <w:tr>
        <w:trPr>
          <w:trHeight w:val="176"/>
        </w:trPr>
        <w:tc>
          <w:tcPr>
            <w:tcW w:w="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80" w:type="dxa"/>
            <w:vAlign w:val="bottom"/>
          </w:tcPr>
          <w:p>
            <w:pPr>
              <w:jc w:val="right"/>
              <w:spacing w:after="0" w:line="176" w:lineRule="exact"/>
              <w:rPr>
                <w:sz w:val="20"/>
                <w:szCs w:val="20"/>
                <w:color w:val="auto"/>
              </w:rPr>
            </w:pPr>
            <w:r>
              <w:rPr>
                <w:rFonts w:ascii="Arial" w:cs="Arial" w:eastAsia="Arial" w:hAnsi="Arial"/>
                <w:sz w:val="16"/>
                <w:szCs w:val="16"/>
                <w:color w:val="auto"/>
              </w:rPr>
              <w:t>(294)</w:t>
            </w:r>
          </w:p>
        </w:tc>
        <w:tc>
          <w:tcPr>
            <w:tcW w:w="600" w:type="dxa"/>
            <w:vAlign w:val="bottom"/>
          </w:tcPr>
          <w:p>
            <w:pPr>
              <w:spacing w:after="0"/>
              <w:rPr>
                <w:sz w:val="15"/>
                <w:szCs w:val="15"/>
                <w:color w:val="auto"/>
              </w:rPr>
            </w:pPr>
          </w:p>
        </w:tc>
        <w:tc>
          <w:tcPr>
            <w:tcW w:w="960" w:type="dxa"/>
            <w:vAlign w:val="bottom"/>
          </w:tcPr>
          <w:p>
            <w:pPr>
              <w:jc w:val="right"/>
              <w:spacing w:after="0" w:line="176" w:lineRule="exact"/>
              <w:rPr>
                <w:sz w:val="20"/>
                <w:szCs w:val="20"/>
                <w:color w:val="auto"/>
              </w:rPr>
            </w:pPr>
            <w:r>
              <w:rPr>
                <w:rFonts w:ascii="Arial" w:cs="Arial" w:eastAsia="Arial" w:hAnsi="Arial"/>
                <w:sz w:val="16"/>
                <w:szCs w:val="16"/>
                <w:color w:val="auto"/>
              </w:rPr>
              <w:t>(179)</w:t>
            </w:r>
          </w:p>
        </w:tc>
        <w:tc>
          <w:tcPr>
            <w:tcW w:w="700" w:type="dxa"/>
            <w:vAlign w:val="bottom"/>
          </w:tcPr>
          <w:p>
            <w:pPr>
              <w:spacing w:after="0"/>
              <w:rPr>
                <w:sz w:val="15"/>
                <w:szCs w:val="15"/>
                <w:color w:val="auto"/>
              </w:rPr>
            </w:pPr>
          </w:p>
        </w:tc>
        <w:tc>
          <w:tcPr>
            <w:tcW w:w="820" w:type="dxa"/>
            <w:vAlign w:val="bottom"/>
          </w:tcPr>
          <w:p>
            <w:pPr>
              <w:jc w:val="right"/>
              <w:spacing w:after="0" w:line="176" w:lineRule="exact"/>
              <w:rPr>
                <w:sz w:val="20"/>
                <w:szCs w:val="20"/>
                <w:color w:val="auto"/>
              </w:rPr>
            </w:pPr>
            <w:r>
              <w:rPr>
                <w:rFonts w:ascii="Arial" w:cs="Arial" w:eastAsia="Arial" w:hAnsi="Arial"/>
                <w:sz w:val="16"/>
                <w:szCs w:val="16"/>
                <w:color w:val="auto"/>
              </w:rPr>
              <w:t>―</w:t>
            </w:r>
          </w:p>
        </w:tc>
        <w:tc>
          <w:tcPr>
            <w:tcW w:w="500" w:type="dxa"/>
            <w:vAlign w:val="bottom"/>
          </w:tcPr>
          <w:p>
            <w:pPr>
              <w:spacing w:after="0"/>
              <w:rPr>
                <w:sz w:val="15"/>
                <w:szCs w:val="15"/>
                <w:color w:val="auto"/>
              </w:rPr>
            </w:pPr>
          </w:p>
        </w:tc>
        <w:tc>
          <w:tcPr>
            <w:tcW w:w="840" w:type="dxa"/>
            <w:vAlign w:val="bottom"/>
          </w:tcPr>
          <w:p>
            <w:pPr>
              <w:jc w:val="right"/>
              <w:spacing w:after="0" w:line="176" w:lineRule="exact"/>
              <w:rPr>
                <w:sz w:val="20"/>
                <w:szCs w:val="20"/>
                <w:color w:val="auto"/>
              </w:rPr>
            </w:pPr>
            <w:r>
              <w:rPr>
                <w:rFonts w:ascii="Arial" w:cs="Arial" w:eastAsia="Arial" w:hAnsi="Arial"/>
                <w:sz w:val="16"/>
                <w:szCs w:val="16"/>
                <w:color w:val="auto"/>
              </w:rPr>
              <w:t>(473)</w:t>
            </w:r>
          </w:p>
        </w:tc>
      </w:tr>
      <w:tr>
        <w:trPr>
          <w:trHeight w:val="194"/>
        </w:trPr>
        <w:tc>
          <w:tcPr>
            <w:tcW w:w="20" w:type="dxa"/>
            <w:vAlign w:val="bottom"/>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(90)</w:t>
            </w:r>
          </w:p>
        </w:tc>
        <w:tc>
          <w:tcPr>
            <w:tcW w:w="6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(178)</w:t>
            </w:r>
          </w:p>
        </w:tc>
        <w:tc>
          <w:tcPr>
            <w:tcW w:w="7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5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(268)</w:t>
            </w:r>
          </w:p>
        </w:tc>
      </w:tr>
      <w:tr>
        <w:trPr>
          <w:trHeight w:val="183"/>
        </w:trPr>
        <w:tc>
          <w:tcPr>
            <w:tcW w:w="20" w:type="dxa"/>
            <w:vAlign w:val="bottom"/>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6"/>
                <w:szCs w:val="16"/>
                <w:color w:val="auto"/>
              </w:rPr>
              <w:t>526</w:t>
            </w:r>
          </w:p>
        </w:tc>
        <w:tc>
          <w:tcPr>
            <w:tcW w:w="6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6"/>
                <w:szCs w:val="16"/>
                <w:color w:val="auto"/>
              </w:rPr>
              <w:t>554</w:t>
            </w:r>
          </w:p>
        </w:tc>
        <w:tc>
          <w:tcPr>
            <w:tcW w:w="70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6"/>
                <w:szCs w:val="16"/>
                <w:color w:val="auto"/>
              </w:rPr>
              <w:t>10</w:t>
            </w:r>
          </w:p>
        </w:tc>
        <w:tc>
          <w:tcPr>
            <w:tcW w:w="50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6"/>
                <w:szCs w:val="16"/>
                <w:color w:val="auto"/>
              </w:rPr>
              <w:t>1,090</w:t>
            </w:r>
          </w:p>
        </w:tc>
      </w:tr>
      <w:tr>
        <w:trPr>
          <w:trHeight w:val="183"/>
        </w:trPr>
        <w:tc>
          <w:tcPr>
            <w:tcW w:w="2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jc w:val="right"/>
              <w:ind w:right="364"/>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6"/>
                <w:szCs w:val="16"/>
                <w:color w:val="auto"/>
              </w:rPr>
              <w:t>501</w:t>
            </w:r>
          </w:p>
        </w:tc>
        <w:tc>
          <w:tcPr>
            <w:tcW w:w="600" w:type="dxa"/>
            <w:vAlign w:val="bottom"/>
            <w:tcBorders>
              <w:bottom w:val="single" w:sz="8" w:color="auto"/>
            </w:tcBorders>
          </w:tcPr>
          <w:p>
            <w:pPr>
              <w:jc w:val="right"/>
              <w:ind w:right="419"/>
              <w:spacing w:after="0" w:line="176" w:lineRule="exact"/>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6"/>
                <w:szCs w:val="16"/>
                <w:color w:val="auto"/>
              </w:rPr>
              <w:t>458</w:t>
            </w:r>
          </w:p>
        </w:tc>
        <w:tc>
          <w:tcPr>
            <w:tcW w:w="700" w:type="dxa"/>
            <w:vAlign w:val="bottom"/>
            <w:tcBorders>
              <w:bottom w:val="single" w:sz="8" w:color="auto"/>
            </w:tcBorders>
          </w:tcPr>
          <w:p>
            <w:pPr>
              <w:jc w:val="right"/>
              <w:ind w:right="544"/>
              <w:spacing w:after="0"/>
              <w:rPr>
                <w:sz w:val="20"/>
                <w:szCs w:val="20"/>
                <w:color w:val="auto"/>
              </w:rPr>
            </w:pPr>
            <w:r>
              <w:rPr>
                <w:rFonts w:ascii="Arial" w:cs="Arial" w:eastAsia="Arial" w:hAnsi="Arial"/>
                <w:sz w:val="15"/>
                <w:szCs w:val="15"/>
                <w:color w:val="auto"/>
                <w:w w:val="71"/>
              </w:rPr>
              <w:t>$</w:t>
            </w:r>
          </w:p>
        </w:tc>
        <w:tc>
          <w:tcPr>
            <w:tcW w:w="1320" w:type="dxa"/>
            <w:vAlign w:val="bottom"/>
            <w:tcBorders>
              <w:bottom w:val="single" w:sz="8" w:color="auto"/>
            </w:tcBorders>
            <w:gridSpan w:val="2"/>
          </w:tcPr>
          <w:p>
            <w:pPr>
              <w:jc w:val="right"/>
              <w:ind w:right="299"/>
              <w:spacing w:after="0" w:line="176" w:lineRule="exact"/>
              <w:rPr>
                <w:sz w:val="20"/>
                <w:szCs w:val="20"/>
                <w:color w:val="auto"/>
              </w:rPr>
            </w:pPr>
            <w:r>
              <w:rPr>
                <w:rFonts w:ascii="Arial" w:cs="Arial" w:eastAsia="Arial" w:hAnsi="Arial"/>
                <w:sz w:val="16"/>
                <w:szCs w:val="16"/>
                <w:color w:val="auto"/>
              </w:rPr>
              <w:t>― $</w:t>
            </w:r>
          </w:p>
        </w:tc>
        <w:tc>
          <w:tcPr>
            <w:tcW w:w="84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6"/>
                <w:szCs w:val="16"/>
                <w:color w:val="auto"/>
              </w:rPr>
              <w:t>959</w:t>
            </w:r>
          </w:p>
        </w:tc>
      </w:tr>
      <w:tr>
        <w:trPr>
          <w:trHeight w:val="885"/>
        </w:trPr>
        <w:tc>
          <w:tcPr>
            <w:tcW w:w="540" w:type="dxa"/>
            <w:vAlign w:val="bottom"/>
            <w:gridSpan w:val="2"/>
          </w:tcPr>
          <w:p>
            <w:pPr>
              <w:jc w:val="right"/>
              <w:ind w:right="364"/>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1</w:t>
            </w:r>
          </w:p>
        </w:tc>
        <w:tc>
          <w:tcPr>
            <w:tcW w:w="600" w:type="dxa"/>
            <w:vAlign w:val="bottom"/>
          </w:tcPr>
          <w:p>
            <w:pPr>
              <w:jc w:val="right"/>
              <w:ind w:right="419"/>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1</w:t>
            </w:r>
          </w:p>
        </w:tc>
        <w:tc>
          <w:tcPr>
            <w:tcW w:w="700" w:type="dxa"/>
            <w:vAlign w:val="bottom"/>
          </w:tcPr>
          <w:p>
            <w:pPr>
              <w:jc w:val="right"/>
              <w:ind w:right="544"/>
              <w:spacing w:after="0"/>
              <w:rPr>
                <w:sz w:val="20"/>
                <w:szCs w:val="20"/>
                <w:color w:val="auto"/>
              </w:rPr>
            </w:pPr>
            <w:r>
              <w:rPr>
                <w:rFonts w:ascii="Arial" w:cs="Arial" w:eastAsia="Arial" w:hAnsi="Arial"/>
                <w:sz w:val="15"/>
                <w:szCs w:val="15"/>
                <w:color w:val="auto"/>
                <w:w w:val="71"/>
              </w:rPr>
              <w:t>$</w:t>
            </w:r>
          </w:p>
        </w:tc>
        <w:tc>
          <w:tcPr>
            <w:tcW w:w="1320" w:type="dxa"/>
            <w:vAlign w:val="bottom"/>
            <w:gridSpan w:val="2"/>
          </w:tcPr>
          <w:p>
            <w:pPr>
              <w:jc w:val="right"/>
              <w:ind w:right="299"/>
              <w:spacing w:after="0"/>
              <w:rPr>
                <w:sz w:val="20"/>
                <w:szCs w:val="20"/>
                <w:color w:val="auto"/>
              </w:rPr>
            </w:pPr>
            <w:r>
              <w:rPr>
                <w:rFonts w:ascii="Arial" w:cs="Arial" w:eastAsia="Arial" w:hAnsi="Arial"/>
                <w:sz w:val="16"/>
                <w:szCs w:val="16"/>
                <w:color w:val="auto"/>
              </w:rPr>
              <w:t>― $</w:t>
            </w:r>
          </w:p>
        </w:tc>
        <w:tc>
          <w:tcPr>
            <w:tcW w:w="840" w:type="dxa"/>
            <w:vAlign w:val="bottom"/>
          </w:tcPr>
          <w:p>
            <w:pPr>
              <w:jc w:val="right"/>
              <w:spacing w:after="0"/>
              <w:rPr>
                <w:sz w:val="20"/>
                <w:szCs w:val="20"/>
                <w:color w:val="auto"/>
              </w:rPr>
            </w:pPr>
            <w:r>
              <w:rPr>
                <w:rFonts w:ascii="Arial" w:cs="Arial" w:eastAsia="Arial" w:hAnsi="Arial"/>
                <w:sz w:val="16"/>
                <w:szCs w:val="16"/>
                <w:color w:val="auto"/>
              </w:rPr>
              <w:t>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-3537585</wp:posOffset>
            </wp:positionH>
            <wp:positionV relativeFrom="paragraph">
              <wp:posOffset>-3810</wp:posOffset>
            </wp:positionV>
            <wp:extent cx="72466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0" w:lineRule="exact"/>
        <w:rPr>
          <w:sz w:val="20"/>
          <w:szCs w:val="20"/>
          <w:color w:val="auto"/>
        </w:rPr>
      </w:pPr>
    </w:p>
    <w:p>
      <w:pPr>
        <w:sectPr>
          <w:pgSz w:w="11900" w:h="16838" w:orient="portrait"/>
          <w:cols w:equalWidth="0" w:num="2">
            <w:col w:w="4860" w:space="720"/>
            <w:col w:w="5840"/>
          </w:cols>
          <w:pgMar w:left="240" w:top="397" w:right="239" w:bottom="0" w:gutter="0" w:footer="0" w:header="0"/>
          <w:type w:val="continuous"/>
        </w:sectPr>
      </w:pPr>
    </w:p>
    <w:p>
      <w:pPr>
        <w:ind w:left="500" w:right="80" w:hanging="337"/>
        <w:spacing w:after="0" w:line="279" w:lineRule="auto"/>
        <w:tabs>
          <w:tab w:leader="none" w:pos="500" w:val="left"/>
        </w:tabs>
        <w:numPr>
          <w:ilvl w:val="0"/>
          <w:numId w:val="6"/>
        </w:numPr>
        <w:rPr>
          <w:rFonts w:ascii="Arial" w:cs="Arial" w:eastAsia="Arial" w:hAnsi="Arial"/>
          <w:sz w:val="14"/>
          <w:szCs w:val="14"/>
          <w:i w:val="1"/>
          <w:iCs w:val="1"/>
          <w:color w:val="auto"/>
        </w:rPr>
      </w:pPr>
      <w:r>
        <w:rPr>
          <w:rFonts w:ascii="Arial" w:cs="Arial" w:eastAsia="Arial" w:hAnsi="Arial"/>
          <w:sz w:val="14"/>
          <w:szCs w:val="14"/>
          <w:i w:val="1"/>
          <w:iCs w:val="1"/>
          <w:color w:val="auto"/>
        </w:rPr>
        <w:t>We expect acquired accounts receivable to be substantially realizable in cash. Accounts receivable are net of collection allowances of $6 million for Chile and $1 million for Peru.</w:t>
      </w:r>
    </w:p>
    <w:p>
      <w:pPr>
        <w:spacing w:after="0" w:line="188"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Our results for the three months and six months ended June 30, 2011 include a $277 million gain (both pretax and after-tax) related to the remeasurement of equity method investments, included as Remeasurement of Equity Method Investments on the Condensed Consolidated Statements of Operations. We calculated the gain as the difference between the acquisition-date fair value ($882 million) and the book value ($605 million) of our equity interests in Chilquinta Energía and Luz del Sur immediately prior to the acquisition date. This book value of our equity interests included currency translation adjustment balances in Accumulated Other Comprehensive Income (Loss). The valuation techniques we used to measure the acquisition-date fair value of the businesses included discounted cash flow analysis and the market multiple approach (enterprise value to earnings before interest, taxes, depreciation and amortization (EBITDA)). Our assumptions for these measures included estimated future cash flows, use of appropriate discount rates, market trading multiples and market transaction multiples. Discount rates used reflect consideration of risk free rates, as well as country and company risk. Methodologies used to determine fair values of material assets as of the date of the acquisition included</w:t>
      </w:r>
    </w:p>
    <w:p>
      <w:pPr>
        <w:spacing w:after="0" w:line="182" w:lineRule="exact"/>
        <w:rPr>
          <w:sz w:val="20"/>
          <w:szCs w:val="20"/>
          <w:color w:val="auto"/>
        </w:rPr>
      </w:pPr>
    </w:p>
    <w:p>
      <w:pPr>
        <w:ind w:left="340" w:hanging="188"/>
        <w:spacing w:after="0"/>
        <w:tabs>
          <w:tab w:leader="none" w:pos="34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replacement cost approach for property, plant and equipment; and</w:t>
      </w:r>
    </w:p>
    <w:p>
      <w:pPr>
        <w:spacing w:after="0" w:line="252" w:lineRule="exact"/>
        <w:rPr>
          <w:rFonts w:ascii="Arial" w:cs="Arial" w:eastAsia="Arial" w:hAnsi="Arial"/>
          <w:sz w:val="18"/>
          <w:szCs w:val="18"/>
          <w:color w:val="auto"/>
        </w:rPr>
      </w:pPr>
    </w:p>
    <w:p>
      <w:pPr>
        <w:ind w:left="340" w:right="20" w:hanging="188"/>
        <w:spacing w:after="0" w:line="277" w:lineRule="auto"/>
        <w:tabs>
          <w:tab w:leader="none" w:pos="340" w:val="left"/>
        </w:tabs>
        <w:numPr>
          <w:ilvl w:val="0"/>
          <w:numId w:val="7"/>
        </w:numPr>
        <w:rPr>
          <w:rFonts w:ascii="Arial" w:cs="Arial" w:eastAsia="Arial" w:hAnsi="Arial"/>
          <w:sz w:val="18"/>
          <w:szCs w:val="18"/>
          <w:color w:val="auto"/>
        </w:rPr>
      </w:pPr>
      <w:r>
        <w:rPr>
          <w:rFonts w:ascii="Arial" w:cs="Arial" w:eastAsia="Arial" w:hAnsi="Arial"/>
          <w:sz w:val="18"/>
          <w:szCs w:val="18"/>
          <w:color w:val="auto"/>
        </w:rPr>
        <w:t>goodwill associated primarily with the value of residual future cash flows that we believe these businesses will generate, to be tested for impairment annually. For income tax purposes, none of the goodwill recorded is deductible in Chile, Peru or the United States.</w:t>
      </w:r>
    </w:p>
    <w:p>
      <w:pPr>
        <w:spacing w:after="0" w:line="197" w:lineRule="exact"/>
        <w:rPr>
          <w:sz w:val="20"/>
          <w:szCs w:val="20"/>
          <w:color w:val="auto"/>
        </w:rPr>
      </w:pPr>
    </w:p>
    <w:p>
      <w:pPr>
        <w:ind w:right="100"/>
        <w:spacing w:after="0" w:line="342" w:lineRule="auto"/>
        <w:rPr>
          <w:sz w:val="20"/>
          <w:szCs w:val="20"/>
          <w:color w:val="auto"/>
        </w:rPr>
      </w:pPr>
      <w:r>
        <w:rPr>
          <w:rFonts w:ascii="Arial" w:cs="Arial" w:eastAsia="Arial" w:hAnsi="Arial"/>
          <w:sz w:val="16"/>
          <w:szCs w:val="16"/>
          <w:color w:val="auto"/>
        </w:rPr>
        <w:t>For substantially all other assets and liabilities, our analysis of fair value factors indicated that book value approximates fair value. We valued noncontrolling interests based on the fair value of tangible assets, and in the case of Luz del Sur, an allocation of goodwill based on relative enterprise value.</w:t>
      </w:r>
    </w:p>
    <w:p>
      <w:pPr>
        <w:spacing w:after="0" w:line="124" w:lineRule="exact"/>
        <w:rPr>
          <w:sz w:val="20"/>
          <w:szCs w:val="20"/>
          <w:color w:val="auto"/>
        </w:rPr>
      </w:pPr>
    </w:p>
    <w:p>
      <w:pPr>
        <w:ind w:right="260"/>
        <w:spacing w:after="0" w:line="264" w:lineRule="auto"/>
        <w:rPr>
          <w:sz w:val="20"/>
          <w:szCs w:val="20"/>
          <w:color w:val="auto"/>
        </w:rPr>
      </w:pPr>
      <w:r>
        <w:rPr>
          <w:rFonts w:ascii="Arial" w:cs="Arial" w:eastAsia="Arial" w:hAnsi="Arial"/>
          <w:sz w:val="18"/>
          <w:szCs w:val="18"/>
          <w:color w:val="auto"/>
        </w:rPr>
        <w:t>Our Condensed Consolidated Statements of Operations include 100 percent of the acquired companies' revenues, net income and earnings from the date of acquisition of $361 million, $48 million and $40 million, respectively, for the three months and six months ended June 30, 2011. These amounts do not include the remeasurement gain.</w:t>
      </w:r>
    </w:p>
    <w:p>
      <w:pPr>
        <w:spacing w:after="0" w:line="181" w:lineRule="exact"/>
        <w:rPr>
          <w:sz w:val="20"/>
          <w:szCs w:val="20"/>
          <w:color w:val="auto"/>
        </w:rPr>
      </w:pPr>
    </w:p>
    <w:p>
      <w:pPr>
        <w:ind w:right="180"/>
        <w:spacing w:after="0" w:line="279" w:lineRule="auto"/>
        <w:rPr>
          <w:sz w:val="20"/>
          <w:szCs w:val="20"/>
          <w:color w:val="auto"/>
        </w:rPr>
      </w:pPr>
      <w:r>
        <w:rPr>
          <w:rFonts w:ascii="Arial" w:cs="Arial" w:eastAsia="Arial" w:hAnsi="Arial"/>
          <w:sz w:val="17"/>
          <w:szCs w:val="17"/>
          <w:color w:val="auto"/>
        </w:rPr>
        <w:t>Following are pro forma revenues and earnings for Sempra Energy had the acquisition occurred on January 1, 2010, which primarily reflect the incremental increase to revenues and earnings from our increased ownership and consolidation of the entities acquired. Although some short-term debt borrowings may have resulted from the actual acquisition in 2011, we have not assumed any additional interest expense in the pro forma impact on earnings below, as the amounts would be immaterial due to the low interest rates available to us on commercial paper.</w:t>
      </w:r>
    </w:p>
    <w:p>
      <w:pPr>
        <w:spacing w:after="0" w:line="200" w:lineRule="exact"/>
        <w:rPr>
          <w:sz w:val="20"/>
          <w:szCs w:val="20"/>
          <w:color w:val="auto"/>
        </w:rPr>
      </w:pP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5220" w:type="dxa"/>
            <w:vAlign w:val="bottom"/>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2720" w:type="dxa"/>
            <w:vAlign w:val="bottom"/>
            <w:tcBorders>
              <w:bottom w:val="single" w:sz="8" w:color="auto"/>
            </w:tcBorders>
            <w:gridSpan w:val="3"/>
          </w:tcPr>
          <w:p>
            <w:pPr>
              <w:jc w:val="right"/>
              <w:ind w:right="562"/>
              <w:spacing w:after="0"/>
              <w:rPr>
                <w:sz w:val="20"/>
                <w:szCs w:val="20"/>
                <w:color w:val="auto"/>
              </w:rPr>
            </w:pPr>
            <w:r>
              <w:rPr>
                <w:rFonts w:ascii="Arial" w:cs="Arial" w:eastAsia="Arial" w:hAnsi="Arial"/>
                <w:sz w:val="14"/>
                <w:szCs w:val="14"/>
                <w:color w:val="auto"/>
              </w:rPr>
              <w:t>Three months ended June 30,</w:t>
            </w:r>
          </w:p>
        </w:tc>
        <w:tc>
          <w:tcPr>
            <w:tcW w:w="380" w:type="dxa"/>
            <w:vAlign w:val="bottom"/>
            <w:tcBorders>
              <w:bottom w:val="single" w:sz="8" w:color="auto"/>
            </w:tcBorders>
          </w:tcPr>
          <w:p>
            <w:pPr>
              <w:spacing w:after="0"/>
              <w:rPr>
                <w:sz w:val="14"/>
                <w:szCs w:val="14"/>
                <w:color w:val="auto"/>
              </w:rPr>
            </w:pPr>
          </w:p>
        </w:tc>
        <w:tc>
          <w:tcPr>
            <w:tcW w:w="2680" w:type="dxa"/>
            <w:vAlign w:val="bottom"/>
            <w:tcBorders>
              <w:bottom w:val="single" w:sz="8" w:color="auto"/>
            </w:tcBorders>
            <w:gridSpan w:val="3"/>
          </w:tcPr>
          <w:p>
            <w:pPr>
              <w:jc w:val="right"/>
              <w:ind w:right="602"/>
              <w:spacing w:after="0"/>
              <w:rPr>
                <w:sz w:val="20"/>
                <w:szCs w:val="20"/>
                <w:color w:val="auto"/>
              </w:rPr>
            </w:pPr>
            <w:r>
              <w:rPr>
                <w:rFonts w:ascii="Arial" w:cs="Arial" w:eastAsia="Arial" w:hAnsi="Arial"/>
                <w:sz w:val="14"/>
                <w:szCs w:val="14"/>
                <w:color w:val="auto"/>
              </w:rPr>
              <w:t>Six months ended June 30,</w:t>
            </w:r>
          </w:p>
        </w:tc>
      </w:tr>
      <w:tr>
        <w:trPr>
          <w:trHeight w:val="169"/>
        </w:trPr>
        <w:tc>
          <w:tcPr>
            <w:tcW w:w="5220" w:type="dxa"/>
            <w:vAlign w:val="bottom"/>
            <w:tcBorders>
              <w:bottom w:val="single" w:sz="8" w:color="auto"/>
            </w:tcBorders>
          </w:tcPr>
          <w:p>
            <w:pPr>
              <w:spacing w:after="0"/>
              <w:rPr>
                <w:sz w:val="20"/>
                <w:szCs w:val="20"/>
                <w:color w:val="auto"/>
              </w:rPr>
            </w:pPr>
            <w:r>
              <w:rPr>
                <w:rFonts w:ascii="Arial" w:cs="Arial" w:eastAsia="Arial" w:hAnsi="Arial"/>
                <w:sz w:val="14"/>
                <w:szCs w:val="14"/>
                <w:i w:val="1"/>
                <w:iCs w:val="1"/>
                <w:color w:val="auto"/>
              </w:rPr>
              <w:t>(Dollars in millions)</w:t>
            </w:r>
          </w:p>
        </w:tc>
        <w:tc>
          <w:tcPr>
            <w:tcW w:w="42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603"/>
              <w:spacing w:after="0"/>
              <w:rPr>
                <w:sz w:val="20"/>
                <w:szCs w:val="20"/>
                <w:color w:val="auto"/>
              </w:rPr>
            </w:pPr>
            <w:r>
              <w:rPr>
                <w:rFonts w:ascii="Arial" w:cs="Arial" w:eastAsia="Arial" w:hAnsi="Arial"/>
                <w:sz w:val="14"/>
                <w:szCs w:val="14"/>
                <w:color w:val="auto"/>
              </w:rPr>
              <w:t>2011</w:t>
            </w:r>
          </w:p>
        </w:tc>
        <w:tc>
          <w:tcPr>
            <w:tcW w:w="38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602"/>
              <w:spacing w:after="0"/>
              <w:rPr>
                <w:sz w:val="20"/>
                <w:szCs w:val="20"/>
                <w:color w:val="auto"/>
              </w:rPr>
            </w:pPr>
            <w:r>
              <w:rPr>
                <w:rFonts w:ascii="Arial" w:cs="Arial" w:eastAsia="Arial" w:hAnsi="Arial"/>
                <w:sz w:val="14"/>
                <w:szCs w:val="14"/>
                <w:color w:val="auto"/>
              </w:rPr>
              <w:t>2010</w:t>
            </w:r>
          </w:p>
        </w:tc>
        <w:tc>
          <w:tcPr>
            <w:tcW w:w="38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623"/>
              <w:spacing w:after="0"/>
              <w:rPr>
                <w:sz w:val="20"/>
                <w:szCs w:val="20"/>
                <w:color w:val="auto"/>
              </w:rPr>
            </w:pPr>
            <w:r>
              <w:rPr>
                <w:rFonts w:ascii="Arial" w:cs="Arial" w:eastAsia="Arial" w:hAnsi="Arial"/>
                <w:sz w:val="14"/>
                <w:szCs w:val="14"/>
                <w:color w:val="auto"/>
              </w:rPr>
              <w:t>2011</w:t>
            </w:r>
          </w:p>
        </w:tc>
        <w:tc>
          <w:tcPr>
            <w:tcW w:w="38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562"/>
              <w:spacing w:after="0"/>
              <w:rPr>
                <w:sz w:val="20"/>
                <w:szCs w:val="20"/>
                <w:color w:val="auto"/>
              </w:rPr>
            </w:pPr>
            <w:r>
              <w:rPr>
                <w:rFonts w:ascii="Arial" w:cs="Arial" w:eastAsia="Arial" w:hAnsi="Arial"/>
                <w:sz w:val="14"/>
                <w:szCs w:val="14"/>
                <w:color w:val="auto"/>
              </w:rPr>
              <w:t>2010</w:t>
            </w:r>
          </w:p>
        </w:tc>
      </w:tr>
      <w:tr>
        <w:trPr>
          <w:trHeight w:val="345"/>
        </w:trPr>
        <w:tc>
          <w:tcPr>
            <w:tcW w:w="5220" w:type="dxa"/>
            <w:vAlign w:val="bottom"/>
          </w:tcPr>
          <w:p>
            <w:pPr>
              <w:spacing w:after="0"/>
              <w:rPr>
                <w:sz w:val="20"/>
                <w:szCs w:val="20"/>
                <w:color w:val="auto"/>
              </w:rPr>
            </w:pPr>
            <w:r>
              <w:rPr>
                <w:rFonts w:ascii="Arial" w:cs="Arial" w:eastAsia="Arial" w:hAnsi="Arial"/>
                <w:sz w:val="16"/>
                <w:szCs w:val="16"/>
                <w:color w:val="auto"/>
              </w:rPr>
              <w:t>Revenues</w:t>
            </w:r>
          </w:p>
        </w:tc>
        <w:tc>
          <w:tcPr>
            <w:tcW w:w="42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180" w:type="dxa"/>
            <w:vAlign w:val="bottom"/>
          </w:tcPr>
          <w:p>
            <w:pPr>
              <w:jc w:val="right"/>
              <w:ind w:right="23"/>
              <w:spacing w:after="0"/>
              <w:rPr>
                <w:sz w:val="20"/>
                <w:szCs w:val="20"/>
                <w:color w:val="auto"/>
              </w:rPr>
            </w:pPr>
            <w:r>
              <w:rPr>
                <w:rFonts w:ascii="Arial" w:cs="Arial" w:eastAsia="Arial" w:hAnsi="Arial"/>
                <w:sz w:val="16"/>
                <w:szCs w:val="16"/>
                <w:color w:val="auto"/>
              </w:rPr>
              <w:t>2,422</w:t>
            </w:r>
          </w:p>
        </w:tc>
        <w:tc>
          <w:tcPr>
            <w:tcW w:w="3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22"/>
              <w:spacing w:after="0"/>
              <w:rPr>
                <w:sz w:val="20"/>
                <w:szCs w:val="20"/>
                <w:color w:val="auto"/>
              </w:rPr>
            </w:pPr>
            <w:r>
              <w:rPr>
                <w:rFonts w:ascii="Arial" w:cs="Arial" w:eastAsia="Arial" w:hAnsi="Arial"/>
                <w:sz w:val="16"/>
                <w:szCs w:val="16"/>
                <w:color w:val="auto"/>
              </w:rPr>
              <w:t>2,353</w:t>
            </w:r>
          </w:p>
        </w:tc>
        <w:tc>
          <w:tcPr>
            <w:tcW w:w="3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180" w:type="dxa"/>
            <w:vAlign w:val="bottom"/>
          </w:tcPr>
          <w:p>
            <w:pPr>
              <w:jc w:val="right"/>
              <w:ind w:right="43"/>
              <w:spacing w:after="0"/>
              <w:rPr>
                <w:sz w:val="20"/>
                <w:szCs w:val="20"/>
                <w:color w:val="auto"/>
              </w:rPr>
            </w:pPr>
            <w:r>
              <w:rPr>
                <w:rFonts w:ascii="Arial" w:cs="Arial" w:eastAsia="Arial" w:hAnsi="Arial"/>
                <w:sz w:val="16"/>
                <w:szCs w:val="16"/>
                <w:color w:val="auto"/>
              </w:rPr>
              <w:t>5,199</w:t>
            </w:r>
          </w:p>
        </w:tc>
        <w:tc>
          <w:tcPr>
            <w:tcW w:w="38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5,163</w:t>
            </w:r>
          </w:p>
        </w:tc>
      </w:tr>
      <w:tr>
        <w:trPr>
          <w:trHeight w:val="351"/>
        </w:trPr>
        <w:tc>
          <w:tcPr>
            <w:tcW w:w="5220" w:type="dxa"/>
            <w:vAlign w:val="bottom"/>
          </w:tcPr>
          <w:p>
            <w:pPr>
              <w:spacing w:after="0"/>
              <w:rPr>
                <w:sz w:val="20"/>
                <w:szCs w:val="20"/>
                <w:color w:val="auto"/>
              </w:rPr>
            </w:pPr>
            <w:r>
              <w:rPr>
                <w:rFonts w:ascii="Arial" w:cs="Arial" w:eastAsia="Arial" w:hAnsi="Arial"/>
                <w:sz w:val="16"/>
                <w:szCs w:val="16"/>
                <w:color w:val="auto"/>
              </w:rPr>
              <w:t>Earnings(1)</w:t>
            </w:r>
          </w:p>
        </w:tc>
        <w:tc>
          <w:tcPr>
            <w:tcW w:w="420" w:type="dxa"/>
            <w:vAlign w:val="bottom"/>
          </w:tcPr>
          <w:p>
            <w:pPr>
              <w:spacing w:after="0"/>
              <w:rPr>
                <w:sz w:val="24"/>
                <w:szCs w:val="24"/>
                <w:color w:val="auto"/>
              </w:rPr>
            </w:pPr>
          </w:p>
        </w:tc>
        <w:tc>
          <w:tcPr>
            <w:tcW w:w="1180" w:type="dxa"/>
            <w:vAlign w:val="bottom"/>
          </w:tcPr>
          <w:p>
            <w:pPr>
              <w:jc w:val="right"/>
              <w:ind w:right="23"/>
              <w:spacing w:after="0"/>
              <w:rPr>
                <w:sz w:val="20"/>
                <w:szCs w:val="20"/>
                <w:color w:val="auto"/>
              </w:rPr>
            </w:pPr>
            <w:r>
              <w:rPr>
                <w:rFonts w:ascii="Arial" w:cs="Arial" w:eastAsia="Arial" w:hAnsi="Arial"/>
                <w:sz w:val="16"/>
                <w:szCs w:val="16"/>
                <w:color w:val="auto"/>
              </w:rPr>
              <w:t>234</w:t>
            </w:r>
          </w:p>
        </w:tc>
        <w:tc>
          <w:tcPr>
            <w:tcW w:w="380" w:type="dxa"/>
            <w:vAlign w:val="bottom"/>
          </w:tcPr>
          <w:p>
            <w:pPr>
              <w:spacing w:after="0"/>
              <w:rPr>
                <w:sz w:val="24"/>
                <w:szCs w:val="24"/>
                <w:color w:val="auto"/>
              </w:rPr>
            </w:pPr>
          </w:p>
        </w:tc>
        <w:tc>
          <w:tcPr>
            <w:tcW w:w="1160" w:type="dxa"/>
            <w:vAlign w:val="bottom"/>
          </w:tcPr>
          <w:p>
            <w:pPr>
              <w:jc w:val="right"/>
              <w:ind w:right="22"/>
              <w:spacing w:after="0"/>
              <w:rPr>
                <w:sz w:val="20"/>
                <w:szCs w:val="20"/>
                <w:color w:val="auto"/>
              </w:rPr>
            </w:pPr>
            <w:r>
              <w:rPr>
                <w:rFonts w:ascii="Arial" w:cs="Arial" w:eastAsia="Arial" w:hAnsi="Arial"/>
                <w:sz w:val="16"/>
                <w:szCs w:val="16"/>
                <w:color w:val="auto"/>
              </w:rPr>
              <w:t>245</w:t>
            </w:r>
          </w:p>
        </w:tc>
        <w:tc>
          <w:tcPr>
            <w:tcW w:w="380" w:type="dxa"/>
            <w:vAlign w:val="bottom"/>
          </w:tcPr>
          <w:p>
            <w:pPr>
              <w:spacing w:after="0"/>
              <w:rPr>
                <w:sz w:val="24"/>
                <w:szCs w:val="24"/>
                <w:color w:val="auto"/>
              </w:rPr>
            </w:pPr>
          </w:p>
        </w:tc>
        <w:tc>
          <w:tcPr>
            <w:tcW w:w="1180" w:type="dxa"/>
            <w:vAlign w:val="bottom"/>
          </w:tcPr>
          <w:p>
            <w:pPr>
              <w:jc w:val="right"/>
              <w:ind w:right="43"/>
              <w:spacing w:after="0"/>
              <w:rPr>
                <w:sz w:val="20"/>
                <w:szCs w:val="20"/>
                <w:color w:val="auto"/>
              </w:rPr>
            </w:pPr>
            <w:r>
              <w:rPr>
                <w:rFonts w:ascii="Arial" w:cs="Arial" w:eastAsia="Arial" w:hAnsi="Arial"/>
                <w:sz w:val="16"/>
                <w:szCs w:val="16"/>
                <w:color w:val="auto"/>
              </w:rPr>
              <w:t>517</w:t>
            </w:r>
          </w:p>
        </w:tc>
        <w:tc>
          <w:tcPr>
            <w:tcW w:w="38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647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wp:posOffset>
            </wp:positionV>
            <wp:extent cx="72466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ind w:left="560" w:hanging="363"/>
        <w:spacing w:after="0"/>
        <w:tabs>
          <w:tab w:leader="none" w:pos="560" w:val="left"/>
        </w:tabs>
        <w:numPr>
          <w:ilvl w:val="0"/>
          <w:numId w:val="8"/>
        </w:numPr>
        <w:rPr>
          <w:rFonts w:ascii="Arial" w:cs="Arial" w:eastAsia="Arial" w:hAnsi="Arial"/>
          <w:sz w:val="14"/>
          <w:szCs w:val="14"/>
          <w:i w:val="1"/>
          <w:iCs w:val="1"/>
          <w:color w:val="auto"/>
        </w:rPr>
      </w:pPr>
      <w:r>
        <w:rPr>
          <w:rFonts w:ascii="Arial" w:cs="Arial" w:eastAsia="Arial" w:hAnsi="Arial"/>
          <w:sz w:val="14"/>
          <w:szCs w:val="14"/>
          <w:i w:val="1"/>
          <w:iCs w:val="1"/>
          <w:color w:val="auto"/>
        </w:rPr>
        <w:t>Pro forma earnings in the six months ended June 30, 2010 include a $277 million gain on this transaction related to the remeasurement of equity method investments.</w:t>
      </w:r>
    </w:p>
    <w:p>
      <w:pPr>
        <w:spacing w:after="0" w:line="172"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Chilquinta Energía is an electric distribution utility serving customers in the cities of Valparaiso and Viña del Mar in central Chile. Luz del Sur is an electric distribution utility in the southern zone of metropolitan Lima, Peru. The companies serve primarily regulated customers, and their revenues are based on tariffs that are set by the National Energy Commission (Comisión Nacional de Energía, or CNE) in Chile and the Energy and Mining Investment Supervisory Body (OSINERGMIN) of the National Electricity Office under the Ministry of Energy and Mines in Peru.</w:t>
      </w:r>
    </w:p>
    <w:p>
      <w:pPr>
        <w:spacing w:after="0" w:line="171"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The tariffs charged are based on an efficient model distribution company defined by Chilean law in the case of Chilquinta Energía, and OSINERGMIN in the case of Luz del Sur. The tariffs include operation and maintenance costs, an internal rate of return on the new replacement value (VNR) of depreciable assets, charges for the use of transmission systems, and a component for the value added by the distributor. Tariffs are designed to provide for a pass-through to customers of the main noncontrollable cost items (mainly power purchases and transmission charges), recovery of reasonable operating and administrative costs, incentives to reduce costs and make needed capital investments and a regulated rate of return on the distributor’s regulated asset base. Because the tariffs are based on a model and are intended to cover the costs of the model company, but are not based on the costs of the specific utility and may not result in full cost recovery, they do not meet the requirement necessary for treatment under applicable GAAP for regulatory accounting.</w:t>
      </w:r>
    </w:p>
    <w:p>
      <w:pPr>
        <w:sectPr>
          <w:pgSz w:w="11900" w:h="16838" w:orient="portrait"/>
          <w:cols w:equalWidth="0" w:num="1">
            <w:col w:w="11420"/>
          </w:cols>
          <w:pgMar w:left="240" w:top="397" w:right="239" w:bottom="0" w:gutter="0" w:footer="0" w:header="0"/>
          <w:type w:val="continuous"/>
        </w:sectPr>
      </w:pPr>
    </w:p>
    <w:bookmarkStart w:id="23" w:name="page24"/>
    <w:bookmarkEnd w:id="23"/>
    <w:p>
      <w:pPr>
        <w:ind w:right="500"/>
        <w:spacing w:after="0" w:line="277" w:lineRule="auto"/>
        <w:rPr>
          <w:sz w:val="20"/>
          <w:szCs w:val="20"/>
          <w:color w:val="auto"/>
        </w:rPr>
      </w:pPr>
      <w:r>
        <w:rPr>
          <w:rFonts w:ascii="Arial" w:cs="Arial" w:eastAsia="Arial" w:hAnsi="Arial"/>
          <w:sz w:val="18"/>
          <w:szCs w:val="18"/>
          <w:color w:val="auto"/>
        </w:rPr>
        <w:t>The components of the tariffs discussed above are reviewed and adjusted every four years. The next reviews for Chilquinta Energía and Luz del Sur are scheduled to be completed, with tariff adjustments also going into effect, in November 2012 and 2013, respectively.</w:t>
      </w:r>
    </w:p>
    <w:p>
      <w:pPr>
        <w:spacing w:after="0" w:line="170" w:lineRule="exact"/>
        <w:rPr>
          <w:sz w:val="20"/>
          <w:szCs w:val="20"/>
          <w:color w:val="auto"/>
        </w:rPr>
      </w:pPr>
    </w:p>
    <w:p>
      <w:pPr>
        <w:ind w:right="440"/>
        <w:spacing w:after="0" w:line="342" w:lineRule="auto"/>
        <w:rPr>
          <w:sz w:val="20"/>
          <w:szCs w:val="20"/>
          <w:color w:val="auto"/>
        </w:rPr>
      </w:pPr>
      <w:r>
        <w:rPr>
          <w:rFonts w:ascii="Arial" w:cs="Arial" w:eastAsia="Arial" w:hAnsi="Arial"/>
          <w:sz w:val="16"/>
          <w:szCs w:val="16"/>
          <w:color w:val="auto"/>
        </w:rPr>
        <w:t>The companies use their local currency, the Chilean Peso or the Peruvian Nuevo Sol, as their functional currency. We discuss the conversion of financial statements using a foreign currency as the functional currency in Note 1 of the Notes to Consolidated Financial Statements in the Annual Report.</w:t>
      </w:r>
    </w:p>
    <w:p>
      <w:pPr>
        <w:spacing w:after="0" w:line="337"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Mexican Pipeline and Natural Gas Infrastructure Assets</w:t>
      </w:r>
    </w:p>
    <w:p>
      <w:pPr>
        <w:spacing w:after="0" w:line="205"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On April 30, 2010, Sempra Pipelines &amp; Storage completed the acquisition of the Mexican pipeline and natural gas infrastructure assets of El Paso Corporation for $307 million ($292 million, net of cash acquired), as we discuss in Note 3 of the Notes to Consolidated Financial Statements in the Annual Report. Pro forma impacts on revenues and earnings for Sempra Energy had the acquisition occurred on January 1, 2010 were immaterial.</w:t>
      </w:r>
    </w:p>
    <w:p>
      <w:pPr>
        <w:spacing w:after="0" w:line="379"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Rockies Express</w:t>
      </w:r>
    </w:p>
    <w:p>
      <w:pPr>
        <w:spacing w:after="0" w:line="205"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color w:val="auto"/>
        </w:rPr>
        <w:t>In the six months ended June 30, 2010, Sempra Pipelines &amp; Storage contributed $65 million to Rockies Express, a joint venture to own and operate the Rockies Express Pipeline. The contribution was the last required for the construction phase of the project.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186055</wp:posOffset>
            </wp:positionV>
            <wp:extent cx="7263765"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20"/>
          <w:szCs w:val="20"/>
          <w:color w:val="auto"/>
        </w:rPr>
        <w:t>NOTE 4. INVESTMENTS IN UNCONSOLIDATED ENTITIES</w:t>
      </w:r>
    </w:p>
    <w:p>
      <w:pPr>
        <w:spacing w:after="0" w:line="191" w:lineRule="exact"/>
        <w:rPr>
          <w:sz w:val="20"/>
          <w:szCs w:val="20"/>
          <w:color w:val="auto"/>
        </w:rPr>
      </w:pPr>
    </w:p>
    <w:p>
      <w:pPr>
        <w:jc w:val="both"/>
        <w:ind w:right="100"/>
        <w:spacing w:after="0" w:line="264" w:lineRule="auto"/>
        <w:rPr>
          <w:sz w:val="20"/>
          <w:szCs w:val="20"/>
          <w:color w:val="auto"/>
        </w:rPr>
      </w:pPr>
      <w:r>
        <w:rPr>
          <w:rFonts w:ascii="Arial" w:cs="Arial" w:eastAsia="Arial" w:hAnsi="Arial"/>
          <w:sz w:val="18"/>
          <w:szCs w:val="18"/>
          <w:color w:val="auto"/>
        </w:rPr>
        <w:t>As we discuss in Note 3, Sempra Pipelines &amp; Storage’s interests in Chile and Peru are no longer recorded as equity method investments, but are consolidated effective April 6, 2011. We provide additional information concerning all of our equity method investments in Note 4 of the Notes to Consolidated Financial Statements in the Annual Report.</w:t>
      </w:r>
    </w:p>
    <w:p>
      <w:pPr>
        <w:spacing w:after="0" w:line="3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RBS SEMPRA COMMODITIES</w:t>
      </w:r>
    </w:p>
    <w:p>
      <w:pPr>
        <w:spacing w:after="0" w:line="234"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RBS Sempra Commodities LLP (RBS Sempra Commodities) is a United Kingdom limited liability partnership that owned and operated commodities-marketing businesses. We account for our investment in RBS Sempra Commodities under the equity method, and report our share of partnership earnings in Parent and Other.</w:t>
      </w:r>
    </w:p>
    <w:p>
      <w:pPr>
        <w:spacing w:after="0" w:line="181" w:lineRule="exact"/>
        <w:rPr>
          <w:sz w:val="20"/>
          <w:szCs w:val="20"/>
          <w:color w:val="auto"/>
        </w:rPr>
      </w:pPr>
    </w:p>
    <w:p>
      <w:pPr>
        <w:ind w:right="240"/>
        <w:spacing w:after="0" w:line="264" w:lineRule="auto"/>
        <w:rPr>
          <w:sz w:val="20"/>
          <w:szCs w:val="20"/>
          <w:color w:val="auto"/>
        </w:rPr>
      </w:pPr>
      <w:r>
        <w:rPr>
          <w:rFonts w:ascii="Arial" w:cs="Arial" w:eastAsia="Arial" w:hAnsi="Arial"/>
          <w:sz w:val="18"/>
          <w:szCs w:val="18"/>
          <w:color w:val="auto"/>
        </w:rPr>
        <w:t>We and our partner in the joint venture, The Royal Bank of Scotland (RBS), sold substantially all of the partnership’s businesses and assets in four separate transactions completed in July, November and December of 2010 and February of 2011. We expect our share of remaining proceeds to approximate $439 million, the amount of our investment in RBS Sempra Commodities as of June 30, 2011.</w:t>
      </w:r>
    </w:p>
    <w:p>
      <w:pPr>
        <w:spacing w:after="0" w:line="181" w:lineRule="exact"/>
        <w:rPr>
          <w:sz w:val="20"/>
          <w:szCs w:val="20"/>
          <w:color w:val="auto"/>
        </w:rPr>
      </w:pPr>
    </w:p>
    <w:p>
      <w:pPr>
        <w:ind w:right="40"/>
        <w:spacing w:after="0" w:line="287" w:lineRule="auto"/>
        <w:rPr>
          <w:sz w:val="20"/>
          <w:szCs w:val="20"/>
          <w:color w:val="auto"/>
        </w:rPr>
      </w:pPr>
      <w:r>
        <w:rPr>
          <w:rFonts w:ascii="Arial" w:cs="Arial" w:eastAsia="Arial" w:hAnsi="Arial"/>
          <w:sz w:val="16"/>
          <w:szCs w:val="16"/>
          <w:color w:val="auto"/>
        </w:rPr>
        <w:t>On April 15, 2011, we and RBS entered into a letter agreement (Letter Agreement) which amended certain provisions of the agreements that formed RBS Sempra Commodities. The Letter Agreement addresses the wind-down of the partnership and the distribution of the partnership’s remaining assets. In accordance with the Letter Agreement, we received a $329 million distribution on April 15, 2011. This distribution included sales proceeds and our portion of 2010 distributable income totaling $357 million, less amounts to settle certain liabilities that we owed to RBS of $28 million. The Letter Agreement affirms that RBS Sempra Commodities will consider additional distributions of capital after taking into account various factors including available cash, the need for prudent reserves, potential payouts to the purchasers of the partnership’s businesses, and any accrued or projected future operating losses or other wind-down expenses of the partnership. The availability of cash is also impacted by the transfer of trading accounts to JP Morgan, one of the buyers in the sales transactions. These transfers and the related collection of accounts receivable and net margin continue as planned, and will be done as promptly as practicable during 2011. Future distributions will generally be made 51 percent to RBS, and 49 percent to us. The Letter Agreement also allows RBS Sempra Commodities to make capital calls to us, subject to certain limits, if necessary to support the remaining operations, for other liabilities or for other payments owed in connection with the sales transactions (subject to additional limitations). We do not anticipate any such capital calls.</w:t>
      </w:r>
    </w:p>
    <w:p>
      <w:pPr>
        <w:spacing w:after="0" w:line="173"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In connection with the Letter Agreement described above, we also released RBS from its indemnification obligations with respect to the items for which JP Morgan has agreed to indemnify us.</w:t>
      </w:r>
    </w:p>
    <w:p>
      <w:pPr>
        <w:spacing w:after="0" w:line="170"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For the six months ended June 30, 2011, we recorded a pretax equity loss from RBS Sempra Commodities of $8 million, all of which was recorded in the first quarter of 2011. Pretax equity losses from RBS Sempra Commodities were $16 million and $9 million for the three months and six months ended June 30, 2010, respectively.</w:t>
      </w:r>
    </w:p>
    <w:p>
      <w:pPr>
        <w:spacing w:after="0" w:line="181"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We discuss the RBS Sempra Commodities sales transactions and other matters concerning the partnership in Note 4 of the Notes to Consolidated Financial Statements in the Annual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186055</wp:posOffset>
            </wp:positionV>
            <wp:extent cx="7263765"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20"/>
          <w:szCs w:val="20"/>
          <w:color w:val="auto"/>
        </w:rPr>
        <w:t>NOTE 5. OTHER FINANCIAL DATA</w:t>
      </w: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VARIABLE INTEREST ENTITIES (VIE)</w:t>
      </w:r>
    </w:p>
    <w:p>
      <w:pPr>
        <w:spacing w:after="0" w:line="234"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We consolidate a VIE if we are the primary beneficiary of the VIE. Our determination of whether we are the primary beneficiary is based upon qualitative and quantitative analyses, which assess</w:t>
      </w:r>
    </w:p>
    <w:p>
      <w:pPr>
        <w:spacing w:after="0" w:line="170" w:lineRule="exact"/>
        <w:rPr>
          <w:sz w:val="20"/>
          <w:szCs w:val="20"/>
          <w:color w:val="auto"/>
        </w:rPr>
      </w:pPr>
    </w:p>
    <w:p>
      <w:pPr>
        <w:ind w:left="340" w:hanging="188"/>
        <w:spacing w:after="0"/>
        <w:tabs>
          <w:tab w:leader="none" w:pos="34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purpose and design of the VIE;</w:t>
      </w:r>
    </w:p>
    <w:p>
      <w:pPr>
        <w:spacing w:after="0" w:line="252" w:lineRule="exact"/>
        <w:rPr>
          <w:rFonts w:ascii="Arial" w:cs="Arial" w:eastAsia="Arial" w:hAnsi="Arial"/>
          <w:sz w:val="18"/>
          <w:szCs w:val="18"/>
          <w:color w:val="auto"/>
        </w:rPr>
      </w:pPr>
    </w:p>
    <w:p>
      <w:pPr>
        <w:ind w:left="340" w:hanging="188"/>
        <w:spacing w:after="0"/>
        <w:tabs>
          <w:tab w:leader="none" w:pos="34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nature of the VIE's risks and the risks we absorb;</w:t>
      </w:r>
    </w:p>
    <w:p>
      <w:pPr>
        <w:spacing w:after="0" w:line="252" w:lineRule="exact"/>
        <w:rPr>
          <w:rFonts w:ascii="Arial" w:cs="Arial" w:eastAsia="Arial" w:hAnsi="Arial"/>
          <w:sz w:val="18"/>
          <w:szCs w:val="18"/>
          <w:color w:val="auto"/>
        </w:rPr>
      </w:pPr>
    </w:p>
    <w:p>
      <w:pPr>
        <w:ind w:left="340" w:hanging="188"/>
        <w:spacing w:after="0"/>
        <w:tabs>
          <w:tab w:leader="none" w:pos="34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power to direct activities that most significantly impact the economic performance of the VIE; and</w:t>
      </w:r>
    </w:p>
    <w:p>
      <w:pPr>
        <w:sectPr>
          <w:pgSz w:w="11900" w:h="16838" w:orient="portrait"/>
          <w:cols w:equalWidth="0" w:num="1">
            <w:col w:w="11420"/>
          </w:cols>
          <w:pgMar w:left="240" w:top="341" w:right="239" w:bottom="0" w:gutter="0" w:footer="0" w:header="0"/>
        </w:sectPr>
      </w:pPr>
    </w:p>
    <w:bookmarkStart w:id="24" w:name="page25"/>
    <w:bookmarkEnd w:id="24"/>
    <w:p>
      <w:pPr>
        <w:ind w:left="160"/>
        <w:spacing w:after="0"/>
        <w:rPr>
          <w:sz w:val="20"/>
          <w:szCs w:val="20"/>
          <w:color w:val="auto"/>
        </w:rPr>
      </w:pPr>
      <w:r>
        <w:rPr>
          <w:rFonts w:ascii="Arial" w:cs="Arial" w:eastAsia="Arial" w:hAnsi="Arial"/>
          <w:sz w:val="18"/>
          <w:szCs w:val="18"/>
          <w:color w:val="auto"/>
        </w:rPr>
        <w:t>§ the obligation to absorb losses or right to receive benefits that could be significant to the VIE.</w:t>
      </w:r>
    </w:p>
    <w:p>
      <w:pPr>
        <w:spacing w:after="0" w:line="200" w:lineRule="exact"/>
        <w:rPr>
          <w:sz w:val="20"/>
          <w:szCs w:val="20"/>
          <w:color w:val="auto"/>
        </w:rPr>
      </w:pPr>
    </w:p>
    <w:p>
      <w:pPr>
        <w:spacing w:after="0" w:line="268" w:lineRule="exact"/>
        <w:rPr>
          <w:sz w:val="20"/>
          <w:szCs w:val="20"/>
          <w:color w:val="auto"/>
        </w:rPr>
      </w:pPr>
    </w:p>
    <w:p>
      <w:pPr>
        <w:ind w:right="700"/>
        <w:spacing w:after="0" w:line="288" w:lineRule="auto"/>
        <w:rPr>
          <w:sz w:val="20"/>
          <w:szCs w:val="20"/>
          <w:color w:val="auto"/>
        </w:rPr>
      </w:pPr>
      <w:r>
        <w:rPr>
          <w:rFonts w:ascii="Arial" w:cs="Arial" w:eastAsia="Arial" w:hAnsi="Arial"/>
          <w:sz w:val="16"/>
          <w:szCs w:val="16"/>
          <w:color w:val="auto"/>
        </w:rPr>
        <w:t>SDG&amp;E has agreements under which it purchases power generated by facilities for which it supplies all of the natural gas to fuel the power plant (i.e., tolling agreements). SDG&amp;E’s obligation to absorb natural gas costs may be a significant variable interest. In addition, SDG&amp;E has the power to direct the dispatch of electricity generated by these facilities. Based upon our analysis, the ability to direct the dispatch of electricity may have the most significant impacts on the economic performance of the entity owning the generating facility because of the associated exposure to the cost of natural gas, which fuels the plants, and the value of electricity produced. To the extent that SDG&amp;E (1) is obligated to purchase and provide fuel to operate the facility, (2) has the power to direct the dispatch, and (3) purchases all of the output from the facility for a substantial portion of the facility’s useful life, SDG&amp;E may be the primary beneficiary of the entity owning the generating facility. SDG&amp;E determines if it is the primary beneficiary in these cases based on the operational characteristics of the facility, including its expected power generation output relative to its capacity to generate and the financial structure of the entity, among other factors. If we determine that SDG&amp;E is the primary beneficiary, Sempra Energy and SDG&amp;E consolidate the entity that owns the facility as a VIE, as we discuss below.</w:t>
      </w:r>
    </w:p>
    <w:p>
      <w:pPr>
        <w:spacing w:after="0" w:line="383"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Otay Mesa VIE</w:t>
      </w:r>
    </w:p>
    <w:p>
      <w:pPr>
        <w:spacing w:after="0" w:line="205" w:lineRule="exact"/>
        <w:rPr>
          <w:sz w:val="20"/>
          <w:szCs w:val="20"/>
          <w:color w:val="auto"/>
        </w:rPr>
      </w:pPr>
    </w:p>
    <w:p>
      <w:pPr>
        <w:ind w:right="420"/>
        <w:spacing w:after="0" w:line="302" w:lineRule="auto"/>
        <w:rPr>
          <w:sz w:val="20"/>
          <w:szCs w:val="20"/>
          <w:color w:val="auto"/>
        </w:rPr>
      </w:pPr>
      <w:r>
        <w:rPr>
          <w:rFonts w:ascii="Arial" w:cs="Arial" w:eastAsia="Arial" w:hAnsi="Arial"/>
          <w:sz w:val="16"/>
          <w:szCs w:val="16"/>
          <w:color w:val="auto"/>
        </w:rPr>
        <w:t>SDG&amp;E has a 10-year agreement to purchase power generated at the Otay Mesa Energy Center (OMEC), a 605-megawatt (MW) generating facility. In addition to tolling, the agreement provides SDG&amp;E with the option to purchase the power plant at the end of the contract term in 2019, or upon earlier termination of the purchased-power agreement, at a predetermined price subject to adjustments based on performance of the facility. If SDG&amp;E does not exercise its option it may be required, under certain circumstances, to purchase the power plant at a predetermined price.</w:t>
      </w:r>
    </w:p>
    <w:p>
      <w:pPr>
        <w:spacing w:after="0" w:line="154"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The facility owner, Otay Mesa Energy Center LLC (OMEC LLC), is a VIE (Otay Mesa VIE), of which SDG&amp;E is the primary beneficiary. SDG&amp;E has no OMEC LLC voting rights and does not operate OMEC. In addition to the risks absorbed under the tolling agreement, SDG&amp;E absorbs separately through the put option a significant portion of the risk that the value of Otay Mesa VIE could decline. Otay Mesa VIE's equity of $89 million at June 30, 2011 and $113 million at December 31, 2010 is included on the Condensed Consolidated Balance Sheets in Other Noncontrolling Interests for Sempra Energy and in Noncontrolling Interest for SDG&amp;E.</w:t>
      </w:r>
    </w:p>
    <w:p>
      <w:pPr>
        <w:spacing w:after="0" w:line="188"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OMEC LLC has a loan outstanding of $360 million at June 30, 2011, the proceeds of which were used for the construction of OMEC. The loan is with third party lenders and is secured by OMEC's property, plant and equipment. SDG&amp;E is not a party to the loan agreement and does not have any additional implicit or explicit financial responsibility to OMEC LLC. The loan fully matures in April 2019 and bears interest at rates varying with market rates. In addition, OMEC LLC has entered into interest rate swap agreements to moderate its exposure to interest rate changes. We provide additional information concerning the interest rate swaps in Note 7.</w:t>
      </w: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Other Variable Interest Entities</w:t>
      </w:r>
    </w:p>
    <w:p>
      <w:pPr>
        <w:spacing w:after="0" w:line="205"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SDG&amp;E's power procurement is subject to reliability requirements that may require SDG&amp;E to enter into various power purchase arrangements which include variable interests. SDG&amp;E evaluates the respective entities to determine if variable interest entities exist and, based on the qualitative and quantitative analyses described above, if SDG&amp;E, and thereby Sempra Energy, is the primary beneficiary. SDG&amp;E has determined that no contracts, other than that relating to Otay Mesa VIE mentioned above, result in SDG&amp;E being the primary beneficiary as of June 30, 2011. In addition to the tolling agreements described above, other variable interests involve various elements of fuel and power costs, including certain construction costs, tax credits, and other components of cash flow expected to be paid to or received by our counterparties. In most of these cases, the expectation of variability is not substantial, and SDG&amp;E generally does not have the power to direct activities that most significantly impact the economic performance of the other VIEs. If our ongoing evaluation of these VIEs were to conclude that SDG&amp;E becomes the primary beneficiary and consolidation by SDG&amp;E becomes necessary, the effects are not expected to significantly affect the financial position, results of operations, or liquidity of SDG&amp;E. SDG&amp;E is not exposed to losses or gains as a result of these other VIEs, because all such variability would be recovered in rates.</w:t>
      </w:r>
    </w:p>
    <w:p>
      <w:pPr>
        <w:spacing w:after="0" w:line="178"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Sempra Energy’s other business units also enter into arrangements which could include variable interests. We evaluate these arrangements and applicable entities based upon the qualitative and quantitative analyses described above. Certain of these entities are service companies that are VIEs. As the primary beneficiary of these service companies, we consolidate them. In all other cases, we have determined that the contracts are not variable interests in a VIE and therefore are not subject to the requirements of GAAP concerning the consolidation of VIEs.</w:t>
      </w:r>
    </w:p>
    <w:p>
      <w:pPr>
        <w:spacing w:after="0" w:line="3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GOODWILL</w:t>
      </w:r>
    </w:p>
    <w:p>
      <w:pPr>
        <w:spacing w:after="0" w:line="234"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Goodwill is the excess of the purchase price over the fair value of the net assets of acquired companies. Goodwill is not amortized but is tested annually on October 1 for impairment. Impairment of goodwill occurs when the carrying amount (book value) of goodwill exceeds its implied fair value. If the book value of goodwill is greater than the fair value on the test date, an impairment loss is recorded.</w:t>
      </w:r>
    </w:p>
    <w:p>
      <w:pPr>
        <w:spacing w:after="0" w:line="181" w:lineRule="exact"/>
        <w:rPr>
          <w:sz w:val="20"/>
          <w:szCs w:val="20"/>
          <w:color w:val="auto"/>
        </w:rPr>
      </w:pPr>
    </w:p>
    <w:p>
      <w:pPr>
        <w:ind w:right="740"/>
        <w:spacing w:after="0" w:line="277" w:lineRule="auto"/>
        <w:rPr>
          <w:sz w:val="20"/>
          <w:szCs w:val="20"/>
          <w:color w:val="auto"/>
        </w:rPr>
      </w:pPr>
      <w:r>
        <w:rPr>
          <w:rFonts w:ascii="Arial" w:cs="Arial" w:eastAsia="Arial" w:hAnsi="Arial"/>
          <w:sz w:val="18"/>
          <w:szCs w:val="18"/>
          <w:color w:val="auto"/>
        </w:rPr>
        <w:t>Sempra Pipelines &amp; Storage recorded goodwill of $959 million in the second quarter of 2011 in connection with the acquisition of AEI’s interests in Chilquinta Energía and Luz del Sur, which we discuss in Note 3.</w:t>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Goodwill included on the Sempra Energy Condensed Consolidated Balance Sheets is recorded as follows:</w:t>
      </w: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GOODWILL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-95885</wp:posOffset>
            </wp:positionV>
            <wp:extent cx="7246620" cy="21463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214630"/>
                    </a:xfrm>
                    <a:prstGeom prst="rect">
                      <a:avLst/>
                    </a:prstGeom>
                    <a:noFill/>
                  </pic:spPr>
                </pic:pic>
              </a:graphicData>
            </a:graphic>
          </wp:anchor>
        </w:drawing>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4880" w:type="dxa"/>
            <w:vAlign w:val="bottom"/>
            <w:gridSpan w:val="2"/>
          </w:tcPr>
          <w:p>
            <w:pPr>
              <w:spacing w:after="0"/>
              <w:rPr>
                <w:sz w:val="20"/>
                <w:szCs w:val="20"/>
                <w:color w:val="auto"/>
              </w:rPr>
            </w:pPr>
            <w:r>
              <w:rPr>
                <w:rFonts w:ascii="Arial" w:cs="Arial" w:eastAsia="Arial" w:hAnsi="Arial"/>
                <w:sz w:val="14"/>
                <w:szCs w:val="14"/>
                <w:i w:val="1"/>
                <w:iCs w:val="1"/>
                <w:color w:val="auto"/>
              </w:rPr>
              <w:t>(Dollars in millions)</w:t>
            </w:r>
          </w:p>
        </w:tc>
        <w:tc>
          <w:tcPr>
            <w:tcW w:w="262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660" w:type="dxa"/>
            <w:vAlign w:val="bottom"/>
          </w:tcPr>
          <w:p>
            <w:pPr>
              <w:spacing w:after="0"/>
              <w:rPr>
                <w:sz w:val="15"/>
                <w:szCs w:val="15"/>
                <w:color w:val="auto"/>
              </w:rPr>
            </w:pPr>
          </w:p>
        </w:tc>
      </w:tr>
      <w:tr>
        <w:trPr>
          <w:trHeight w:val="172"/>
        </w:trPr>
        <w:tc>
          <w:tcPr>
            <w:tcW w:w="20" w:type="dxa"/>
            <w:vAlign w:val="bottom"/>
          </w:tcPr>
          <w:p>
            <w:pPr>
              <w:spacing w:after="0"/>
              <w:rPr>
                <w:sz w:val="14"/>
                <w:szCs w:val="14"/>
                <w:color w:val="auto"/>
              </w:rPr>
            </w:pPr>
          </w:p>
        </w:tc>
        <w:tc>
          <w:tcPr>
            <w:tcW w:w="4860" w:type="dxa"/>
            <w:vAlign w:val="bottom"/>
          </w:tcPr>
          <w:p>
            <w:pPr>
              <w:spacing w:after="0"/>
              <w:rPr>
                <w:sz w:val="14"/>
                <w:szCs w:val="14"/>
                <w:color w:val="auto"/>
              </w:rPr>
            </w:pPr>
          </w:p>
        </w:tc>
        <w:tc>
          <w:tcPr>
            <w:tcW w:w="2620" w:type="dxa"/>
            <w:vAlign w:val="bottom"/>
          </w:tcPr>
          <w:p>
            <w:pPr>
              <w:spacing w:after="0"/>
              <w:rPr>
                <w:sz w:val="14"/>
                <w:szCs w:val="14"/>
                <w:color w:val="auto"/>
              </w:rPr>
            </w:pPr>
          </w:p>
        </w:tc>
        <w:tc>
          <w:tcPr>
            <w:tcW w:w="1380" w:type="dxa"/>
            <w:vAlign w:val="bottom"/>
          </w:tcPr>
          <w:p>
            <w:pPr>
              <w:jc w:val="right"/>
              <w:ind w:right="43"/>
              <w:spacing w:after="0"/>
              <w:rPr>
                <w:sz w:val="20"/>
                <w:szCs w:val="20"/>
                <w:color w:val="auto"/>
              </w:rPr>
            </w:pPr>
            <w:r>
              <w:rPr>
                <w:rFonts w:ascii="Arial" w:cs="Arial" w:eastAsia="Arial" w:hAnsi="Arial"/>
                <w:sz w:val="14"/>
                <w:szCs w:val="14"/>
                <w:color w:val="auto"/>
              </w:rPr>
              <w:t>June 30,</w:t>
            </w:r>
          </w:p>
        </w:tc>
        <w:tc>
          <w:tcPr>
            <w:tcW w:w="5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60" w:type="dxa"/>
            <w:vAlign w:val="bottom"/>
          </w:tcPr>
          <w:p>
            <w:pPr>
              <w:jc w:val="right"/>
              <w:ind w:right="463"/>
              <w:spacing w:after="0"/>
              <w:rPr>
                <w:sz w:val="20"/>
                <w:szCs w:val="20"/>
                <w:color w:val="auto"/>
              </w:rPr>
            </w:pPr>
            <w:r>
              <w:rPr>
                <w:rFonts w:ascii="Arial" w:cs="Arial" w:eastAsia="Arial" w:hAnsi="Arial"/>
                <w:sz w:val="14"/>
                <w:szCs w:val="14"/>
                <w:color w:val="auto"/>
              </w:rPr>
              <w:t>December 31,</w:t>
            </w:r>
          </w:p>
        </w:tc>
      </w:tr>
      <w:tr>
        <w:trPr>
          <w:trHeight w:val="168"/>
        </w:trPr>
        <w:tc>
          <w:tcPr>
            <w:tcW w:w="20" w:type="dxa"/>
            <w:vAlign w:val="bottom"/>
          </w:tcPr>
          <w:p>
            <w:pPr>
              <w:spacing w:after="0"/>
              <w:rPr>
                <w:sz w:val="14"/>
                <w:szCs w:val="14"/>
                <w:color w:val="auto"/>
              </w:rPr>
            </w:pPr>
          </w:p>
        </w:tc>
        <w:tc>
          <w:tcPr>
            <w:tcW w:w="4860" w:type="dxa"/>
            <w:vAlign w:val="bottom"/>
            <w:tcBorders>
              <w:bottom w:val="single" w:sz="8" w:color="auto"/>
            </w:tcBorders>
          </w:tcPr>
          <w:p>
            <w:pPr>
              <w:spacing w:after="0"/>
              <w:rPr>
                <w:sz w:val="14"/>
                <w:szCs w:val="14"/>
                <w:color w:val="auto"/>
              </w:rPr>
            </w:pPr>
          </w:p>
        </w:tc>
        <w:tc>
          <w:tcPr>
            <w:tcW w:w="4000" w:type="dxa"/>
            <w:vAlign w:val="bottom"/>
            <w:tcBorders>
              <w:bottom w:val="single" w:sz="8" w:color="auto"/>
            </w:tcBorders>
            <w:gridSpan w:val="2"/>
          </w:tcPr>
          <w:p>
            <w:pPr>
              <w:jc w:val="right"/>
              <w:ind w:right="183"/>
              <w:spacing w:after="0"/>
              <w:rPr>
                <w:sz w:val="20"/>
                <w:szCs w:val="20"/>
                <w:color w:val="auto"/>
              </w:rPr>
            </w:pPr>
            <w:r>
              <w:rPr>
                <w:rFonts w:ascii="Arial" w:cs="Arial" w:eastAsia="Arial" w:hAnsi="Arial"/>
                <w:sz w:val="14"/>
                <w:szCs w:val="14"/>
                <w:color w:val="auto"/>
              </w:rPr>
              <w:t>2011</w:t>
            </w:r>
          </w:p>
        </w:tc>
        <w:tc>
          <w:tcPr>
            <w:tcW w:w="54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660" w:type="dxa"/>
            <w:vAlign w:val="bottom"/>
            <w:tcBorders>
              <w:bottom w:val="single" w:sz="8" w:color="auto"/>
            </w:tcBorders>
          </w:tcPr>
          <w:p>
            <w:pPr>
              <w:jc w:val="right"/>
              <w:ind w:right="763"/>
              <w:spacing w:after="0"/>
              <w:rPr>
                <w:sz w:val="20"/>
                <w:szCs w:val="20"/>
                <w:color w:val="auto"/>
              </w:rPr>
            </w:pPr>
            <w:r>
              <w:rPr>
                <w:rFonts w:ascii="Arial" w:cs="Arial" w:eastAsia="Arial" w:hAnsi="Arial"/>
                <w:sz w:val="14"/>
                <w:szCs w:val="14"/>
                <w:color w:val="auto"/>
              </w:rPr>
              <w:t>2010</w:t>
            </w:r>
          </w:p>
        </w:tc>
      </w:tr>
      <w:tr>
        <w:trPr>
          <w:trHeight w:val="164"/>
        </w:trPr>
        <w:tc>
          <w:tcPr>
            <w:tcW w:w="20" w:type="dxa"/>
            <w:vAlign w:val="bottom"/>
          </w:tcPr>
          <w:p>
            <w:pPr>
              <w:spacing w:after="0"/>
              <w:rPr>
                <w:sz w:val="14"/>
                <w:szCs w:val="14"/>
                <w:color w:val="auto"/>
              </w:rPr>
            </w:pPr>
          </w:p>
        </w:tc>
        <w:tc>
          <w:tcPr>
            <w:tcW w:w="4860" w:type="dxa"/>
            <w:vAlign w:val="bottom"/>
          </w:tcPr>
          <w:p>
            <w:pPr>
              <w:spacing w:after="0" w:line="164" w:lineRule="exact"/>
              <w:rPr>
                <w:sz w:val="20"/>
                <w:szCs w:val="20"/>
                <w:color w:val="auto"/>
              </w:rPr>
            </w:pPr>
            <w:r>
              <w:rPr>
                <w:rFonts w:ascii="Arial" w:cs="Arial" w:eastAsia="Arial" w:hAnsi="Arial"/>
                <w:sz w:val="16"/>
                <w:szCs w:val="16"/>
                <w:color w:val="auto"/>
              </w:rPr>
              <w:t>Sempra Pipelines &amp; Storage(1)</w:t>
            </w:r>
          </w:p>
        </w:tc>
        <w:tc>
          <w:tcPr>
            <w:tcW w:w="4000" w:type="dxa"/>
            <w:vAlign w:val="bottom"/>
            <w:gridSpan w:val="2"/>
          </w:tcPr>
          <w:p>
            <w:pPr>
              <w:jc w:val="right"/>
              <w:ind w:right="1203"/>
              <w:spacing w:after="0" w:line="164" w:lineRule="exact"/>
              <w:rPr>
                <w:sz w:val="20"/>
                <w:szCs w:val="20"/>
                <w:color w:val="auto"/>
              </w:rPr>
            </w:pPr>
            <w:r>
              <w:rPr>
                <w:rFonts w:ascii="Arial" w:cs="Arial" w:eastAsia="Arial" w:hAnsi="Arial"/>
                <w:sz w:val="16"/>
                <w:szCs w:val="16"/>
                <w:color w:val="auto"/>
              </w:rPr>
              <w:t>$</w:t>
            </w:r>
          </w:p>
        </w:tc>
        <w:tc>
          <w:tcPr>
            <w:tcW w:w="540" w:type="dxa"/>
            <w:vAlign w:val="bottom"/>
          </w:tcPr>
          <w:p>
            <w:pPr>
              <w:jc w:val="right"/>
              <w:spacing w:after="0" w:line="164" w:lineRule="exact"/>
              <w:rPr>
                <w:sz w:val="20"/>
                <w:szCs w:val="20"/>
                <w:color w:val="auto"/>
              </w:rPr>
            </w:pPr>
            <w:r>
              <w:rPr>
                <w:rFonts w:ascii="Arial" w:cs="Arial" w:eastAsia="Arial" w:hAnsi="Arial"/>
                <w:sz w:val="16"/>
                <w:szCs w:val="16"/>
                <w:color w:val="auto"/>
              </w:rPr>
              <w:t>1,053</w:t>
            </w:r>
          </w:p>
        </w:tc>
        <w:tc>
          <w:tcPr>
            <w:tcW w:w="340" w:type="dxa"/>
            <w:vAlign w:val="bottom"/>
          </w:tcPr>
          <w:p>
            <w:pPr>
              <w:jc w:val="right"/>
              <w:ind w:right="139"/>
              <w:spacing w:after="0" w:line="164" w:lineRule="exact"/>
              <w:rPr>
                <w:sz w:val="20"/>
                <w:szCs w:val="20"/>
                <w:color w:val="auto"/>
              </w:rPr>
            </w:pPr>
            <w:r>
              <w:rPr>
                <w:rFonts w:ascii="Arial" w:cs="Arial" w:eastAsia="Arial" w:hAnsi="Arial"/>
                <w:sz w:val="16"/>
                <w:szCs w:val="16"/>
                <w:color w:val="auto"/>
              </w:rPr>
              <w:t>$</w:t>
            </w:r>
          </w:p>
        </w:tc>
        <w:tc>
          <w:tcPr>
            <w:tcW w:w="1660" w:type="dxa"/>
            <w:vAlign w:val="bottom"/>
          </w:tcPr>
          <w:p>
            <w:pPr>
              <w:jc w:val="right"/>
              <w:spacing w:after="0" w:line="164" w:lineRule="exact"/>
              <w:rPr>
                <w:sz w:val="20"/>
                <w:szCs w:val="20"/>
                <w:color w:val="auto"/>
              </w:rPr>
            </w:pPr>
            <w:r>
              <w:rPr>
                <w:rFonts w:ascii="Arial" w:cs="Arial" w:eastAsia="Arial" w:hAnsi="Arial"/>
                <w:sz w:val="16"/>
                <w:szCs w:val="16"/>
                <w:color w:val="auto"/>
              </w:rPr>
              <w:t>81</w:t>
            </w:r>
          </w:p>
        </w:tc>
      </w:tr>
      <w:tr>
        <w:trPr>
          <w:trHeight w:val="194"/>
        </w:trPr>
        <w:tc>
          <w:tcPr>
            <w:tcW w:w="4880" w:type="dxa"/>
            <w:vAlign w:val="bottom"/>
            <w:gridSpan w:val="2"/>
          </w:tcPr>
          <w:p>
            <w:pPr>
              <w:spacing w:after="0"/>
              <w:rPr>
                <w:sz w:val="20"/>
                <w:szCs w:val="20"/>
                <w:color w:val="auto"/>
              </w:rPr>
            </w:pPr>
            <w:r>
              <w:rPr>
                <w:rFonts w:ascii="Arial" w:cs="Arial" w:eastAsia="Arial" w:hAnsi="Arial"/>
                <w:sz w:val="16"/>
                <w:szCs w:val="16"/>
                <w:color w:val="auto"/>
              </w:rPr>
              <w:t>Parent and Other</w:t>
            </w:r>
          </w:p>
        </w:tc>
        <w:tc>
          <w:tcPr>
            <w:tcW w:w="2620" w:type="dxa"/>
            <w:vAlign w:val="bottom"/>
          </w:tcPr>
          <w:p>
            <w:pPr>
              <w:spacing w:after="0"/>
              <w:rPr>
                <w:sz w:val="16"/>
                <w:szCs w:val="16"/>
                <w:color w:val="auto"/>
              </w:rPr>
            </w:pPr>
          </w:p>
        </w:tc>
        <w:tc>
          <w:tcPr>
            <w:tcW w:w="138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w:t>
            </w:r>
          </w:p>
        </w:tc>
        <w:tc>
          <w:tcPr>
            <w:tcW w:w="34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w:t>
            </w:r>
          </w:p>
        </w:tc>
      </w:tr>
      <w:tr>
        <w:trPr>
          <w:trHeight w:val="195"/>
        </w:trPr>
        <w:tc>
          <w:tcPr>
            <w:tcW w:w="20" w:type="dxa"/>
            <w:vAlign w:val="bottom"/>
          </w:tcPr>
          <w:p>
            <w:pPr>
              <w:spacing w:after="0"/>
              <w:rPr>
                <w:sz w:val="16"/>
                <w:szCs w:val="16"/>
                <w:color w:val="auto"/>
              </w:rPr>
            </w:pPr>
          </w:p>
        </w:tc>
        <w:tc>
          <w:tcPr>
            <w:tcW w:w="4860" w:type="dxa"/>
            <w:vAlign w:val="bottom"/>
          </w:tcPr>
          <w:p>
            <w:pPr>
              <w:spacing w:after="0"/>
              <w:rPr>
                <w:sz w:val="16"/>
                <w:szCs w:val="16"/>
                <w:color w:val="auto"/>
              </w:rPr>
            </w:pPr>
          </w:p>
        </w:tc>
        <w:tc>
          <w:tcPr>
            <w:tcW w:w="2620" w:type="dxa"/>
            <w:vAlign w:val="bottom"/>
          </w:tcPr>
          <w:p>
            <w:pPr>
              <w:spacing w:after="0"/>
              <w:rPr>
                <w:sz w:val="16"/>
                <w:szCs w:val="16"/>
                <w:color w:val="auto"/>
              </w:rPr>
            </w:pPr>
          </w:p>
        </w:tc>
        <w:tc>
          <w:tcPr>
            <w:tcW w:w="1380" w:type="dxa"/>
            <w:vAlign w:val="bottom"/>
          </w:tcPr>
          <w:p>
            <w:pPr>
              <w:jc w:val="right"/>
              <w:ind w:right="1203"/>
              <w:spacing w:after="0"/>
              <w:rPr>
                <w:sz w:val="20"/>
                <w:szCs w:val="20"/>
                <w:color w:val="auto"/>
              </w:rPr>
            </w:pPr>
            <w:r>
              <w:rPr>
                <w:rFonts w:ascii="Arial" w:cs="Arial" w:eastAsia="Arial" w:hAnsi="Arial"/>
                <w:sz w:val="16"/>
                <w:szCs w:val="16"/>
                <w:color w:val="auto"/>
                <w:w w:val="89"/>
              </w:rPr>
              <w:t>$</w:t>
            </w:r>
          </w:p>
        </w:tc>
        <w:tc>
          <w:tcPr>
            <w:tcW w:w="540" w:type="dxa"/>
            <w:vAlign w:val="bottom"/>
          </w:tcPr>
          <w:p>
            <w:pPr>
              <w:jc w:val="right"/>
              <w:spacing w:after="0"/>
              <w:rPr>
                <w:sz w:val="20"/>
                <w:szCs w:val="20"/>
                <w:color w:val="auto"/>
              </w:rPr>
            </w:pPr>
            <w:r>
              <w:rPr>
                <w:rFonts w:ascii="Arial" w:cs="Arial" w:eastAsia="Arial" w:hAnsi="Arial"/>
                <w:sz w:val="16"/>
                <w:szCs w:val="16"/>
                <w:color w:val="auto"/>
              </w:rPr>
              <w:t>1,059</w:t>
            </w:r>
          </w:p>
        </w:tc>
        <w:tc>
          <w:tcPr>
            <w:tcW w:w="3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660" w:type="dxa"/>
            <w:vAlign w:val="bottom"/>
          </w:tcPr>
          <w:p>
            <w:pPr>
              <w:jc w:val="right"/>
              <w:spacing w:after="0"/>
              <w:rPr>
                <w:sz w:val="20"/>
                <w:szCs w:val="20"/>
                <w:color w:val="auto"/>
              </w:rPr>
            </w:pPr>
            <w:r>
              <w:rPr>
                <w:rFonts w:ascii="Arial" w:cs="Arial" w:eastAsia="Arial" w:hAnsi="Arial"/>
                <w:sz w:val="16"/>
                <w:szCs w:val="16"/>
                <w:color w:val="auto"/>
              </w:rPr>
              <w:t>87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2466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ind w:left="720" w:right="200" w:hanging="175"/>
        <w:spacing w:after="0" w:line="277" w:lineRule="auto"/>
        <w:rPr>
          <w:sz w:val="20"/>
          <w:szCs w:val="20"/>
          <w:color w:val="auto"/>
        </w:rPr>
      </w:pPr>
      <w:r>
        <w:rPr>
          <w:rFonts w:ascii="Arial" w:cs="Arial" w:eastAsia="Arial" w:hAnsi="Arial"/>
          <w:sz w:val="14"/>
          <w:szCs w:val="14"/>
          <w:i w:val="1"/>
          <w:iCs w:val="1"/>
          <w:color w:val="auto"/>
        </w:rPr>
        <w:t>(1)Includes $972 million at June 30, 2011 related to Chilquinta Energía and Luz del Sur, whose functional currencies are their local currencies. This causes the goodwill amount to fluctuate from period-to-period from the translation to U.S. dollars. We record the offset of this fluctuation to other comprehensive income.</w:t>
      </w:r>
    </w:p>
    <w:p>
      <w:pPr>
        <w:sectPr>
          <w:pgSz w:w="11900" w:h="16838" w:orient="portrait"/>
          <w:cols w:equalWidth="0" w:num="1">
            <w:col w:w="11420"/>
          </w:cols>
          <w:pgMar w:left="240" w:top="368" w:right="239" w:bottom="0" w:gutter="0" w:footer="0" w:header="0"/>
        </w:sectPr>
      </w:pPr>
    </w:p>
    <w:bookmarkStart w:id="25" w:name="page26"/>
    <w:bookmarkEnd w:id="25"/>
    <w:p>
      <w:pPr>
        <w:spacing w:after="0"/>
        <w:rPr>
          <w:sz w:val="20"/>
          <w:szCs w:val="20"/>
          <w:color w:val="auto"/>
        </w:rPr>
      </w:pPr>
      <w:r>
        <w:rPr>
          <w:rFonts w:ascii="Arial" w:cs="Arial" w:eastAsia="Arial" w:hAnsi="Arial"/>
          <w:sz w:val="17"/>
          <w:szCs w:val="17"/>
          <w:color w:val="auto"/>
        </w:rPr>
        <w:t>We provide additional information concerning goodwill in Notes 1 and 3 of the Notes to Consolidated Financial Statements in the Annual Report.</w:t>
      </w: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PENSION AND OTHER POSTRETIREMENT BENEFITS</w:t>
      </w: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Net Periodic Benefit Cost</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three tables provide the components of net periodic benefit cost:</w:t>
      </w: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NET PERIODIC BENEFIT COST -- SEMPRA ENERGY CONSOLIDATED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-104775</wp:posOffset>
            </wp:positionV>
            <wp:extent cx="7246620" cy="22288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222885"/>
                    </a:xfrm>
                    <a:prstGeom prst="rect">
                      <a:avLst/>
                    </a:prstGeom>
                    <a:noFill/>
                  </pic:spPr>
                </pic:pic>
              </a:graphicData>
            </a:graphic>
          </wp:anchor>
        </w:drawing>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000" w:type="dxa"/>
            <w:vAlign w:val="bottom"/>
            <w:gridSpan w:val="2"/>
          </w:tcPr>
          <w:p>
            <w:pPr>
              <w:spacing w:after="0"/>
              <w:rPr>
                <w:sz w:val="20"/>
                <w:szCs w:val="20"/>
                <w:color w:val="auto"/>
              </w:rPr>
            </w:pPr>
            <w:r>
              <w:rPr>
                <w:rFonts w:ascii="Arial" w:cs="Arial" w:eastAsia="Arial" w:hAnsi="Arial"/>
                <w:sz w:val="14"/>
                <w:szCs w:val="14"/>
                <w:i w:val="1"/>
                <w:iCs w:val="1"/>
                <w:color w:val="auto"/>
              </w:rPr>
              <w:t>(Dollars in millions)</w:t>
            </w:r>
          </w:p>
        </w:tc>
        <w:tc>
          <w:tcPr>
            <w:tcW w:w="4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720" w:type="dxa"/>
            <w:vAlign w:val="bottom"/>
            <w:gridSpan w:val="3"/>
            <w:vMerge w:val="restart"/>
          </w:tcPr>
          <w:p>
            <w:pPr>
              <w:jc w:val="center"/>
              <w:ind w:right="406"/>
              <w:spacing w:after="0"/>
              <w:rPr>
                <w:sz w:val="20"/>
                <w:szCs w:val="20"/>
                <w:color w:val="auto"/>
              </w:rPr>
            </w:pPr>
            <w:r>
              <w:rPr>
                <w:rFonts w:ascii="Arial" w:cs="Arial" w:eastAsia="Arial" w:hAnsi="Arial"/>
                <w:sz w:val="14"/>
                <w:szCs w:val="14"/>
                <w:color w:val="auto"/>
              </w:rPr>
              <w:t>Pension Benefits</w:t>
            </w:r>
          </w:p>
        </w:tc>
        <w:tc>
          <w:tcPr>
            <w:tcW w:w="4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040" w:type="dxa"/>
            <w:vAlign w:val="bottom"/>
            <w:gridSpan w:val="4"/>
            <w:vMerge w:val="restart"/>
          </w:tcPr>
          <w:p>
            <w:pPr>
              <w:jc w:val="center"/>
              <w:ind w:right="240"/>
              <w:spacing w:after="0"/>
              <w:rPr>
                <w:sz w:val="20"/>
                <w:szCs w:val="20"/>
                <w:color w:val="auto"/>
              </w:rPr>
            </w:pPr>
            <w:r>
              <w:rPr>
                <w:rFonts w:ascii="Arial" w:cs="Arial" w:eastAsia="Arial" w:hAnsi="Arial"/>
                <w:sz w:val="14"/>
                <w:szCs w:val="14"/>
                <w:color w:val="auto"/>
              </w:rPr>
              <w:t>Other Postretirement Benefits</w:t>
            </w: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39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40" w:type="dxa"/>
            <w:vAlign w:val="bottom"/>
            <w:tcBorders>
              <w:bottom w:val="single" w:sz="8" w:color="auto"/>
            </w:tcBorders>
          </w:tcPr>
          <w:p>
            <w:pPr>
              <w:spacing w:after="0"/>
              <w:rPr>
                <w:sz w:val="12"/>
                <w:szCs w:val="12"/>
                <w:color w:val="auto"/>
              </w:rPr>
            </w:pPr>
          </w:p>
        </w:tc>
        <w:tc>
          <w:tcPr>
            <w:tcW w:w="1720" w:type="dxa"/>
            <w:vAlign w:val="bottom"/>
            <w:tcBorders>
              <w:bottom w:val="single" w:sz="8" w:color="auto"/>
            </w:tcBorders>
            <w:gridSpan w:val="3"/>
            <w:vMerge w:val="continue"/>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3040" w:type="dxa"/>
            <w:vAlign w:val="bottom"/>
            <w:tcBorders>
              <w:bottom w:val="single" w:sz="8" w:color="auto"/>
            </w:tcBorders>
            <w:gridSpan w:val="4"/>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39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760" w:type="dxa"/>
            <w:vAlign w:val="bottom"/>
            <w:gridSpan w:val="4"/>
          </w:tcPr>
          <w:p>
            <w:pPr>
              <w:jc w:val="center"/>
              <w:ind w:left="487"/>
              <w:spacing w:after="0"/>
              <w:rPr>
                <w:sz w:val="20"/>
                <w:szCs w:val="20"/>
                <w:color w:val="auto"/>
              </w:rPr>
            </w:pPr>
            <w:r>
              <w:rPr>
                <w:rFonts w:ascii="Arial" w:cs="Arial" w:eastAsia="Arial" w:hAnsi="Arial"/>
                <w:sz w:val="14"/>
                <w:szCs w:val="14"/>
                <w:color w:val="auto"/>
              </w:rPr>
              <w:t>Three months ended June 30,</w:t>
            </w:r>
          </w:p>
        </w:tc>
        <w:tc>
          <w:tcPr>
            <w:tcW w:w="4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040" w:type="dxa"/>
            <w:vAlign w:val="bottom"/>
            <w:gridSpan w:val="4"/>
          </w:tcPr>
          <w:p>
            <w:pPr>
              <w:jc w:val="center"/>
              <w:ind w:right="240"/>
              <w:spacing w:after="0"/>
              <w:rPr>
                <w:sz w:val="20"/>
                <w:szCs w:val="20"/>
                <w:color w:val="auto"/>
              </w:rPr>
            </w:pPr>
            <w:r>
              <w:rPr>
                <w:rFonts w:ascii="Arial" w:cs="Arial" w:eastAsia="Arial" w:hAnsi="Arial"/>
                <w:sz w:val="14"/>
                <w:szCs w:val="14"/>
                <w:color w:val="auto"/>
              </w:rPr>
              <w:t>Three months ended June 30,</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398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gridSpan w:val="3"/>
          </w:tcPr>
          <w:p>
            <w:pPr>
              <w:jc w:val="right"/>
              <w:ind w:right="7"/>
              <w:spacing w:after="0"/>
              <w:rPr>
                <w:sz w:val="20"/>
                <w:szCs w:val="20"/>
                <w:color w:val="auto"/>
              </w:rPr>
            </w:pPr>
            <w:r>
              <w:rPr>
                <w:rFonts w:ascii="Arial" w:cs="Arial" w:eastAsia="Arial" w:hAnsi="Arial"/>
                <w:sz w:val="14"/>
                <w:szCs w:val="14"/>
                <w:color w:val="auto"/>
              </w:rPr>
              <w:t>2011</w:t>
            </w:r>
          </w:p>
        </w:tc>
        <w:tc>
          <w:tcPr>
            <w:tcW w:w="4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66"/>
              <w:spacing w:after="0"/>
              <w:rPr>
                <w:sz w:val="20"/>
                <w:szCs w:val="20"/>
                <w:color w:val="auto"/>
              </w:rPr>
            </w:pPr>
            <w:r>
              <w:rPr>
                <w:rFonts w:ascii="Arial" w:cs="Arial" w:eastAsia="Arial" w:hAnsi="Arial"/>
                <w:sz w:val="14"/>
                <w:szCs w:val="14"/>
                <w:color w:val="auto"/>
              </w:rPr>
              <w:t>2010</w:t>
            </w:r>
          </w:p>
        </w:tc>
        <w:tc>
          <w:tcPr>
            <w:tcW w:w="4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ind w:left="340"/>
              <w:spacing w:after="0"/>
              <w:rPr>
                <w:sz w:val="20"/>
                <w:szCs w:val="20"/>
                <w:color w:val="auto"/>
              </w:rPr>
            </w:pPr>
            <w:r>
              <w:rPr>
                <w:rFonts w:ascii="Arial" w:cs="Arial" w:eastAsia="Arial" w:hAnsi="Arial"/>
                <w:sz w:val="14"/>
                <w:szCs w:val="14"/>
                <w:color w:val="auto"/>
              </w:rPr>
              <w:t>2011</w:t>
            </w:r>
          </w:p>
        </w:tc>
        <w:tc>
          <w:tcPr>
            <w:tcW w:w="6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620"/>
              <w:spacing w:after="0"/>
              <w:rPr>
                <w:sz w:val="20"/>
                <w:szCs w:val="20"/>
                <w:color w:val="auto"/>
              </w:rPr>
            </w:pPr>
            <w:r>
              <w:rPr>
                <w:rFonts w:ascii="Arial" w:cs="Arial" w:eastAsia="Arial" w:hAnsi="Arial"/>
                <w:sz w:val="14"/>
                <w:szCs w:val="14"/>
                <w:color w:val="auto"/>
              </w:rPr>
              <w:t>2010</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3980" w:type="dxa"/>
            <w:vAlign w:val="bottom"/>
          </w:tcPr>
          <w:p>
            <w:pPr>
              <w:spacing w:after="0" w:line="164" w:lineRule="exact"/>
              <w:rPr>
                <w:sz w:val="20"/>
                <w:szCs w:val="20"/>
                <w:color w:val="auto"/>
              </w:rPr>
            </w:pPr>
            <w:r>
              <w:rPr>
                <w:rFonts w:ascii="Arial" w:cs="Arial" w:eastAsia="Arial" w:hAnsi="Arial"/>
                <w:sz w:val="16"/>
                <w:szCs w:val="16"/>
                <w:color w:val="auto"/>
              </w:rPr>
              <w:t>Service cost</w:t>
            </w:r>
          </w:p>
        </w:tc>
        <w:tc>
          <w:tcPr>
            <w:tcW w:w="1780" w:type="dxa"/>
            <w:vAlign w:val="bottom"/>
            <w:gridSpan w:val="3"/>
          </w:tcPr>
          <w:p>
            <w:pPr>
              <w:jc w:val="right"/>
              <w:ind w:right="887"/>
              <w:spacing w:after="0" w:line="164" w:lineRule="exact"/>
              <w:rPr>
                <w:sz w:val="20"/>
                <w:szCs w:val="20"/>
                <w:color w:val="auto"/>
              </w:rPr>
            </w:pPr>
            <w:r>
              <w:rPr>
                <w:rFonts w:ascii="Arial" w:cs="Arial" w:eastAsia="Arial" w:hAnsi="Arial"/>
                <w:sz w:val="16"/>
                <w:szCs w:val="16"/>
                <w:color w:val="auto"/>
              </w:rPr>
              <w:t>$</w:t>
            </w:r>
          </w:p>
        </w:tc>
        <w:tc>
          <w:tcPr>
            <w:tcW w:w="620" w:type="dxa"/>
            <w:vAlign w:val="bottom"/>
            <w:gridSpan w:val="2"/>
          </w:tcPr>
          <w:p>
            <w:pPr>
              <w:jc w:val="right"/>
              <w:spacing w:after="0" w:line="164" w:lineRule="exact"/>
              <w:rPr>
                <w:sz w:val="20"/>
                <w:szCs w:val="20"/>
                <w:color w:val="auto"/>
              </w:rPr>
            </w:pPr>
            <w:r>
              <w:rPr>
                <w:rFonts w:ascii="Arial" w:cs="Arial" w:eastAsia="Arial" w:hAnsi="Arial"/>
                <w:sz w:val="16"/>
                <w:szCs w:val="16"/>
                <w:color w:val="auto"/>
              </w:rPr>
              <w:t>21</w:t>
            </w:r>
          </w:p>
        </w:tc>
        <w:tc>
          <w:tcPr>
            <w:tcW w:w="1100" w:type="dxa"/>
            <w:vAlign w:val="bottom"/>
          </w:tcPr>
          <w:p>
            <w:pPr>
              <w:jc w:val="right"/>
              <w:ind w:right="946"/>
              <w:spacing w:after="0" w:line="164" w:lineRule="exact"/>
              <w:rPr>
                <w:sz w:val="20"/>
                <w:szCs w:val="20"/>
                <w:color w:val="auto"/>
              </w:rPr>
            </w:pPr>
            <w:r>
              <w:rPr>
                <w:rFonts w:ascii="Arial" w:cs="Arial" w:eastAsia="Arial" w:hAnsi="Arial"/>
                <w:sz w:val="15"/>
                <w:szCs w:val="15"/>
                <w:color w:val="auto"/>
                <w:w w:val="71"/>
              </w:rPr>
              <w:t>$</w:t>
            </w:r>
          </w:p>
        </w:tc>
        <w:tc>
          <w:tcPr>
            <w:tcW w:w="560" w:type="dxa"/>
            <w:vAlign w:val="bottom"/>
            <w:gridSpan w:val="2"/>
          </w:tcPr>
          <w:p>
            <w:pPr>
              <w:jc w:val="right"/>
              <w:spacing w:after="0" w:line="164" w:lineRule="exact"/>
              <w:rPr>
                <w:sz w:val="20"/>
                <w:szCs w:val="20"/>
                <w:color w:val="auto"/>
              </w:rPr>
            </w:pPr>
            <w:r>
              <w:rPr>
                <w:rFonts w:ascii="Arial" w:cs="Arial" w:eastAsia="Arial" w:hAnsi="Arial"/>
                <w:sz w:val="16"/>
                <w:szCs w:val="16"/>
                <w:color w:val="auto"/>
              </w:rPr>
              <w:t>20</w:t>
            </w:r>
          </w:p>
        </w:tc>
        <w:tc>
          <w:tcPr>
            <w:tcW w:w="320" w:type="dxa"/>
            <w:vAlign w:val="bottom"/>
          </w:tcPr>
          <w:p>
            <w:pPr>
              <w:jc w:val="right"/>
              <w:ind w:right="164"/>
              <w:spacing w:after="0" w:line="164" w:lineRule="exact"/>
              <w:rPr>
                <w:sz w:val="20"/>
                <w:szCs w:val="20"/>
                <w:color w:val="auto"/>
              </w:rPr>
            </w:pPr>
            <w:r>
              <w:rPr>
                <w:rFonts w:ascii="Arial" w:cs="Arial" w:eastAsia="Arial" w:hAnsi="Arial"/>
                <w:sz w:val="15"/>
                <w:szCs w:val="15"/>
                <w:color w:val="auto"/>
                <w:w w:val="71"/>
              </w:rPr>
              <w:t>$</w:t>
            </w:r>
          </w:p>
        </w:tc>
        <w:tc>
          <w:tcPr>
            <w:tcW w:w="1360" w:type="dxa"/>
            <w:vAlign w:val="bottom"/>
            <w:gridSpan w:val="2"/>
          </w:tcPr>
          <w:p>
            <w:pPr>
              <w:jc w:val="right"/>
              <w:spacing w:after="0" w:line="164" w:lineRule="exact"/>
              <w:rPr>
                <w:sz w:val="20"/>
                <w:szCs w:val="20"/>
                <w:color w:val="auto"/>
              </w:rPr>
            </w:pPr>
            <w:r>
              <w:rPr>
                <w:rFonts w:ascii="Arial" w:cs="Arial" w:eastAsia="Arial" w:hAnsi="Arial"/>
                <w:sz w:val="16"/>
                <w:szCs w:val="16"/>
                <w:color w:val="auto"/>
              </w:rPr>
              <w:t>8</w:t>
            </w:r>
          </w:p>
        </w:tc>
        <w:tc>
          <w:tcPr>
            <w:tcW w:w="360" w:type="dxa"/>
            <w:vAlign w:val="bottom"/>
          </w:tcPr>
          <w:p>
            <w:pPr>
              <w:jc w:val="right"/>
              <w:ind w:right="204"/>
              <w:spacing w:after="0" w:line="164" w:lineRule="exact"/>
              <w:rPr>
                <w:sz w:val="20"/>
                <w:szCs w:val="20"/>
                <w:color w:val="auto"/>
              </w:rPr>
            </w:pPr>
            <w:r>
              <w:rPr>
                <w:rFonts w:ascii="Arial" w:cs="Arial" w:eastAsia="Arial" w:hAnsi="Arial"/>
                <w:sz w:val="15"/>
                <w:szCs w:val="15"/>
                <w:color w:val="auto"/>
                <w:w w:val="71"/>
              </w:rPr>
              <w:t>$</w:t>
            </w:r>
          </w:p>
        </w:tc>
        <w:tc>
          <w:tcPr>
            <w:tcW w:w="1320" w:type="dxa"/>
            <w:vAlign w:val="bottom"/>
          </w:tcPr>
          <w:p>
            <w:pPr>
              <w:jc w:val="right"/>
              <w:spacing w:after="0" w:line="164" w:lineRule="exact"/>
              <w:rPr>
                <w:sz w:val="20"/>
                <w:szCs w:val="20"/>
                <w:color w:val="auto"/>
              </w:rPr>
            </w:pPr>
            <w:r>
              <w:rPr>
                <w:rFonts w:ascii="Arial" w:cs="Arial" w:eastAsia="Arial" w:hAnsi="Arial"/>
                <w:sz w:val="16"/>
                <w:szCs w:val="16"/>
                <w:color w:val="auto"/>
              </w:rPr>
              <w:t>8</w:t>
            </w:r>
          </w:p>
        </w:tc>
        <w:tc>
          <w:tcPr>
            <w:tcW w:w="0" w:type="dxa"/>
            <w:vAlign w:val="bottom"/>
          </w:tcPr>
          <w:p>
            <w:pPr>
              <w:spacing w:after="0"/>
              <w:rPr>
                <w:sz w:val="1"/>
                <w:szCs w:val="1"/>
                <w:color w:val="auto"/>
              </w:rPr>
            </w:pPr>
          </w:p>
        </w:tc>
      </w:tr>
      <w:tr>
        <w:trPr>
          <w:trHeight w:val="176"/>
        </w:trPr>
        <w:tc>
          <w:tcPr>
            <w:tcW w:w="4000" w:type="dxa"/>
            <w:vAlign w:val="bottom"/>
            <w:gridSpan w:val="2"/>
          </w:tcPr>
          <w:p>
            <w:pPr>
              <w:spacing w:after="0" w:line="176" w:lineRule="exact"/>
              <w:rPr>
                <w:sz w:val="20"/>
                <w:szCs w:val="20"/>
                <w:color w:val="auto"/>
              </w:rPr>
            </w:pPr>
            <w:r>
              <w:rPr>
                <w:rFonts w:ascii="Arial" w:cs="Arial" w:eastAsia="Arial" w:hAnsi="Arial"/>
                <w:sz w:val="16"/>
                <w:szCs w:val="16"/>
                <w:color w:val="auto"/>
              </w:rPr>
              <w:t>Interest cost</w:t>
            </w:r>
          </w:p>
        </w:tc>
        <w:tc>
          <w:tcPr>
            <w:tcW w:w="4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620" w:type="dxa"/>
            <w:vAlign w:val="bottom"/>
            <w:gridSpan w:val="2"/>
          </w:tcPr>
          <w:p>
            <w:pPr>
              <w:jc w:val="right"/>
              <w:spacing w:after="0" w:line="176" w:lineRule="exact"/>
              <w:rPr>
                <w:sz w:val="20"/>
                <w:szCs w:val="20"/>
                <w:color w:val="auto"/>
              </w:rPr>
            </w:pPr>
            <w:r>
              <w:rPr>
                <w:rFonts w:ascii="Arial" w:cs="Arial" w:eastAsia="Arial" w:hAnsi="Arial"/>
                <w:sz w:val="16"/>
                <w:szCs w:val="16"/>
                <w:color w:val="auto"/>
              </w:rPr>
              <w:t>42</w:t>
            </w:r>
          </w:p>
        </w:tc>
        <w:tc>
          <w:tcPr>
            <w:tcW w:w="1100" w:type="dxa"/>
            <w:vAlign w:val="bottom"/>
          </w:tcPr>
          <w:p>
            <w:pPr>
              <w:spacing w:after="0"/>
              <w:rPr>
                <w:sz w:val="15"/>
                <w:szCs w:val="15"/>
                <w:color w:val="auto"/>
              </w:rPr>
            </w:pPr>
          </w:p>
        </w:tc>
        <w:tc>
          <w:tcPr>
            <w:tcW w:w="560" w:type="dxa"/>
            <w:vAlign w:val="bottom"/>
            <w:gridSpan w:val="2"/>
          </w:tcPr>
          <w:p>
            <w:pPr>
              <w:jc w:val="right"/>
              <w:spacing w:after="0" w:line="176" w:lineRule="exact"/>
              <w:rPr>
                <w:sz w:val="20"/>
                <w:szCs w:val="20"/>
                <w:color w:val="auto"/>
              </w:rPr>
            </w:pPr>
            <w:r>
              <w:rPr>
                <w:rFonts w:ascii="Arial" w:cs="Arial" w:eastAsia="Arial" w:hAnsi="Arial"/>
                <w:sz w:val="16"/>
                <w:szCs w:val="16"/>
                <w:color w:val="auto"/>
              </w:rPr>
              <w:t>41</w:t>
            </w:r>
          </w:p>
        </w:tc>
        <w:tc>
          <w:tcPr>
            <w:tcW w:w="320" w:type="dxa"/>
            <w:vAlign w:val="bottom"/>
          </w:tcPr>
          <w:p>
            <w:pPr>
              <w:spacing w:after="0"/>
              <w:rPr>
                <w:sz w:val="15"/>
                <w:szCs w:val="15"/>
                <w:color w:val="auto"/>
              </w:rPr>
            </w:pPr>
          </w:p>
        </w:tc>
        <w:tc>
          <w:tcPr>
            <w:tcW w:w="1360" w:type="dxa"/>
            <w:vAlign w:val="bottom"/>
            <w:gridSpan w:val="2"/>
          </w:tcPr>
          <w:p>
            <w:pPr>
              <w:jc w:val="right"/>
              <w:spacing w:after="0" w:line="176" w:lineRule="exact"/>
              <w:rPr>
                <w:sz w:val="20"/>
                <w:szCs w:val="20"/>
                <w:color w:val="auto"/>
              </w:rPr>
            </w:pPr>
            <w:r>
              <w:rPr>
                <w:rFonts w:ascii="Arial" w:cs="Arial" w:eastAsia="Arial" w:hAnsi="Arial"/>
                <w:sz w:val="16"/>
                <w:szCs w:val="16"/>
                <w:color w:val="auto"/>
              </w:rPr>
              <w:t>16</w:t>
            </w:r>
          </w:p>
        </w:tc>
        <w:tc>
          <w:tcPr>
            <w:tcW w:w="360" w:type="dxa"/>
            <w:vAlign w:val="bottom"/>
          </w:tcPr>
          <w:p>
            <w:pPr>
              <w:spacing w:after="0"/>
              <w:rPr>
                <w:sz w:val="15"/>
                <w:szCs w:val="15"/>
                <w:color w:val="auto"/>
              </w:rPr>
            </w:pPr>
          </w:p>
        </w:tc>
        <w:tc>
          <w:tcPr>
            <w:tcW w:w="1320" w:type="dxa"/>
            <w:vAlign w:val="bottom"/>
          </w:tcPr>
          <w:p>
            <w:pPr>
              <w:jc w:val="right"/>
              <w:spacing w:after="0" w:line="176" w:lineRule="exact"/>
              <w:rPr>
                <w:sz w:val="20"/>
                <w:szCs w:val="20"/>
                <w:color w:val="auto"/>
              </w:rPr>
            </w:pPr>
            <w:r>
              <w:rPr>
                <w:rFonts w:ascii="Arial" w:cs="Arial" w:eastAsia="Arial" w:hAnsi="Arial"/>
                <w:sz w:val="16"/>
                <w:szCs w:val="16"/>
                <w:color w:val="auto"/>
              </w:rPr>
              <w:t>14</w:t>
            </w:r>
          </w:p>
        </w:tc>
        <w:tc>
          <w:tcPr>
            <w:tcW w:w="0" w:type="dxa"/>
            <w:vAlign w:val="bottom"/>
          </w:tcPr>
          <w:p>
            <w:pPr>
              <w:spacing w:after="0"/>
              <w:rPr>
                <w:sz w:val="1"/>
                <w:szCs w:val="1"/>
                <w:color w:val="auto"/>
              </w:rPr>
            </w:pPr>
          </w:p>
        </w:tc>
      </w:tr>
      <w:tr>
        <w:trPr>
          <w:trHeight w:val="176"/>
        </w:trPr>
        <w:tc>
          <w:tcPr>
            <w:tcW w:w="4000" w:type="dxa"/>
            <w:vAlign w:val="bottom"/>
            <w:gridSpan w:val="2"/>
          </w:tcPr>
          <w:p>
            <w:pPr>
              <w:spacing w:after="0" w:line="176" w:lineRule="exact"/>
              <w:rPr>
                <w:sz w:val="20"/>
                <w:szCs w:val="20"/>
                <w:color w:val="auto"/>
              </w:rPr>
            </w:pPr>
            <w:r>
              <w:rPr>
                <w:rFonts w:ascii="Arial" w:cs="Arial" w:eastAsia="Arial" w:hAnsi="Arial"/>
                <w:sz w:val="16"/>
                <w:szCs w:val="16"/>
                <w:color w:val="auto"/>
              </w:rPr>
              <w:t>Expected return on assets</w:t>
            </w:r>
          </w:p>
        </w:tc>
        <w:tc>
          <w:tcPr>
            <w:tcW w:w="4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620" w:type="dxa"/>
            <w:vAlign w:val="bottom"/>
            <w:gridSpan w:val="2"/>
          </w:tcPr>
          <w:p>
            <w:pPr>
              <w:jc w:val="right"/>
              <w:spacing w:after="0" w:line="176" w:lineRule="exact"/>
              <w:rPr>
                <w:sz w:val="20"/>
                <w:szCs w:val="20"/>
                <w:color w:val="auto"/>
              </w:rPr>
            </w:pPr>
            <w:r>
              <w:rPr>
                <w:rFonts w:ascii="Arial" w:cs="Arial" w:eastAsia="Arial" w:hAnsi="Arial"/>
                <w:sz w:val="16"/>
                <w:szCs w:val="16"/>
                <w:color w:val="auto"/>
              </w:rPr>
              <w:t>(36)</w:t>
            </w:r>
          </w:p>
        </w:tc>
        <w:tc>
          <w:tcPr>
            <w:tcW w:w="1100" w:type="dxa"/>
            <w:vAlign w:val="bottom"/>
          </w:tcPr>
          <w:p>
            <w:pPr>
              <w:spacing w:after="0"/>
              <w:rPr>
                <w:sz w:val="15"/>
                <w:szCs w:val="15"/>
                <w:color w:val="auto"/>
              </w:rPr>
            </w:pPr>
          </w:p>
        </w:tc>
        <w:tc>
          <w:tcPr>
            <w:tcW w:w="560" w:type="dxa"/>
            <w:vAlign w:val="bottom"/>
            <w:gridSpan w:val="2"/>
          </w:tcPr>
          <w:p>
            <w:pPr>
              <w:jc w:val="right"/>
              <w:spacing w:after="0" w:line="176" w:lineRule="exact"/>
              <w:rPr>
                <w:sz w:val="20"/>
                <w:szCs w:val="20"/>
                <w:color w:val="auto"/>
              </w:rPr>
            </w:pPr>
            <w:r>
              <w:rPr>
                <w:rFonts w:ascii="Arial" w:cs="Arial" w:eastAsia="Arial" w:hAnsi="Arial"/>
                <w:sz w:val="16"/>
                <w:szCs w:val="16"/>
                <w:color w:val="auto"/>
              </w:rPr>
              <w:t>(36)</w:t>
            </w:r>
          </w:p>
        </w:tc>
        <w:tc>
          <w:tcPr>
            <w:tcW w:w="320" w:type="dxa"/>
            <w:vAlign w:val="bottom"/>
          </w:tcPr>
          <w:p>
            <w:pPr>
              <w:spacing w:after="0"/>
              <w:rPr>
                <w:sz w:val="15"/>
                <w:szCs w:val="15"/>
                <w:color w:val="auto"/>
              </w:rPr>
            </w:pPr>
          </w:p>
        </w:tc>
        <w:tc>
          <w:tcPr>
            <w:tcW w:w="1360" w:type="dxa"/>
            <w:vAlign w:val="bottom"/>
            <w:gridSpan w:val="2"/>
          </w:tcPr>
          <w:p>
            <w:pPr>
              <w:jc w:val="right"/>
              <w:spacing w:after="0" w:line="176" w:lineRule="exact"/>
              <w:rPr>
                <w:sz w:val="20"/>
                <w:szCs w:val="20"/>
                <w:color w:val="auto"/>
              </w:rPr>
            </w:pPr>
            <w:r>
              <w:rPr>
                <w:rFonts w:ascii="Arial" w:cs="Arial" w:eastAsia="Arial" w:hAnsi="Arial"/>
                <w:sz w:val="16"/>
                <w:szCs w:val="16"/>
                <w:color w:val="auto"/>
              </w:rPr>
              <w:t>(12)</w:t>
            </w:r>
          </w:p>
        </w:tc>
        <w:tc>
          <w:tcPr>
            <w:tcW w:w="360" w:type="dxa"/>
            <w:vAlign w:val="bottom"/>
          </w:tcPr>
          <w:p>
            <w:pPr>
              <w:spacing w:after="0"/>
              <w:rPr>
                <w:sz w:val="15"/>
                <w:szCs w:val="15"/>
                <w:color w:val="auto"/>
              </w:rPr>
            </w:pPr>
          </w:p>
        </w:tc>
        <w:tc>
          <w:tcPr>
            <w:tcW w:w="1320" w:type="dxa"/>
            <w:vAlign w:val="bottom"/>
          </w:tcPr>
          <w:p>
            <w:pPr>
              <w:jc w:val="right"/>
              <w:spacing w:after="0" w:line="176" w:lineRule="exact"/>
              <w:rPr>
                <w:sz w:val="20"/>
                <w:szCs w:val="20"/>
                <w:color w:val="auto"/>
              </w:rPr>
            </w:pPr>
            <w:r>
              <w:rPr>
                <w:rFonts w:ascii="Arial" w:cs="Arial" w:eastAsia="Arial" w:hAnsi="Arial"/>
                <w:sz w:val="16"/>
                <w:szCs w:val="16"/>
                <w:color w:val="auto"/>
              </w:rPr>
              <w:t>(11)</w:t>
            </w:r>
          </w:p>
        </w:tc>
        <w:tc>
          <w:tcPr>
            <w:tcW w:w="0" w:type="dxa"/>
            <w:vAlign w:val="bottom"/>
          </w:tcPr>
          <w:p>
            <w:pPr>
              <w:spacing w:after="0"/>
              <w:rPr>
                <w:sz w:val="1"/>
                <w:szCs w:val="1"/>
                <w:color w:val="auto"/>
              </w:rPr>
            </w:pPr>
          </w:p>
        </w:tc>
      </w:tr>
      <w:tr>
        <w:trPr>
          <w:trHeight w:val="176"/>
        </w:trPr>
        <w:tc>
          <w:tcPr>
            <w:tcW w:w="4000" w:type="dxa"/>
            <w:vAlign w:val="bottom"/>
            <w:gridSpan w:val="2"/>
          </w:tcPr>
          <w:p>
            <w:pPr>
              <w:spacing w:after="0" w:line="176" w:lineRule="exact"/>
              <w:rPr>
                <w:sz w:val="20"/>
                <w:szCs w:val="20"/>
                <w:color w:val="auto"/>
              </w:rPr>
            </w:pPr>
            <w:r>
              <w:rPr>
                <w:rFonts w:ascii="Arial" w:cs="Arial" w:eastAsia="Arial" w:hAnsi="Arial"/>
                <w:sz w:val="16"/>
                <w:szCs w:val="16"/>
                <w:color w:val="auto"/>
              </w:rPr>
              <w:t>Amortization of:</w:t>
            </w:r>
          </w:p>
        </w:tc>
        <w:tc>
          <w:tcPr>
            <w:tcW w:w="4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980" w:type="dxa"/>
            <w:vAlign w:val="bottom"/>
          </w:tcPr>
          <w:p>
            <w:pPr>
              <w:ind w:left="160"/>
              <w:spacing w:after="0" w:line="176" w:lineRule="exact"/>
              <w:rPr>
                <w:sz w:val="20"/>
                <w:szCs w:val="20"/>
                <w:color w:val="auto"/>
              </w:rPr>
            </w:pPr>
            <w:r>
              <w:rPr>
                <w:rFonts w:ascii="Arial" w:cs="Arial" w:eastAsia="Arial" w:hAnsi="Arial"/>
                <w:sz w:val="16"/>
                <w:szCs w:val="16"/>
                <w:color w:val="auto"/>
              </w:rPr>
              <w:t>Prior service cost (credit)</w:t>
            </w:r>
          </w:p>
        </w:tc>
        <w:tc>
          <w:tcPr>
            <w:tcW w:w="4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00" w:type="dxa"/>
            <w:vAlign w:val="bottom"/>
          </w:tcPr>
          <w:p>
            <w:pPr>
              <w:jc w:val="right"/>
              <w:spacing w:after="0" w:line="176" w:lineRule="exact"/>
              <w:rPr>
                <w:sz w:val="20"/>
                <w:szCs w:val="20"/>
                <w:color w:val="auto"/>
              </w:rPr>
            </w:pPr>
            <w:r>
              <w:rPr>
                <w:rFonts w:ascii="Arial" w:cs="Arial" w:eastAsia="Arial" w:hAnsi="Arial"/>
                <w:sz w:val="16"/>
                <w:szCs w:val="16"/>
                <w:color w:val="auto"/>
              </w:rPr>
              <w:t>1</w:t>
            </w:r>
          </w:p>
        </w:tc>
        <w:tc>
          <w:tcPr>
            <w:tcW w:w="1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60" w:type="dxa"/>
            <w:vAlign w:val="bottom"/>
          </w:tcPr>
          <w:p>
            <w:pPr>
              <w:jc w:val="right"/>
              <w:spacing w:after="0" w:line="176" w:lineRule="exact"/>
              <w:rPr>
                <w:sz w:val="20"/>
                <w:szCs w:val="20"/>
                <w:color w:val="auto"/>
              </w:rPr>
            </w:pPr>
            <w:r>
              <w:rPr>
                <w:rFonts w:ascii="Arial" w:cs="Arial" w:eastAsia="Arial" w:hAnsi="Arial"/>
                <w:sz w:val="16"/>
                <w:szCs w:val="16"/>
                <w:color w:val="auto"/>
              </w:rPr>
              <w:t>1</w:t>
            </w:r>
          </w:p>
        </w:tc>
        <w:tc>
          <w:tcPr>
            <w:tcW w:w="320" w:type="dxa"/>
            <w:vAlign w:val="bottom"/>
          </w:tcPr>
          <w:p>
            <w:pPr>
              <w:spacing w:after="0"/>
              <w:rPr>
                <w:sz w:val="15"/>
                <w:szCs w:val="15"/>
                <w:color w:val="auto"/>
              </w:rPr>
            </w:pPr>
          </w:p>
        </w:tc>
        <w:tc>
          <w:tcPr>
            <w:tcW w:w="1360" w:type="dxa"/>
            <w:vAlign w:val="bottom"/>
            <w:gridSpan w:val="2"/>
          </w:tcPr>
          <w:p>
            <w:pPr>
              <w:jc w:val="right"/>
              <w:spacing w:after="0" w:line="176" w:lineRule="exact"/>
              <w:rPr>
                <w:sz w:val="20"/>
                <w:szCs w:val="20"/>
                <w:color w:val="auto"/>
              </w:rPr>
            </w:pPr>
            <w:r>
              <w:rPr>
                <w:rFonts w:ascii="Arial" w:cs="Arial" w:eastAsia="Arial" w:hAnsi="Arial"/>
                <w:sz w:val="16"/>
                <w:szCs w:val="16"/>
                <w:color w:val="auto"/>
              </w:rPr>
              <w:t>―</w:t>
            </w:r>
          </w:p>
        </w:tc>
        <w:tc>
          <w:tcPr>
            <w:tcW w:w="360" w:type="dxa"/>
            <w:vAlign w:val="bottom"/>
          </w:tcPr>
          <w:p>
            <w:pPr>
              <w:spacing w:after="0"/>
              <w:rPr>
                <w:sz w:val="15"/>
                <w:szCs w:val="15"/>
                <w:color w:val="auto"/>
              </w:rPr>
            </w:pPr>
          </w:p>
        </w:tc>
        <w:tc>
          <w:tcPr>
            <w:tcW w:w="1320" w:type="dxa"/>
            <w:vAlign w:val="bottom"/>
          </w:tcPr>
          <w:p>
            <w:pPr>
              <w:jc w:val="right"/>
              <w:spacing w:after="0" w:line="176" w:lineRule="exact"/>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980" w:type="dxa"/>
            <w:vAlign w:val="bottom"/>
          </w:tcPr>
          <w:p>
            <w:pPr>
              <w:ind w:left="160"/>
              <w:spacing w:after="0" w:line="176" w:lineRule="exact"/>
              <w:rPr>
                <w:sz w:val="20"/>
                <w:szCs w:val="20"/>
                <w:color w:val="auto"/>
              </w:rPr>
            </w:pPr>
            <w:r>
              <w:rPr>
                <w:rFonts w:ascii="Arial" w:cs="Arial" w:eastAsia="Arial" w:hAnsi="Arial"/>
                <w:sz w:val="16"/>
                <w:szCs w:val="16"/>
                <w:color w:val="auto"/>
              </w:rPr>
              <w:t>Actuarial loss</w:t>
            </w:r>
          </w:p>
        </w:tc>
        <w:tc>
          <w:tcPr>
            <w:tcW w:w="4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00" w:type="dxa"/>
            <w:vAlign w:val="bottom"/>
          </w:tcPr>
          <w:p>
            <w:pPr>
              <w:jc w:val="right"/>
              <w:spacing w:after="0" w:line="176" w:lineRule="exact"/>
              <w:rPr>
                <w:sz w:val="20"/>
                <w:szCs w:val="20"/>
                <w:color w:val="auto"/>
              </w:rPr>
            </w:pPr>
            <w:r>
              <w:rPr>
                <w:rFonts w:ascii="Arial" w:cs="Arial" w:eastAsia="Arial" w:hAnsi="Arial"/>
                <w:sz w:val="16"/>
                <w:szCs w:val="16"/>
                <w:color w:val="auto"/>
              </w:rPr>
              <w:t>9</w:t>
            </w:r>
          </w:p>
        </w:tc>
        <w:tc>
          <w:tcPr>
            <w:tcW w:w="1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60" w:type="dxa"/>
            <w:vAlign w:val="bottom"/>
          </w:tcPr>
          <w:p>
            <w:pPr>
              <w:jc w:val="right"/>
              <w:spacing w:after="0" w:line="176" w:lineRule="exact"/>
              <w:rPr>
                <w:sz w:val="20"/>
                <w:szCs w:val="20"/>
                <w:color w:val="auto"/>
              </w:rPr>
            </w:pPr>
            <w:r>
              <w:rPr>
                <w:rFonts w:ascii="Arial" w:cs="Arial" w:eastAsia="Arial" w:hAnsi="Arial"/>
                <w:sz w:val="16"/>
                <w:szCs w:val="16"/>
                <w:color w:val="auto"/>
              </w:rPr>
              <w:t>7</w:t>
            </w:r>
          </w:p>
        </w:tc>
        <w:tc>
          <w:tcPr>
            <w:tcW w:w="320" w:type="dxa"/>
            <w:vAlign w:val="bottom"/>
          </w:tcPr>
          <w:p>
            <w:pPr>
              <w:spacing w:after="0"/>
              <w:rPr>
                <w:sz w:val="15"/>
                <w:szCs w:val="15"/>
                <w:color w:val="auto"/>
              </w:rPr>
            </w:pPr>
          </w:p>
        </w:tc>
        <w:tc>
          <w:tcPr>
            <w:tcW w:w="1360" w:type="dxa"/>
            <w:vAlign w:val="bottom"/>
            <w:gridSpan w:val="2"/>
          </w:tcPr>
          <w:p>
            <w:pPr>
              <w:jc w:val="right"/>
              <w:spacing w:after="0" w:line="176" w:lineRule="exact"/>
              <w:rPr>
                <w:sz w:val="20"/>
                <w:szCs w:val="20"/>
                <w:color w:val="auto"/>
              </w:rPr>
            </w:pPr>
            <w:r>
              <w:rPr>
                <w:rFonts w:ascii="Arial" w:cs="Arial" w:eastAsia="Arial" w:hAnsi="Arial"/>
                <w:sz w:val="16"/>
                <w:szCs w:val="16"/>
                <w:color w:val="auto"/>
              </w:rPr>
              <w:t>5</w:t>
            </w:r>
          </w:p>
        </w:tc>
        <w:tc>
          <w:tcPr>
            <w:tcW w:w="360" w:type="dxa"/>
            <w:vAlign w:val="bottom"/>
          </w:tcPr>
          <w:p>
            <w:pPr>
              <w:spacing w:after="0"/>
              <w:rPr>
                <w:sz w:val="15"/>
                <w:szCs w:val="15"/>
                <w:color w:val="auto"/>
              </w:rPr>
            </w:pPr>
          </w:p>
        </w:tc>
        <w:tc>
          <w:tcPr>
            <w:tcW w:w="1320" w:type="dxa"/>
            <w:vAlign w:val="bottom"/>
          </w:tcPr>
          <w:p>
            <w:pPr>
              <w:jc w:val="right"/>
              <w:spacing w:after="0" w:line="176" w:lineRule="exact"/>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176"/>
        </w:trPr>
        <w:tc>
          <w:tcPr>
            <w:tcW w:w="4000" w:type="dxa"/>
            <w:vAlign w:val="bottom"/>
            <w:gridSpan w:val="2"/>
          </w:tcPr>
          <w:p>
            <w:pPr>
              <w:spacing w:after="0" w:line="176" w:lineRule="exact"/>
              <w:rPr>
                <w:sz w:val="20"/>
                <w:szCs w:val="20"/>
                <w:color w:val="auto"/>
              </w:rPr>
            </w:pPr>
            <w:r>
              <w:rPr>
                <w:rFonts w:ascii="Arial" w:cs="Arial" w:eastAsia="Arial" w:hAnsi="Arial"/>
                <w:sz w:val="16"/>
                <w:szCs w:val="16"/>
                <w:color w:val="auto"/>
              </w:rPr>
              <w:t>Settlement</w:t>
            </w:r>
          </w:p>
        </w:tc>
        <w:tc>
          <w:tcPr>
            <w:tcW w:w="4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620" w:type="dxa"/>
            <w:vAlign w:val="bottom"/>
            <w:gridSpan w:val="2"/>
          </w:tcPr>
          <w:p>
            <w:pPr>
              <w:jc w:val="right"/>
              <w:spacing w:after="0" w:line="176" w:lineRule="exact"/>
              <w:rPr>
                <w:sz w:val="20"/>
                <w:szCs w:val="20"/>
                <w:color w:val="auto"/>
              </w:rPr>
            </w:pPr>
            <w:r>
              <w:rPr>
                <w:rFonts w:ascii="Arial" w:cs="Arial" w:eastAsia="Arial" w:hAnsi="Arial"/>
                <w:sz w:val="16"/>
                <w:szCs w:val="16"/>
                <w:color w:val="auto"/>
              </w:rPr>
              <w:t>10</w:t>
            </w:r>
          </w:p>
        </w:tc>
        <w:tc>
          <w:tcPr>
            <w:tcW w:w="1100" w:type="dxa"/>
            <w:vAlign w:val="bottom"/>
          </w:tcPr>
          <w:p>
            <w:pPr>
              <w:spacing w:after="0"/>
              <w:rPr>
                <w:sz w:val="15"/>
                <w:szCs w:val="15"/>
                <w:color w:val="auto"/>
              </w:rPr>
            </w:pPr>
          </w:p>
        </w:tc>
        <w:tc>
          <w:tcPr>
            <w:tcW w:w="560" w:type="dxa"/>
            <w:vAlign w:val="bottom"/>
            <w:gridSpan w:val="2"/>
          </w:tcPr>
          <w:p>
            <w:pPr>
              <w:jc w:val="right"/>
              <w:spacing w:after="0" w:line="176" w:lineRule="exact"/>
              <w:rPr>
                <w:sz w:val="20"/>
                <w:szCs w:val="20"/>
                <w:color w:val="auto"/>
              </w:rPr>
            </w:pPr>
            <w:r>
              <w:rPr>
                <w:rFonts w:ascii="Arial" w:cs="Arial" w:eastAsia="Arial" w:hAnsi="Arial"/>
                <w:sz w:val="16"/>
                <w:szCs w:val="16"/>
                <w:color w:val="auto"/>
              </w:rPr>
              <w:t>―</w:t>
            </w:r>
          </w:p>
        </w:tc>
        <w:tc>
          <w:tcPr>
            <w:tcW w:w="320" w:type="dxa"/>
            <w:vAlign w:val="bottom"/>
          </w:tcPr>
          <w:p>
            <w:pPr>
              <w:spacing w:after="0"/>
              <w:rPr>
                <w:sz w:val="15"/>
                <w:szCs w:val="15"/>
                <w:color w:val="auto"/>
              </w:rPr>
            </w:pPr>
          </w:p>
        </w:tc>
        <w:tc>
          <w:tcPr>
            <w:tcW w:w="1360" w:type="dxa"/>
            <w:vAlign w:val="bottom"/>
            <w:gridSpan w:val="2"/>
          </w:tcPr>
          <w:p>
            <w:pPr>
              <w:jc w:val="right"/>
              <w:spacing w:after="0" w:line="176" w:lineRule="exact"/>
              <w:rPr>
                <w:sz w:val="20"/>
                <w:szCs w:val="20"/>
                <w:color w:val="auto"/>
              </w:rPr>
            </w:pPr>
            <w:r>
              <w:rPr>
                <w:rFonts w:ascii="Arial" w:cs="Arial" w:eastAsia="Arial" w:hAnsi="Arial"/>
                <w:sz w:val="16"/>
                <w:szCs w:val="16"/>
                <w:color w:val="auto"/>
              </w:rPr>
              <w:t>―</w:t>
            </w:r>
          </w:p>
        </w:tc>
        <w:tc>
          <w:tcPr>
            <w:tcW w:w="360" w:type="dxa"/>
            <w:vAlign w:val="bottom"/>
          </w:tcPr>
          <w:p>
            <w:pPr>
              <w:spacing w:after="0"/>
              <w:rPr>
                <w:sz w:val="15"/>
                <w:szCs w:val="15"/>
                <w:color w:val="auto"/>
              </w:rPr>
            </w:pPr>
          </w:p>
        </w:tc>
        <w:tc>
          <w:tcPr>
            <w:tcW w:w="1320" w:type="dxa"/>
            <w:vAlign w:val="bottom"/>
          </w:tcPr>
          <w:p>
            <w:pPr>
              <w:jc w:val="right"/>
              <w:spacing w:after="0" w:line="176" w:lineRule="exact"/>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4"/>
        </w:trPr>
        <w:tc>
          <w:tcPr>
            <w:tcW w:w="4000" w:type="dxa"/>
            <w:vAlign w:val="bottom"/>
            <w:gridSpan w:val="2"/>
          </w:tcPr>
          <w:p>
            <w:pPr>
              <w:spacing w:after="0"/>
              <w:rPr>
                <w:sz w:val="20"/>
                <w:szCs w:val="20"/>
                <w:color w:val="auto"/>
              </w:rPr>
            </w:pPr>
            <w:r>
              <w:rPr>
                <w:rFonts w:ascii="Arial" w:cs="Arial" w:eastAsia="Arial" w:hAnsi="Arial"/>
                <w:sz w:val="16"/>
                <w:szCs w:val="16"/>
                <w:color w:val="auto"/>
              </w:rPr>
              <w:t>Regulatory adjustment</w:t>
            </w:r>
          </w:p>
        </w:tc>
        <w:tc>
          <w:tcPr>
            <w:tcW w:w="4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w:t>
            </w:r>
          </w:p>
        </w:tc>
        <w:tc>
          <w:tcPr>
            <w:tcW w:w="110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10</w:t>
            </w:r>
          </w:p>
        </w:tc>
        <w:tc>
          <w:tcPr>
            <w:tcW w:w="3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2</w:t>
            </w:r>
          </w:p>
        </w:tc>
        <w:tc>
          <w:tcPr>
            <w:tcW w:w="36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183"/>
        </w:trPr>
        <w:tc>
          <w:tcPr>
            <w:tcW w:w="4000" w:type="dxa"/>
            <w:vAlign w:val="bottom"/>
            <w:gridSpan w:val="2"/>
          </w:tcPr>
          <w:p>
            <w:pPr>
              <w:spacing w:after="0" w:line="176" w:lineRule="exact"/>
              <w:rPr>
                <w:sz w:val="20"/>
                <w:szCs w:val="20"/>
                <w:color w:val="auto"/>
              </w:rPr>
            </w:pPr>
            <w:r>
              <w:rPr>
                <w:rFonts w:ascii="Arial" w:cs="Arial" w:eastAsia="Arial" w:hAnsi="Arial"/>
                <w:sz w:val="16"/>
                <w:szCs w:val="16"/>
                <w:color w:val="auto"/>
              </w:rPr>
              <w:t>Total net periodic benefit cost</w:t>
            </w:r>
          </w:p>
        </w:tc>
        <w:tc>
          <w:tcPr>
            <w:tcW w:w="4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40" w:type="dxa"/>
            <w:vAlign w:val="bottom"/>
          </w:tcPr>
          <w:p>
            <w:pPr>
              <w:jc w:val="right"/>
              <w:ind w:right="887"/>
              <w:spacing w:after="0"/>
              <w:rPr>
                <w:sz w:val="20"/>
                <w:szCs w:val="20"/>
                <w:color w:val="auto"/>
              </w:rPr>
            </w:pPr>
            <w:r>
              <w:rPr>
                <w:rFonts w:ascii="Arial" w:cs="Arial" w:eastAsia="Arial" w:hAnsi="Arial"/>
                <w:sz w:val="15"/>
                <w:szCs w:val="15"/>
                <w:color w:val="auto"/>
                <w:w w:val="71"/>
              </w:rPr>
              <w:t>$</w:t>
            </w:r>
          </w:p>
        </w:tc>
        <w:tc>
          <w:tcPr>
            <w:tcW w:w="620" w:type="dxa"/>
            <w:vAlign w:val="bottom"/>
            <w:gridSpan w:val="2"/>
          </w:tcPr>
          <w:p>
            <w:pPr>
              <w:jc w:val="right"/>
              <w:spacing w:after="0" w:line="176" w:lineRule="exact"/>
              <w:rPr>
                <w:sz w:val="20"/>
                <w:szCs w:val="20"/>
                <w:color w:val="auto"/>
              </w:rPr>
            </w:pPr>
            <w:r>
              <w:rPr>
                <w:rFonts w:ascii="Arial" w:cs="Arial" w:eastAsia="Arial" w:hAnsi="Arial"/>
                <w:sz w:val="16"/>
                <w:szCs w:val="16"/>
                <w:color w:val="auto"/>
              </w:rPr>
              <w:t>51</w:t>
            </w:r>
          </w:p>
        </w:tc>
        <w:tc>
          <w:tcPr>
            <w:tcW w:w="1100" w:type="dxa"/>
            <w:vAlign w:val="bottom"/>
          </w:tcPr>
          <w:p>
            <w:pPr>
              <w:jc w:val="right"/>
              <w:ind w:right="946"/>
              <w:spacing w:after="0"/>
              <w:rPr>
                <w:sz w:val="20"/>
                <w:szCs w:val="20"/>
                <w:color w:val="auto"/>
              </w:rPr>
            </w:pPr>
            <w:r>
              <w:rPr>
                <w:rFonts w:ascii="Arial" w:cs="Arial" w:eastAsia="Arial" w:hAnsi="Arial"/>
                <w:sz w:val="15"/>
                <w:szCs w:val="15"/>
                <w:color w:val="auto"/>
                <w:w w:val="71"/>
              </w:rPr>
              <w:t>$</w:t>
            </w:r>
          </w:p>
        </w:tc>
        <w:tc>
          <w:tcPr>
            <w:tcW w:w="560" w:type="dxa"/>
            <w:vAlign w:val="bottom"/>
            <w:gridSpan w:val="2"/>
          </w:tcPr>
          <w:p>
            <w:pPr>
              <w:jc w:val="right"/>
              <w:spacing w:after="0" w:line="176" w:lineRule="exact"/>
              <w:rPr>
                <w:sz w:val="20"/>
                <w:szCs w:val="20"/>
                <w:color w:val="auto"/>
              </w:rPr>
            </w:pPr>
            <w:r>
              <w:rPr>
                <w:rFonts w:ascii="Arial" w:cs="Arial" w:eastAsia="Arial" w:hAnsi="Arial"/>
                <w:sz w:val="16"/>
                <w:szCs w:val="16"/>
                <w:color w:val="auto"/>
              </w:rPr>
              <w:t>43</w:t>
            </w:r>
          </w:p>
        </w:tc>
        <w:tc>
          <w:tcPr>
            <w:tcW w:w="320" w:type="dxa"/>
            <w:vAlign w:val="bottom"/>
          </w:tcPr>
          <w:p>
            <w:pPr>
              <w:jc w:val="right"/>
              <w:ind w:right="164"/>
              <w:spacing w:after="0"/>
              <w:rPr>
                <w:sz w:val="20"/>
                <w:szCs w:val="20"/>
                <w:color w:val="auto"/>
              </w:rPr>
            </w:pPr>
            <w:r>
              <w:rPr>
                <w:rFonts w:ascii="Arial" w:cs="Arial" w:eastAsia="Arial" w:hAnsi="Arial"/>
                <w:sz w:val="15"/>
                <w:szCs w:val="15"/>
                <w:color w:val="auto"/>
                <w:w w:val="71"/>
              </w:rPr>
              <w:t>$</w:t>
            </w:r>
          </w:p>
        </w:tc>
        <w:tc>
          <w:tcPr>
            <w:tcW w:w="1360" w:type="dxa"/>
            <w:vAlign w:val="bottom"/>
            <w:gridSpan w:val="2"/>
          </w:tcPr>
          <w:p>
            <w:pPr>
              <w:jc w:val="right"/>
              <w:spacing w:after="0" w:line="176" w:lineRule="exact"/>
              <w:rPr>
                <w:sz w:val="20"/>
                <w:szCs w:val="20"/>
                <w:color w:val="auto"/>
              </w:rPr>
            </w:pPr>
            <w:r>
              <w:rPr>
                <w:rFonts w:ascii="Arial" w:cs="Arial" w:eastAsia="Arial" w:hAnsi="Arial"/>
                <w:sz w:val="16"/>
                <w:szCs w:val="16"/>
                <w:color w:val="auto"/>
              </w:rPr>
              <w:t>19</w:t>
            </w:r>
          </w:p>
        </w:tc>
        <w:tc>
          <w:tcPr>
            <w:tcW w:w="360" w:type="dxa"/>
            <w:vAlign w:val="bottom"/>
          </w:tcPr>
          <w:p>
            <w:pPr>
              <w:jc w:val="right"/>
              <w:ind w:right="204"/>
              <w:spacing w:after="0"/>
              <w:rPr>
                <w:sz w:val="20"/>
                <w:szCs w:val="20"/>
                <w:color w:val="auto"/>
              </w:rPr>
            </w:pPr>
            <w:r>
              <w:rPr>
                <w:rFonts w:ascii="Arial" w:cs="Arial" w:eastAsia="Arial" w:hAnsi="Arial"/>
                <w:sz w:val="15"/>
                <w:szCs w:val="15"/>
                <w:color w:val="auto"/>
                <w:w w:val="71"/>
              </w:rPr>
              <w:t>$</w:t>
            </w:r>
          </w:p>
        </w:tc>
        <w:tc>
          <w:tcPr>
            <w:tcW w:w="1320" w:type="dxa"/>
            <w:vAlign w:val="bottom"/>
          </w:tcPr>
          <w:p>
            <w:pPr>
              <w:jc w:val="right"/>
              <w:spacing w:after="0" w:line="176" w:lineRule="exact"/>
              <w:rPr>
                <w:sz w:val="20"/>
                <w:szCs w:val="20"/>
                <w:color w:val="auto"/>
              </w:rPr>
            </w:pPr>
            <w:r>
              <w:rPr>
                <w:rFonts w:ascii="Arial" w:cs="Arial" w:eastAsia="Arial" w:hAnsi="Arial"/>
                <w:sz w:val="16"/>
                <w:szCs w:val="16"/>
                <w:color w:val="auto"/>
              </w:rPr>
              <w:t>14</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3980" w:type="dxa"/>
            <w:vAlign w:val="bottom"/>
            <w:tcBorders>
              <w:top w:val="single" w:sz="8" w:color="auto"/>
            </w:tcBorders>
          </w:tcPr>
          <w:p>
            <w:pPr>
              <w:spacing w:after="0"/>
              <w:rPr>
                <w:sz w:val="14"/>
                <w:szCs w:val="14"/>
                <w:color w:val="auto"/>
              </w:rPr>
            </w:pPr>
          </w:p>
        </w:tc>
        <w:tc>
          <w:tcPr>
            <w:tcW w:w="480" w:type="dxa"/>
            <w:vAlign w:val="bottom"/>
            <w:tcBorders>
              <w:top w:val="single" w:sz="8" w:color="auto"/>
            </w:tcBorders>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2760" w:type="dxa"/>
            <w:vAlign w:val="bottom"/>
            <w:tcBorders>
              <w:top w:val="single" w:sz="8" w:color="auto"/>
              <w:bottom w:val="single" w:sz="8" w:color="auto"/>
            </w:tcBorders>
            <w:gridSpan w:val="4"/>
          </w:tcPr>
          <w:p>
            <w:pPr>
              <w:jc w:val="center"/>
              <w:ind w:left="467"/>
              <w:spacing w:after="0"/>
              <w:rPr>
                <w:sz w:val="20"/>
                <w:szCs w:val="20"/>
                <w:color w:val="auto"/>
              </w:rPr>
            </w:pPr>
            <w:r>
              <w:rPr>
                <w:rFonts w:ascii="Arial" w:cs="Arial" w:eastAsia="Arial" w:hAnsi="Arial"/>
                <w:sz w:val="14"/>
                <w:szCs w:val="14"/>
                <w:color w:val="auto"/>
              </w:rPr>
              <w:t>Six months ended June 30,</w:t>
            </w:r>
          </w:p>
        </w:tc>
        <w:tc>
          <w:tcPr>
            <w:tcW w:w="400" w:type="dxa"/>
            <w:vAlign w:val="bottom"/>
            <w:tcBorders>
              <w:top w:val="single" w:sz="8" w:color="auto"/>
              <w:bottom w:val="single" w:sz="8" w:color="auto"/>
            </w:tcBorders>
          </w:tcPr>
          <w:p>
            <w:pPr>
              <w:spacing w:after="0"/>
              <w:rPr>
                <w:sz w:val="14"/>
                <w:szCs w:val="14"/>
                <w:color w:val="auto"/>
              </w:rPr>
            </w:pPr>
          </w:p>
        </w:tc>
        <w:tc>
          <w:tcPr>
            <w:tcW w:w="160" w:type="dxa"/>
            <w:vAlign w:val="bottom"/>
            <w:tcBorders>
              <w:top w:val="single" w:sz="8" w:color="auto"/>
              <w:bottom w:val="single" w:sz="8" w:color="auto"/>
            </w:tcBorders>
          </w:tcPr>
          <w:p>
            <w:pPr>
              <w:spacing w:after="0"/>
              <w:rPr>
                <w:sz w:val="14"/>
                <w:szCs w:val="14"/>
                <w:color w:val="auto"/>
              </w:rPr>
            </w:pPr>
          </w:p>
        </w:tc>
        <w:tc>
          <w:tcPr>
            <w:tcW w:w="320" w:type="dxa"/>
            <w:vAlign w:val="bottom"/>
            <w:tcBorders>
              <w:top w:val="single" w:sz="8" w:color="auto"/>
              <w:bottom w:val="single" w:sz="8" w:color="auto"/>
            </w:tcBorders>
          </w:tcPr>
          <w:p>
            <w:pPr>
              <w:spacing w:after="0"/>
              <w:rPr>
                <w:sz w:val="14"/>
                <w:szCs w:val="14"/>
                <w:color w:val="auto"/>
              </w:rPr>
            </w:pPr>
          </w:p>
        </w:tc>
        <w:tc>
          <w:tcPr>
            <w:tcW w:w="3040" w:type="dxa"/>
            <w:vAlign w:val="bottom"/>
            <w:tcBorders>
              <w:top w:val="single" w:sz="8" w:color="auto"/>
              <w:bottom w:val="single" w:sz="8" w:color="auto"/>
            </w:tcBorders>
            <w:gridSpan w:val="4"/>
          </w:tcPr>
          <w:p>
            <w:pPr>
              <w:jc w:val="center"/>
              <w:ind w:right="240"/>
              <w:spacing w:after="0"/>
              <w:rPr>
                <w:sz w:val="20"/>
                <w:szCs w:val="20"/>
                <w:color w:val="auto"/>
              </w:rPr>
            </w:pPr>
            <w:r>
              <w:rPr>
                <w:rFonts w:ascii="Arial" w:cs="Arial" w:eastAsia="Arial" w:hAnsi="Arial"/>
                <w:sz w:val="14"/>
                <w:szCs w:val="14"/>
                <w:color w:val="auto"/>
              </w:rPr>
              <w:t>Six months ended June 30,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980" w:type="dxa"/>
            <w:vAlign w:val="bottom"/>
            <w:tcBorders>
              <w:bottom w:val="single" w:sz="8" w:color="auto"/>
            </w:tcBorders>
          </w:tcPr>
          <w:p>
            <w:pPr>
              <w:spacing w:after="0"/>
              <w:rPr>
                <w:sz w:val="18"/>
                <w:szCs w:val="18"/>
                <w:color w:val="auto"/>
              </w:rPr>
            </w:pPr>
          </w:p>
        </w:tc>
        <w:tc>
          <w:tcPr>
            <w:tcW w:w="1780" w:type="dxa"/>
            <w:vAlign w:val="bottom"/>
            <w:tcBorders>
              <w:bottom w:val="single" w:sz="8" w:color="auto"/>
            </w:tcBorders>
            <w:gridSpan w:val="3"/>
          </w:tcPr>
          <w:p>
            <w:pPr>
              <w:jc w:val="right"/>
              <w:ind w:right="7"/>
              <w:spacing w:after="0"/>
              <w:rPr>
                <w:sz w:val="20"/>
                <w:szCs w:val="20"/>
                <w:color w:val="auto"/>
              </w:rPr>
            </w:pPr>
            <w:r>
              <w:rPr>
                <w:rFonts w:ascii="Arial" w:cs="Arial" w:eastAsia="Arial" w:hAnsi="Arial"/>
                <w:sz w:val="14"/>
                <w:szCs w:val="14"/>
                <w:color w:val="auto"/>
              </w:rPr>
              <w:t>2011</w:t>
            </w:r>
          </w:p>
        </w:tc>
        <w:tc>
          <w:tcPr>
            <w:tcW w:w="4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66"/>
              <w:spacing w:after="0"/>
              <w:rPr>
                <w:sz w:val="20"/>
                <w:szCs w:val="20"/>
                <w:color w:val="auto"/>
              </w:rPr>
            </w:pPr>
            <w:r>
              <w:rPr>
                <w:rFonts w:ascii="Arial" w:cs="Arial" w:eastAsia="Arial" w:hAnsi="Arial"/>
                <w:sz w:val="14"/>
                <w:szCs w:val="14"/>
                <w:color w:val="auto"/>
              </w:rPr>
              <w:t>2010</w:t>
            </w:r>
          </w:p>
        </w:tc>
        <w:tc>
          <w:tcPr>
            <w:tcW w:w="4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ind w:left="340"/>
              <w:spacing w:after="0"/>
              <w:rPr>
                <w:sz w:val="20"/>
                <w:szCs w:val="20"/>
                <w:color w:val="auto"/>
              </w:rPr>
            </w:pPr>
            <w:r>
              <w:rPr>
                <w:rFonts w:ascii="Arial" w:cs="Arial" w:eastAsia="Arial" w:hAnsi="Arial"/>
                <w:sz w:val="14"/>
                <w:szCs w:val="14"/>
                <w:color w:val="auto"/>
              </w:rPr>
              <w:t>2011</w:t>
            </w:r>
          </w:p>
        </w:tc>
        <w:tc>
          <w:tcPr>
            <w:tcW w:w="6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620"/>
              <w:spacing w:after="0"/>
              <w:rPr>
                <w:sz w:val="20"/>
                <w:szCs w:val="20"/>
                <w:color w:val="auto"/>
              </w:rPr>
            </w:pPr>
            <w:r>
              <w:rPr>
                <w:rFonts w:ascii="Arial" w:cs="Arial" w:eastAsia="Arial" w:hAnsi="Arial"/>
                <w:sz w:val="14"/>
                <w:szCs w:val="14"/>
                <w:color w:val="auto"/>
              </w:rPr>
              <w:t>2010</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3980" w:type="dxa"/>
            <w:vAlign w:val="bottom"/>
          </w:tcPr>
          <w:p>
            <w:pPr>
              <w:spacing w:after="0" w:line="164" w:lineRule="exact"/>
              <w:rPr>
                <w:sz w:val="20"/>
                <w:szCs w:val="20"/>
                <w:color w:val="auto"/>
              </w:rPr>
            </w:pPr>
            <w:r>
              <w:rPr>
                <w:rFonts w:ascii="Arial" w:cs="Arial" w:eastAsia="Arial" w:hAnsi="Arial"/>
                <w:sz w:val="16"/>
                <w:szCs w:val="16"/>
                <w:color w:val="auto"/>
              </w:rPr>
              <w:t>Service cost</w:t>
            </w:r>
          </w:p>
        </w:tc>
        <w:tc>
          <w:tcPr>
            <w:tcW w:w="1780" w:type="dxa"/>
            <w:vAlign w:val="bottom"/>
            <w:gridSpan w:val="3"/>
          </w:tcPr>
          <w:p>
            <w:pPr>
              <w:jc w:val="right"/>
              <w:ind w:right="887"/>
              <w:spacing w:after="0" w:line="164" w:lineRule="exact"/>
              <w:rPr>
                <w:sz w:val="20"/>
                <w:szCs w:val="20"/>
                <w:color w:val="auto"/>
              </w:rPr>
            </w:pPr>
            <w:r>
              <w:rPr>
                <w:rFonts w:ascii="Arial" w:cs="Arial" w:eastAsia="Arial" w:hAnsi="Arial"/>
                <w:sz w:val="16"/>
                <w:szCs w:val="16"/>
                <w:color w:val="auto"/>
              </w:rPr>
              <w:t>$</w:t>
            </w:r>
          </w:p>
        </w:tc>
        <w:tc>
          <w:tcPr>
            <w:tcW w:w="620" w:type="dxa"/>
            <w:vAlign w:val="bottom"/>
            <w:gridSpan w:val="2"/>
          </w:tcPr>
          <w:p>
            <w:pPr>
              <w:jc w:val="right"/>
              <w:spacing w:after="0" w:line="164" w:lineRule="exact"/>
              <w:rPr>
                <w:sz w:val="20"/>
                <w:szCs w:val="20"/>
                <w:color w:val="auto"/>
              </w:rPr>
            </w:pPr>
            <w:r>
              <w:rPr>
                <w:rFonts w:ascii="Arial" w:cs="Arial" w:eastAsia="Arial" w:hAnsi="Arial"/>
                <w:sz w:val="16"/>
                <w:szCs w:val="16"/>
                <w:color w:val="auto"/>
              </w:rPr>
              <w:t>43</w:t>
            </w:r>
          </w:p>
        </w:tc>
        <w:tc>
          <w:tcPr>
            <w:tcW w:w="1100" w:type="dxa"/>
            <w:vAlign w:val="bottom"/>
          </w:tcPr>
          <w:p>
            <w:pPr>
              <w:jc w:val="right"/>
              <w:ind w:right="946"/>
              <w:spacing w:after="0" w:line="164" w:lineRule="exact"/>
              <w:rPr>
                <w:sz w:val="20"/>
                <w:szCs w:val="20"/>
                <w:color w:val="auto"/>
              </w:rPr>
            </w:pPr>
            <w:r>
              <w:rPr>
                <w:rFonts w:ascii="Arial" w:cs="Arial" w:eastAsia="Arial" w:hAnsi="Arial"/>
                <w:sz w:val="15"/>
                <w:szCs w:val="15"/>
                <w:color w:val="auto"/>
                <w:w w:val="71"/>
              </w:rPr>
              <w:t>$</w:t>
            </w:r>
          </w:p>
        </w:tc>
        <w:tc>
          <w:tcPr>
            <w:tcW w:w="560" w:type="dxa"/>
            <w:vAlign w:val="bottom"/>
            <w:gridSpan w:val="2"/>
          </w:tcPr>
          <w:p>
            <w:pPr>
              <w:jc w:val="right"/>
              <w:spacing w:after="0" w:line="164" w:lineRule="exact"/>
              <w:rPr>
                <w:sz w:val="20"/>
                <w:szCs w:val="20"/>
                <w:color w:val="auto"/>
              </w:rPr>
            </w:pPr>
            <w:r>
              <w:rPr>
                <w:rFonts w:ascii="Arial" w:cs="Arial" w:eastAsia="Arial" w:hAnsi="Arial"/>
                <w:sz w:val="16"/>
                <w:szCs w:val="16"/>
                <w:color w:val="auto"/>
              </w:rPr>
              <w:t>42</w:t>
            </w:r>
          </w:p>
        </w:tc>
        <w:tc>
          <w:tcPr>
            <w:tcW w:w="320" w:type="dxa"/>
            <w:vAlign w:val="bottom"/>
          </w:tcPr>
          <w:p>
            <w:pPr>
              <w:jc w:val="right"/>
              <w:ind w:right="164"/>
              <w:spacing w:after="0" w:line="164" w:lineRule="exact"/>
              <w:rPr>
                <w:sz w:val="20"/>
                <w:szCs w:val="20"/>
                <w:color w:val="auto"/>
              </w:rPr>
            </w:pPr>
            <w:r>
              <w:rPr>
                <w:rFonts w:ascii="Arial" w:cs="Arial" w:eastAsia="Arial" w:hAnsi="Arial"/>
                <w:sz w:val="15"/>
                <w:szCs w:val="15"/>
                <w:color w:val="auto"/>
                <w:w w:val="71"/>
              </w:rPr>
              <w:t>$</w:t>
            </w:r>
          </w:p>
        </w:tc>
        <w:tc>
          <w:tcPr>
            <w:tcW w:w="1360" w:type="dxa"/>
            <w:vAlign w:val="bottom"/>
            <w:gridSpan w:val="2"/>
          </w:tcPr>
          <w:p>
            <w:pPr>
              <w:jc w:val="right"/>
              <w:spacing w:after="0" w:line="164" w:lineRule="exact"/>
              <w:rPr>
                <w:sz w:val="20"/>
                <w:szCs w:val="20"/>
                <w:color w:val="auto"/>
              </w:rPr>
            </w:pPr>
            <w:r>
              <w:rPr>
                <w:rFonts w:ascii="Arial" w:cs="Arial" w:eastAsia="Arial" w:hAnsi="Arial"/>
                <w:sz w:val="16"/>
                <w:szCs w:val="16"/>
                <w:color w:val="auto"/>
              </w:rPr>
              <w:t>15</w:t>
            </w:r>
          </w:p>
        </w:tc>
        <w:tc>
          <w:tcPr>
            <w:tcW w:w="360" w:type="dxa"/>
            <w:vAlign w:val="bottom"/>
          </w:tcPr>
          <w:p>
            <w:pPr>
              <w:jc w:val="right"/>
              <w:ind w:right="204"/>
              <w:spacing w:after="0" w:line="164" w:lineRule="exact"/>
              <w:rPr>
                <w:sz w:val="20"/>
                <w:szCs w:val="20"/>
                <w:color w:val="auto"/>
              </w:rPr>
            </w:pPr>
            <w:r>
              <w:rPr>
                <w:rFonts w:ascii="Arial" w:cs="Arial" w:eastAsia="Arial" w:hAnsi="Arial"/>
                <w:sz w:val="15"/>
                <w:szCs w:val="15"/>
                <w:color w:val="auto"/>
                <w:w w:val="71"/>
              </w:rPr>
              <w:t>$</w:t>
            </w:r>
          </w:p>
        </w:tc>
        <w:tc>
          <w:tcPr>
            <w:tcW w:w="1320" w:type="dxa"/>
            <w:vAlign w:val="bottom"/>
          </w:tcPr>
          <w:p>
            <w:pPr>
              <w:jc w:val="right"/>
              <w:spacing w:after="0" w:line="164" w:lineRule="exact"/>
              <w:rPr>
                <w:sz w:val="20"/>
                <w:szCs w:val="20"/>
                <w:color w:val="auto"/>
              </w:rPr>
            </w:pPr>
            <w:r>
              <w:rPr>
                <w:rFonts w:ascii="Arial" w:cs="Arial" w:eastAsia="Arial" w:hAnsi="Arial"/>
                <w:sz w:val="16"/>
                <w:szCs w:val="16"/>
                <w:color w:val="auto"/>
              </w:rPr>
              <w:t>15</w:t>
            </w:r>
          </w:p>
        </w:tc>
        <w:tc>
          <w:tcPr>
            <w:tcW w:w="0" w:type="dxa"/>
            <w:vAlign w:val="bottom"/>
          </w:tcPr>
          <w:p>
            <w:pPr>
              <w:spacing w:after="0"/>
              <w:rPr>
                <w:sz w:val="1"/>
                <w:szCs w:val="1"/>
                <w:color w:val="auto"/>
              </w:rPr>
            </w:pPr>
          </w:p>
        </w:tc>
      </w:tr>
      <w:tr>
        <w:trPr>
          <w:trHeight w:val="176"/>
        </w:trPr>
        <w:tc>
          <w:tcPr>
            <w:tcW w:w="4000" w:type="dxa"/>
            <w:vAlign w:val="bottom"/>
            <w:gridSpan w:val="2"/>
          </w:tcPr>
          <w:p>
            <w:pPr>
              <w:spacing w:after="0" w:line="176" w:lineRule="exact"/>
              <w:rPr>
                <w:sz w:val="20"/>
                <w:szCs w:val="20"/>
                <w:color w:val="auto"/>
              </w:rPr>
            </w:pPr>
            <w:r>
              <w:rPr>
                <w:rFonts w:ascii="Arial" w:cs="Arial" w:eastAsia="Arial" w:hAnsi="Arial"/>
                <w:sz w:val="16"/>
                <w:szCs w:val="16"/>
                <w:color w:val="auto"/>
              </w:rPr>
              <w:t>Interest cost</w:t>
            </w:r>
          </w:p>
        </w:tc>
        <w:tc>
          <w:tcPr>
            <w:tcW w:w="4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620" w:type="dxa"/>
            <w:vAlign w:val="bottom"/>
            <w:gridSpan w:val="2"/>
          </w:tcPr>
          <w:p>
            <w:pPr>
              <w:jc w:val="right"/>
              <w:spacing w:after="0" w:line="176" w:lineRule="exact"/>
              <w:rPr>
                <w:sz w:val="20"/>
                <w:szCs w:val="20"/>
                <w:color w:val="auto"/>
              </w:rPr>
            </w:pPr>
            <w:r>
              <w:rPr>
                <w:rFonts w:ascii="Arial" w:cs="Arial" w:eastAsia="Arial" w:hAnsi="Arial"/>
                <w:sz w:val="16"/>
                <w:szCs w:val="16"/>
                <w:color w:val="auto"/>
              </w:rPr>
              <w:t>85</w:t>
            </w:r>
          </w:p>
        </w:tc>
        <w:tc>
          <w:tcPr>
            <w:tcW w:w="1100" w:type="dxa"/>
            <w:vAlign w:val="bottom"/>
          </w:tcPr>
          <w:p>
            <w:pPr>
              <w:spacing w:after="0"/>
              <w:rPr>
                <w:sz w:val="15"/>
                <w:szCs w:val="15"/>
                <w:color w:val="auto"/>
              </w:rPr>
            </w:pPr>
          </w:p>
        </w:tc>
        <w:tc>
          <w:tcPr>
            <w:tcW w:w="560" w:type="dxa"/>
            <w:vAlign w:val="bottom"/>
            <w:gridSpan w:val="2"/>
          </w:tcPr>
          <w:p>
            <w:pPr>
              <w:jc w:val="right"/>
              <w:spacing w:after="0" w:line="176" w:lineRule="exact"/>
              <w:rPr>
                <w:sz w:val="20"/>
                <w:szCs w:val="20"/>
                <w:color w:val="auto"/>
              </w:rPr>
            </w:pPr>
            <w:r>
              <w:rPr>
                <w:rFonts w:ascii="Arial" w:cs="Arial" w:eastAsia="Arial" w:hAnsi="Arial"/>
                <w:sz w:val="16"/>
                <w:szCs w:val="16"/>
                <w:color w:val="auto"/>
              </w:rPr>
              <w:t>84</w:t>
            </w:r>
          </w:p>
        </w:tc>
        <w:tc>
          <w:tcPr>
            <w:tcW w:w="320" w:type="dxa"/>
            <w:vAlign w:val="bottom"/>
          </w:tcPr>
          <w:p>
            <w:pPr>
              <w:spacing w:after="0"/>
              <w:rPr>
                <w:sz w:val="15"/>
                <w:szCs w:val="15"/>
                <w:color w:val="auto"/>
              </w:rPr>
            </w:pPr>
          </w:p>
        </w:tc>
        <w:tc>
          <w:tcPr>
            <w:tcW w:w="1360" w:type="dxa"/>
            <w:vAlign w:val="bottom"/>
            <w:gridSpan w:val="2"/>
          </w:tcPr>
          <w:p>
            <w:pPr>
              <w:jc w:val="right"/>
              <w:spacing w:after="0" w:line="176" w:lineRule="exact"/>
              <w:rPr>
                <w:sz w:val="20"/>
                <w:szCs w:val="20"/>
                <w:color w:val="auto"/>
              </w:rPr>
            </w:pPr>
            <w:r>
              <w:rPr>
                <w:rFonts w:ascii="Arial" w:cs="Arial" w:eastAsia="Arial" w:hAnsi="Arial"/>
                <w:sz w:val="16"/>
                <w:szCs w:val="16"/>
                <w:color w:val="auto"/>
              </w:rPr>
              <w:t>33</w:t>
            </w:r>
          </w:p>
        </w:tc>
        <w:tc>
          <w:tcPr>
            <w:tcW w:w="360" w:type="dxa"/>
            <w:vAlign w:val="bottom"/>
          </w:tcPr>
          <w:p>
            <w:pPr>
              <w:spacing w:after="0"/>
              <w:rPr>
                <w:sz w:val="15"/>
                <w:szCs w:val="15"/>
                <w:color w:val="auto"/>
              </w:rPr>
            </w:pPr>
          </w:p>
        </w:tc>
        <w:tc>
          <w:tcPr>
            <w:tcW w:w="1320" w:type="dxa"/>
            <w:vAlign w:val="bottom"/>
          </w:tcPr>
          <w:p>
            <w:pPr>
              <w:jc w:val="right"/>
              <w:spacing w:after="0" w:line="176" w:lineRule="exact"/>
              <w:rPr>
                <w:sz w:val="20"/>
                <w:szCs w:val="20"/>
                <w:color w:val="auto"/>
              </w:rPr>
            </w:pPr>
            <w:r>
              <w:rPr>
                <w:rFonts w:ascii="Arial" w:cs="Arial" w:eastAsia="Arial" w:hAnsi="Arial"/>
                <w:sz w:val="16"/>
                <w:szCs w:val="16"/>
                <w:color w:val="auto"/>
              </w:rPr>
              <w:t>29</w:t>
            </w:r>
          </w:p>
        </w:tc>
        <w:tc>
          <w:tcPr>
            <w:tcW w:w="0" w:type="dxa"/>
            <w:vAlign w:val="bottom"/>
          </w:tcPr>
          <w:p>
            <w:pPr>
              <w:spacing w:after="0"/>
              <w:rPr>
                <w:sz w:val="1"/>
                <w:szCs w:val="1"/>
                <w:color w:val="auto"/>
              </w:rPr>
            </w:pPr>
          </w:p>
        </w:tc>
      </w:tr>
      <w:tr>
        <w:trPr>
          <w:trHeight w:val="176"/>
        </w:trPr>
        <w:tc>
          <w:tcPr>
            <w:tcW w:w="4000" w:type="dxa"/>
            <w:vAlign w:val="bottom"/>
            <w:gridSpan w:val="2"/>
          </w:tcPr>
          <w:p>
            <w:pPr>
              <w:spacing w:after="0" w:line="176" w:lineRule="exact"/>
              <w:rPr>
                <w:sz w:val="20"/>
                <w:szCs w:val="20"/>
                <w:color w:val="auto"/>
              </w:rPr>
            </w:pPr>
            <w:r>
              <w:rPr>
                <w:rFonts w:ascii="Arial" w:cs="Arial" w:eastAsia="Arial" w:hAnsi="Arial"/>
                <w:sz w:val="16"/>
                <w:szCs w:val="16"/>
                <w:color w:val="auto"/>
              </w:rPr>
              <w:t>Expected return on assets</w:t>
            </w:r>
          </w:p>
        </w:tc>
        <w:tc>
          <w:tcPr>
            <w:tcW w:w="4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620" w:type="dxa"/>
            <w:vAlign w:val="bottom"/>
            <w:gridSpan w:val="2"/>
          </w:tcPr>
          <w:p>
            <w:pPr>
              <w:jc w:val="right"/>
              <w:spacing w:after="0" w:line="176" w:lineRule="exact"/>
              <w:rPr>
                <w:sz w:val="20"/>
                <w:szCs w:val="20"/>
                <w:color w:val="auto"/>
              </w:rPr>
            </w:pPr>
            <w:r>
              <w:rPr>
                <w:rFonts w:ascii="Arial" w:cs="Arial" w:eastAsia="Arial" w:hAnsi="Arial"/>
                <w:sz w:val="16"/>
                <w:szCs w:val="16"/>
                <w:color w:val="auto"/>
              </w:rPr>
              <w:t>(73)</w:t>
            </w:r>
          </w:p>
        </w:tc>
        <w:tc>
          <w:tcPr>
            <w:tcW w:w="1100" w:type="dxa"/>
            <w:vAlign w:val="bottom"/>
          </w:tcPr>
          <w:p>
            <w:pPr>
              <w:spacing w:after="0"/>
              <w:rPr>
                <w:sz w:val="15"/>
                <w:szCs w:val="15"/>
                <w:color w:val="auto"/>
              </w:rPr>
            </w:pPr>
          </w:p>
        </w:tc>
        <w:tc>
          <w:tcPr>
            <w:tcW w:w="560" w:type="dxa"/>
            <w:vAlign w:val="bottom"/>
            <w:gridSpan w:val="2"/>
          </w:tcPr>
          <w:p>
            <w:pPr>
              <w:jc w:val="right"/>
              <w:spacing w:after="0" w:line="176" w:lineRule="exact"/>
              <w:rPr>
                <w:sz w:val="20"/>
                <w:szCs w:val="20"/>
                <w:color w:val="auto"/>
              </w:rPr>
            </w:pPr>
            <w:r>
              <w:rPr>
                <w:rFonts w:ascii="Arial" w:cs="Arial" w:eastAsia="Arial" w:hAnsi="Arial"/>
                <w:sz w:val="16"/>
                <w:szCs w:val="16"/>
                <w:color w:val="auto"/>
              </w:rPr>
              <w:t>(72)</w:t>
            </w:r>
          </w:p>
        </w:tc>
        <w:tc>
          <w:tcPr>
            <w:tcW w:w="320" w:type="dxa"/>
            <w:vAlign w:val="bottom"/>
          </w:tcPr>
          <w:p>
            <w:pPr>
              <w:spacing w:after="0"/>
              <w:rPr>
                <w:sz w:val="15"/>
                <w:szCs w:val="15"/>
                <w:color w:val="auto"/>
              </w:rPr>
            </w:pPr>
          </w:p>
        </w:tc>
        <w:tc>
          <w:tcPr>
            <w:tcW w:w="1360" w:type="dxa"/>
            <w:vAlign w:val="bottom"/>
            <w:gridSpan w:val="2"/>
          </w:tcPr>
          <w:p>
            <w:pPr>
              <w:jc w:val="right"/>
              <w:spacing w:after="0" w:line="176" w:lineRule="exact"/>
              <w:rPr>
                <w:sz w:val="20"/>
                <w:szCs w:val="20"/>
                <w:color w:val="auto"/>
              </w:rPr>
            </w:pPr>
            <w:r>
              <w:rPr>
                <w:rFonts w:ascii="Arial" w:cs="Arial" w:eastAsia="Arial" w:hAnsi="Arial"/>
                <w:sz w:val="16"/>
                <w:szCs w:val="16"/>
                <w:color w:val="auto"/>
              </w:rPr>
              <w:t>(24)</w:t>
            </w:r>
          </w:p>
        </w:tc>
        <w:tc>
          <w:tcPr>
            <w:tcW w:w="360" w:type="dxa"/>
            <w:vAlign w:val="bottom"/>
          </w:tcPr>
          <w:p>
            <w:pPr>
              <w:spacing w:after="0"/>
              <w:rPr>
                <w:sz w:val="15"/>
                <w:szCs w:val="15"/>
                <w:color w:val="auto"/>
              </w:rPr>
            </w:pPr>
          </w:p>
        </w:tc>
        <w:tc>
          <w:tcPr>
            <w:tcW w:w="1320" w:type="dxa"/>
            <w:vAlign w:val="bottom"/>
          </w:tcPr>
          <w:p>
            <w:pPr>
              <w:jc w:val="right"/>
              <w:spacing w:after="0" w:line="176" w:lineRule="exact"/>
              <w:rPr>
                <w:sz w:val="20"/>
                <w:szCs w:val="20"/>
                <w:color w:val="auto"/>
              </w:rPr>
            </w:pPr>
            <w:r>
              <w:rPr>
                <w:rFonts w:ascii="Arial" w:cs="Arial" w:eastAsia="Arial" w:hAnsi="Arial"/>
                <w:sz w:val="16"/>
                <w:szCs w:val="16"/>
                <w:color w:val="auto"/>
              </w:rPr>
              <w:t>(23)</w:t>
            </w:r>
          </w:p>
        </w:tc>
        <w:tc>
          <w:tcPr>
            <w:tcW w:w="0" w:type="dxa"/>
            <w:vAlign w:val="bottom"/>
          </w:tcPr>
          <w:p>
            <w:pPr>
              <w:spacing w:after="0"/>
              <w:rPr>
                <w:sz w:val="1"/>
                <w:szCs w:val="1"/>
                <w:color w:val="auto"/>
              </w:rPr>
            </w:pPr>
          </w:p>
        </w:tc>
      </w:tr>
      <w:tr>
        <w:trPr>
          <w:trHeight w:val="176"/>
        </w:trPr>
        <w:tc>
          <w:tcPr>
            <w:tcW w:w="4000" w:type="dxa"/>
            <w:vAlign w:val="bottom"/>
            <w:gridSpan w:val="2"/>
          </w:tcPr>
          <w:p>
            <w:pPr>
              <w:spacing w:after="0" w:line="176" w:lineRule="exact"/>
              <w:rPr>
                <w:sz w:val="20"/>
                <w:szCs w:val="20"/>
                <w:color w:val="auto"/>
              </w:rPr>
            </w:pPr>
            <w:r>
              <w:rPr>
                <w:rFonts w:ascii="Arial" w:cs="Arial" w:eastAsia="Arial" w:hAnsi="Arial"/>
                <w:sz w:val="16"/>
                <w:szCs w:val="16"/>
                <w:color w:val="auto"/>
              </w:rPr>
              <w:t>Amortization of:</w:t>
            </w:r>
          </w:p>
        </w:tc>
        <w:tc>
          <w:tcPr>
            <w:tcW w:w="4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980" w:type="dxa"/>
            <w:vAlign w:val="bottom"/>
          </w:tcPr>
          <w:p>
            <w:pPr>
              <w:ind w:left="160"/>
              <w:spacing w:after="0" w:line="176" w:lineRule="exact"/>
              <w:rPr>
                <w:sz w:val="20"/>
                <w:szCs w:val="20"/>
                <w:color w:val="auto"/>
              </w:rPr>
            </w:pPr>
            <w:r>
              <w:rPr>
                <w:rFonts w:ascii="Arial" w:cs="Arial" w:eastAsia="Arial" w:hAnsi="Arial"/>
                <w:sz w:val="16"/>
                <w:szCs w:val="16"/>
                <w:color w:val="auto"/>
              </w:rPr>
              <w:t>Prior service cost (credit)</w:t>
            </w:r>
          </w:p>
        </w:tc>
        <w:tc>
          <w:tcPr>
            <w:tcW w:w="4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00" w:type="dxa"/>
            <w:vAlign w:val="bottom"/>
          </w:tcPr>
          <w:p>
            <w:pPr>
              <w:jc w:val="right"/>
              <w:spacing w:after="0" w:line="176" w:lineRule="exact"/>
              <w:rPr>
                <w:sz w:val="20"/>
                <w:szCs w:val="20"/>
                <w:color w:val="auto"/>
              </w:rPr>
            </w:pPr>
            <w:r>
              <w:rPr>
                <w:rFonts w:ascii="Arial" w:cs="Arial" w:eastAsia="Arial" w:hAnsi="Arial"/>
                <w:sz w:val="16"/>
                <w:szCs w:val="16"/>
                <w:color w:val="auto"/>
              </w:rPr>
              <w:t>2</w:t>
            </w:r>
          </w:p>
        </w:tc>
        <w:tc>
          <w:tcPr>
            <w:tcW w:w="1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60" w:type="dxa"/>
            <w:vAlign w:val="bottom"/>
          </w:tcPr>
          <w:p>
            <w:pPr>
              <w:jc w:val="right"/>
              <w:spacing w:after="0" w:line="176" w:lineRule="exact"/>
              <w:rPr>
                <w:sz w:val="20"/>
                <w:szCs w:val="20"/>
                <w:color w:val="auto"/>
              </w:rPr>
            </w:pPr>
            <w:r>
              <w:rPr>
                <w:rFonts w:ascii="Arial" w:cs="Arial" w:eastAsia="Arial" w:hAnsi="Arial"/>
                <w:sz w:val="16"/>
                <w:szCs w:val="16"/>
                <w:color w:val="auto"/>
              </w:rPr>
              <w:t>2</w:t>
            </w:r>
          </w:p>
        </w:tc>
        <w:tc>
          <w:tcPr>
            <w:tcW w:w="320" w:type="dxa"/>
            <w:vAlign w:val="bottom"/>
          </w:tcPr>
          <w:p>
            <w:pPr>
              <w:spacing w:after="0"/>
              <w:rPr>
                <w:sz w:val="15"/>
                <w:szCs w:val="15"/>
                <w:color w:val="auto"/>
              </w:rPr>
            </w:pPr>
          </w:p>
        </w:tc>
        <w:tc>
          <w:tcPr>
            <w:tcW w:w="1360" w:type="dxa"/>
            <w:vAlign w:val="bottom"/>
            <w:gridSpan w:val="2"/>
          </w:tcPr>
          <w:p>
            <w:pPr>
              <w:jc w:val="right"/>
              <w:spacing w:after="0" w:line="176" w:lineRule="exact"/>
              <w:rPr>
                <w:sz w:val="20"/>
                <w:szCs w:val="20"/>
                <w:color w:val="auto"/>
              </w:rPr>
            </w:pPr>
            <w:r>
              <w:rPr>
                <w:rFonts w:ascii="Arial" w:cs="Arial" w:eastAsia="Arial" w:hAnsi="Arial"/>
                <w:sz w:val="16"/>
                <w:szCs w:val="16"/>
                <w:color w:val="auto"/>
              </w:rPr>
              <w:t>―</w:t>
            </w:r>
          </w:p>
        </w:tc>
        <w:tc>
          <w:tcPr>
            <w:tcW w:w="360" w:type="dxa"/>
            <w:vAlign w:val="bottom"/>
          </w:tcPr>
          <w:p>
            <w:pPr>
              <w:spacing w:after="0"/>
              <w:rPr>
                <w:sz w:val="15"/>
                <w:szCs w:val="15"/>
                <w:color w:val="auto"/>
              </w:rPr>
            </w:pPr>
          </w:p>
        </w:tc>
        <w:tc>
          <w:tcPr>
            <w:tcW w:w="1320" w:type="dxa"/>
            <w:vAlign w:val="bottom"/>
          </w:tcPr>
          <w:p>
            <w:pPr>
              <w:jc w:val="right"/>
              <w:spacing w:after="0" w:line="176" w:lineRule="exact"/>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980" w:type="dxa"/>
            <w:vAlign w:val="bottom"/>
          </w:tcPr>
          <w:p>
            <w:pPr>
              <w:ind w:left="160"/>
              <w:spacing w:after="0" w:line="176" w:lineRule="exact"/>
              <w:rPr>
                <w:sz w:val="20"/>
                <w:szCs w:val="20"/>
                <w:color w:val="auto"/>
              </w:rPr>
            </w:pPr>
            <w:r>
              <w:rPr>
                <w:rFonts w:ascii="Arial" w:cs="Arial" w:eastAsia="Arial" w:hAnsi="Arial"/>
                <w:sz w:val="16"/>
                <w:szCs w:val="16"/>
                <w:color w:val="auto"/>
              </w:rPr>
              <w:t>Actuarial loss</w:t>
            </w:r>
          </w:p>
        </w:tc>
        <w:tc>
          <w:tcPr>
            <w:tcW w:w="4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620" w:type="dxa"/>
            <w:vAlign w:val="bottom"/>
            <w:gridSpan w:val="2"/>
          </w:tcPr>
          <w:p>
            <w:pPr>
              <w:jc w:val="right"/>
              <w:spacing w:after="0" w:line="176" w:lineRule="exact"/>
              <w:rPr>
                <w:sz w:val="20"/>
                <w:szCs w:val="20"/>
                <w:color w:val="auto"/>
              </w:rPr>
            </w:pPr>
            <w:r>
              <w:rPr>
                <w:rFonts w:ascii="Arial" w:cs="Arial" w:eastAsia="Arial" w:hAnsi="Arial"/>
                <w:sz w:val="16"/>
                <w:szCs w:val="16"/>
                <w:color w:val="auto"/>
              </w:rPr>
              <w:t>18</w:t>
            </w:r>
          </w:p>
        </w:tc>
        <w:tc>
          <w:tcPr>
            <w:tcW w:w="1100" w:type="dxa"/>
            <w:vAlign w:val="bottom"/>
          </w:tcPr>
          <w:p>
            <w:pPr>
              <w:spacing w:after="0"/>
              <w:rPr>
                <w:sz w:val="15"/>
                <w:szCs w:val="15"/>
                <w:color w:val="auto"/>
              </w:rPr>
            </w:pPr>
          </w:p>
        </w:tc>
        <w:tc>
          <w:tcPr>
            <w:tcW w:w="560" w:type="dxa"/>
            <w:vAlign w:val="bottom"/>
            <w:gridSpan w:val="2"/>
          </w:tcPr>
          <w:p>
            <w:pPr>
              <w:jc w:val="right"/>
              <w:spacing w:after="0" w:line="176" w:lineRule="exact"/>
              <w:rPr>
                <w:sz w:val="20"/>
                <w:szCs w:val="20"/>
                <w:color w:val="auto"/>
              </w:rPr>
            </w:pPr>
            <w:r>
              <w:rPr>
                <w:rFonts w:ascii="Arial" w:cs="Arial" w:eastAsia="Arial" w:hAnsi="Arial"/>
                <w:sz w:val="16"/>
                <w:szCs w:val="16"/>
                <w:color w:val="auto"/>
              </w:rPr>
              <w:t>15</w:t>
            </w:r>
          </w:p>
        </w:tc>
        <w:tc>
          <w:tcPr>
            <w:tcW w:w="320" w:type="dxa"/>
            <w:vAlign w:val="bottom"/>
          </w:tcPr>
          <w:p>
            <w:pPr>
              <w:spacing w:after="0"/>
              <w:rPr>
                <w:sz w:val="15"/>
                <w:szCs w:val="15"/>
                <w:color w:val="auto"/>
              </w:rPr>
            </w:pPr>
          </w:p>
        </w:tc>
        <w:tc>
          <w:tcPr>
            <w:tcW w:w="1360" w:type="dxa"/>
            <w:vAlign w:val="bottom"/>
            <w:gridSpan w:val="2"/>
          </w:tcPr>
          <w:p>
            <w:pPr>
              <w:jc w:val="right"/>
              <w:spacing w:after="0" w:line="176" w:lineRule="exact"/>
              <w:rPr>
                <w:sz w:val="20"/>
                <w:szCs w:val="20"/>
                <w:color w:val="auto"/>
              </w:rPr>
            </w:pPr>
            <w:r>
              <w:rPr>
                <w:rFonts w:ascii="Arial" w:cs="Arial" w:eastAsia="Arial" w:hAnsi="Arial"/>
                <w:sz w:val="16"/>
                <w:szCs w:val="16"/>
                <w:color w:val="auto"/>
              </w:rPr>
              <w:t>9</w:t>
            </w:r>
          </w:p>
        </w:tc>
        <w:tc>
          <w:tcPr>
            <w:tcW w:w="360" w:type="dxa"/>
            <w:vAlign w:val="bottom"/>
          </w:tcPr>
          <w:p>
            <w:pPr>
              <w:spacing w:after="0"/>
              <w:rPr>
                <w:sz w:val="15"/>
                <w:szCs w:val="15"/>
                <w:color w:val="auto"/>
              </w:rPr>
            </w:pPr>
          </w:p>
        </w:tc>
        <w:tc>
          <w:tcPr>
            <w:tcW w:w="1320" w:type="dxa"/>
            <w:vAlign w:val="bottom"/>
          </w:tcPr>
          <w:p>
            <w:pPr>
              <w:jc w:val="right"/>
              <w:spacing w:after="0" w:line="176" w:lineRule="exact"/>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176"/>
        </w:trPr>
        <w:tc>
          <w:tcPr>
            <w:tcW w:w="4000" w:type="dxa"/>
            <w:vAlign w:val="bottom"/>
            <w:gridSpan w:val="2"/>
          </w:tcPr>
          <w:p>
            <w:pPr>
              <w:spacing w:after="0" w:line="176" w:lineRule="exact"/>
              <w:rPr>
                <w:sz w:val="20"/>
                <w:szCs w:val="20"/>
                <w:color w:val="auto"/>
              </w:rPr>
            </w:pPr>
            <w:r>
              <w:rPr>
                <w:rFonts w:ascii="Arial" w:cs="Arial" w:eastAsia="Arial" w:hAnsi="Arial"/>
                <w:sz w:val="16"/>
                <w:szCs w:val="16"/>
                <w:color w:val="auto"/>
              </w:rPr>
              <w:t>Settlement</w:t>
            </w:r>
          </w:p>
        </w:tc>
        <w:tc>
          <w:tcPr>
            <w:tcW w:w="4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620" w:type="dxa"/>
            <w:vAlign w:val="bottom"/>
            <w:gridSpan w:val="2"/>
          </w:tcPr>
          <w:p>
            <w:pPr>
              <w:jc w:val="right"/>
              <w:spacing w:after="0" w:line="176" w:lineRule="exact"/>
              <w:rPr>
                <w:sz w:val="20"/>
                <w:szCs w:val="20"/>
                <w:color w:val="auto"/>
              </w:rPr>
            </w:pPr>
            <w:r>
              <w:rPr>
                <w:rFonts w:ascii="Arial" w:cs="Arial" w:eastAsia="Arial" w:hAnsi="Arial"/>
                <w:sz w:val="16"/>
                <w:szCs w:val="16"/>
                <w:color w:val="auto"/>
              </w:rPr>
              <w:t>10</w:t>
            </w:r>
          </w:p>
        </w:tc>
        <w:tc>
          <w:tcPr>
            <w:tcW w:w="1100" w:type="dxa"/>
            <w:vAlign w:val="bottom"/>
          </w:tcPr>
          <w:p>
            <w:pPr>
              <w:spacing w:after="0"/>
              <w:rPr>
                <w:sz w:val="15"/>
                <w:szCs w:val="15"/>
                <w:color w:val="auto"/>
              </w:rPr>
            </w:pPr>
          </w:p>
        </w:tc>
        <w:tc>
          <w:tcPr>
            <w:tcW w:w="560" w:type="dxa"/>
            <w:vAlign w:val="bottom"/>
            <w:gridSpan w:val="2"/>
          </w:tcPr>
          <w:p>
            <w:pPr>
              <w:jc w:val="right"/>
              <w:spacing w:after="0" w:line="176" w:lineRule="exact"/>
              <w:rPr>
                <w:sz w:val="20"/>
                <w:szCs w:val="20"/>
                <w:color w:val="auto"/>
              </w:rPr>
            </w:pPr>
            <w:r>
              <w:rPr>
                <w:rFonts w:ascii="Arial" w:cs="Arial" w:eastAsia="Arial" w:hAnsi="Arial"/>
                <w:sz w:val="16"/>
                <w:szCs w:val="16"/>
                <w:color w:val="auto"/>
              </w:rPr>
              <w:t>―</w:t>
            </w:r>
          </w:p>
        </w:tc>
        <w:tc>
          <w:tcPr>
            <w:tcW w:w="320" w:type="dxa"/>
            <w:vAlign w:val="bottom"/>
          </w:tcPr>
          <w:p>
            <w:pPr>
              <w:spacing w:after="0"/>
              <w:rPr>
                <w:sz w:val="15"/>
                <w:szCs w:val="15"/>
                <w:color w:val="auto"/>
              </w:rPr>
            </w:pPr>
          </w:p>
        </w:tc>
        <w:tc>
          <w:tcPr>
            <w:tcW w:w="1360" w:type="dxa"/>
            <w:vAlign w:val="bottom"/>
            <w:gridSpan w:val="2"/>
          </w:tcPr>
          <w:p>
            <w:pPr>
              <w:jc w:val="right"/>
              <w:spacing w:after="0" w:line="176" w:lineRule="exact"/>
              <w:rPr>
                <w:sz w:val="20"/>
                <w:szCs w:val="20"/>
                <w:color w:val="auto"/>
              </w:rPr>
            </w:pPr>
            <w:r>
              <w:rPr>
                <w:rFonts w:ascii="Arial" w:cs="Arial" w:eastAsia="Arial" w:hAnsi="Arial"/>
                <w:sz w:val="16"/>
                <w:szCs w:val="16"/>
                <w:color w:val="auto"/>
              </w:rPr>
              <w:t>―</w:t>
            </w:r>
          </w:p>
        </w:tc>
        <w:tc>
          <w:tcPr>
            <w:tcW w:w="360" w:type="dxa"/>
            <w:vAlign w:val="bottom"/>
          </w:tcPr>
          <w:p>
            <w:pPr>
              <w:spacing w:after="0"/>
              <w:rPr>
                <w:sz w:val="15"/>
                <w:szCs w:val="15"/>
                <w:color w:val="auto"/>
              </w:rPr>
            </w:pPr>
          </w:p>
        </w:tc>
        <w:tc>
          <w:tcPr>
            <w:tcW w:w="1320" w:type="dxa"/>
            <w:vAlign w:val="bottom"/>
          </w:tcPr>
          <w:p>
            <w:pPr>
              <w:jc w:val="right"/>
              <w:spacing w:after="0" w:line="176" w:lineRule="exact"/>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4"/>
        </w:trPr>
        <w:tc>
          <w:tcPr>
            <w:tcW w:w="4000" w:type="dxa"/>
            <w:vAlign w:val="bottom"/>
            <w:gridSpan w:val="2"/>
          </w:tcPr>
          <w:p>
            <w:pPr>
              <w:spacing w:after="0"/>
              <w:rPr>
                <w:sz w:val="20"/>
                <w:szCs w:val="20"/>
                <w:color w:val="auto"/>
              </w:rPr>
            </w:pPr>
            <w:r>
              <w:rPr>
                <w:rFonts w:ascii="Arial" w:cs="Arial" w:eastAsia="Arial" w:hAnsi="Arial"/>
                <w:sz w:val="16"/>
                <w:szCs w:val="16"/>
                <w:color w:val="auto"/>
              </w:rPr>
              <w:t>Regulatory adjustment</w:t>
            </w:r>
          </w:p>
        </w:tc>
        <w:tc>
          <w:tcPr>
            <w:tcW w:w="4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(25)</w:t>
            </w:r>
          </w:p>
        </w:tc>
        <w:tc>
          <w:tcPr>
            <w:tcW w:w="110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(19)</w:t>
            </w:r>
          </w:p>
        </w:tc>
        <w:tc>
          <w:tcPr>
            <w:tcW w:w="3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4</w:t>
            </w:r>
          </w:p>
        </w:tc>
        <w:tc>
          <w:tcPr>
            <w:tcW w:w="36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183"/>
        </w:trPr>
        <w:tc>
          <w:tcPr>
            <w:tcW w:w="4000" w:type="dxa"/>
            <w:vAlign w:val="bottom"/>
            <w:gridSpan w:val="2"/>
          </w:tcPr>
          <w:p>
            <w:pPr>
              <w:spacing w:after="0" w:line="176" w:lineRule="exact"/>
              <w:rPr>
                <w:sz w:val="20"/>
                <w:szCs w:val="20"/>
                <w:color w:val="auto"/>
              </w:rPr>
            </w:pPr>
            <w:r>
              <w:rPr>
                <w:rFonts w:ascii="Arial" w:cs="Arial" w:eastAsia="Arial" w:hAnsi="Arial"/>
                <w:sz w:val="16"/>
                <w:szCs w:val="16"/>
                <w:color w:val="auto"/>
              </w:rPr>
              <w:t>Total net periodic benefit cost</w:t>
            </w:r>
          </w:p>
        </w:tc>
        <w:tc>
          <w:tcPr>
            <w:tcW w:w="4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40" w:type="dxa"/>
            <w:vAlign w:val="bottom"/>
          </w:tcPr>
          <w:p>
            <w:pPr>
              <w:jc w:val="right"/>
              <w:ind w:right="887"/>
              <w:spacing w:after="0"/>
              <w:rPr>
                <w:sz w:val="20"/>
                <w:szCs w:val="20"/>
                <w:color w:val="auto"/>
              </w:rPr>
            </w:pPr>
            <w:r>
              <w:rPr>
                <w:rFonts w:ascii="Arial" w:cs="Arial" w:eastAsia="Arial" w:hAnsi="Arial"/>
                <w:sz w:val="15"/>
                <w:szCs w:val="15"/>
                <w:color w:val="auto"/>
                <w:w w:val="71"/>
              </w:rPr>
              <w:t>$</w:t>
            </w:r>
          </w:p>
        </w:tc>
        <w:tc>
          <w:tcPr>
            <w:tcW w:w="620" w:type="dxa"/>
            <w:vAlign w:val="bottom"/>
            <w:gridSpan w:val="2"/>
          </w:tcPr>
          <w:p>
            <w:pPr>
              <w:jc w:val="right"/>
              <w:spacing w:after="0" w:line="176" w:lineRule="exact"/>
              <w:rPr>
                <w:sz w:val="20"/>
                <w:szCs w:val="20"/>
                <w:color w:val="auto"/>
              </w:rPr>
            </w:pPr>
            <w:r>
              <w:rPr>
                <w:rFonts w:ascii="Arial" w:cs="Arial" w:eastAsia="Arial" w:hAnsi="Arial"/>
                <w:sz w:val="16"/>
                <w:szCs w:val="16"/>
                <w:color w:val="auto"/>
              </w:rPr>
              <w:t>60</w:t>
            </w:r>
          </w:p>
        </w:tc>
        <w:tc>
          <w:tcPr>
            <w:tcW w:w="1100" w:type="dxa"/>
            <w:vAlign w:val="bottom"/>
          </w:tcPr>
          <w:p>
            <w:pPr>
              <w:jc w:val="right"/>
              <w:ind w:right="946"/>
              <w:spacing w:after="0"/>
              <w:rPr>
                <w:sz w:val="20"/>
                <w:szCs w:val="20"/>
                <w:color w:val="auto"/>
              </w:rPr>
            </w:pPr>
            <w:r>
              <w:rPr>
                <w:rFonts w:ascii="Arial" w:cs="Arial" w:eastAsia="Arial" w:hAnsi="Arial"/>
                <w:sz w:val="15"/>
                <w:szCs w:val="15"/>
                <w:color w:val="auto"/>
                <w:w w:val="71"/>
              </w:rPr>
              <w:t>$</w:t>
            </w:r>
          </w:p>
        </w:tc>
        <w:tc>
          <w:tcPr>
            <w:tcW w:w="560" w:type="dxa"/>
            <w:vAlign w:val="bottom"/>
            <w:gridSpan w:val="2"/>
          </w:tcPr>
          <w:p>
            <w:pPr>
              <w:jc w:val="right"/>
              <w:spacing w:after="0" w:line="176" w:lineRule="exact"/>
              <w:rPr>
                <w:sz w:val="20"/>
                <w:szCs w:val="20"/>
                <w:color w:val="auto"/>
              </w:rPr>
            </w:pPr>
            <w:r>
              <w:rPr>
                <w:rFonts w:ascii="Arial" w:cs="Arial" w:eastAsia="Arial" w:hAnsi="Arial"/>
                <w:sz w:val="16"/>
                <w:szCs w:val="16"/>
                <w:color w:val="auto"/>
              </w:rPr>
              <w:t>52</w:t>
            </w:r>
          </w:p>
        </w:tc>
        <w:tc>
          <w:tcPr>
            <w:tcW w:w="320" w:type="dxa"/>
            <w:vAlign w:val="bottom"/>
          </w:tcPr>
          <w:p>
            <w:pPr>
              <w:jc w:val="right"/>
              <w:ind w:right="164"/>
              <w:spacing w:after="0"/>
              <w:rPr>
                <w:sz w:val="20"/>
                <w:szCs w:val="20"/>
                <w:color w:val="auto"/>
              </w:rPr>
            </w:pPr>
            <w:r>
              <w:rPr>
                <w:rFonts w:ascii="Arial" w:cs="Arial" w:eastAsia="Arial" w:hAnsi="Arial"/>
                <w:sz w:val="15"/>
                <w:szCs w:val="15"/>
                <w:color w:val="auto"/>
                <w:w w:val="71"/>
              </w:rPr>
              <w:t>$</w:t>
            </w:r>
          </w:p>
        </w:tc>
        <w:tc>
          <w:tcPr>
            <w:tcW w:w="1360" w:type="dxa"/>
            <w:vAlign w:val="bottom"/>
            <w:gridSpan w:val="2"/>
          </w:tcPr>
          <w:p>
            <w:pPr>
              <w:jc w:val="right"/>
              <w:spacing w:after="0" w:line="176" w:lineRule="exact"/>
              <w:rPr>
                <w:sz w:val="20"/>
                <w:szCs w:val="20"/>
                <w:color w:val="auto"/>
              </w:rPr>
            </w:pPr>
            <w:r>
              <w:rPr>
                <w:rFonts w:ascii="Arial" w:cs="Arial" w:eastAsia="Arial" w:hAnsi="Arial"/>
                <w:sz w:val="16"/>
                <w:szCs w:val="16"/>
                <w:color w:val="auto"/>
              </w:rPr>
              <w:t>37</w:t>
            </w:r>
          </w:p>
        </w:tc>
        <w:tc>
          <w:tcPr>
            <w:tcW w:w="360" w:type="dxa"/>
            <w:vAlign w:val="bottom"/>
          </w:tcPr>
          <w:p>
            <w:pPr>
              <w:jc w:val="right"/>
              <w:ind w:right="204"/>
              <w:spacing w:after="0"/>
              <w:rPr>
                <w:sz w:val="20"/>
                <w:szCs w:val="20"/>
                <w:color w:val="auto"/>
              </w:rPr>
            </w:pPr>
            <w:r>
              <w:rPr>
                <w:rFonts w:ascii="Arial" w:cs="Arial" w:eastAsia="Arial" w:hAnsi="Arial"/>
                <w:sz w:val="15"/>
                <w:szCs w:val="15"/>
                <w:color w:val="auto"/>
                <w:w w:val="71"/>
              </w:rPr>
              <w:t>$</w:t>
            </w:r>
          </w:p>
        </w:tc>
        <w:tc>
          <w:tcPr>
            <w:tcW w:w="1320" w:type="dxa"/>
            <w:vAlign w:val="bottom"/>
          </w:tcPr>
          <w:p>
            <w:pPr>
              <w:jc w:val="right"/>
              <w:spacing w:after="0" w:line="176" w:lineRule="exact"/>
              <w:rPr>
                <w:sz w:val="20"/>
                <w:szCs w:val="20"/>
                <w:color w:val="auto"/>
              </w:rPr>
            </w:pPr>
            <w:r>
              <w:rPr>
                <w:rFonts w:ascii="Arial" w:cs="Arial" w:eastAsia="Arial" w:hAnsi="Arial"/>
                <w:sz w:val="16"/>
                <w:szCs w:val="16"/>
                <w:color w:val="auto"/>
              </w:rPr>
              <w:t>28</w:t>
            </w:r>
          </w:p>
        </w:tc>
        <w:tc>
          <w:tcPr>
            <w:tcW w:w="0" w:type="dxa"/>
            <w:vAlign w:val="bottom"/>
          </w:tcPr>
          <w:p>
            <w:pPr>
              <w:spacing w:after="0"/>
              <w:rPr>
                <w:sz w:val="1"/>
                <w:szCs w:val="1"/>
                <w:color w:val="auto"/>
              </w:rPr>
            </w:pPr>
          </w:p>
        </w:tc>
      </w:tr>
      <w:tr>
        <w:trPr>
          <w:trHeight w:val="729"/>
        </w:trPr>
        <w:tc>
          <w:tcPr>
            <w:tcW w:w="20" w:type="dxa"/>
            <w:vAlign w:val="bottom"/>
          </w:tcPr>
          <w:p>
            <w:pPr>
              <w:spacing w:after="0"/>
              <w:rPr>
                <w:sz w:val="24"/>
                <w:szCs w:val="24"/>
                <w:color w:val="auto"/>
              </w:rPr>
            </w:pPr>
          </w:p>
        </w:tc>
        <w:tc>
          <w:tcPr>
            <w:tcW w:w="3980" w:type="dxa"/>
            <w:vAlign w:val="bottom"/>
            <w:tcBorders>
              <w:top w:val="single" w:sz="8" w:color="auto"/>
              <w:bottom w:val="single" w:sz="8" w:color="auto"/>
            </w:tcBorders>
          </w:tcPr>
          <w:p>
            <w:pPr>
              <w:spacing w:after="0"/>
              <w:rPr>
                <w:sz w:val="24"/>
                <w:szCs w:val="24"/>
                <w:color w:val="auto"/>
              </w:rPr>
            </w:pPr>
          </w:p>
        </w:tc>
        <w:tc>
          <w:tcPr>
            <w:tcW w:w="480" w:type="dxa"/>
            <w:vAlign w:val="bottom"/>
            <w:tcBorders>
              <w:top w:val="single" w:sz="8" w:color="auto"/>
              <w:bottom w:val="single" w:sz="8" w:color="auto"/>
            </w:tcBorders>
          </w:tcPr>
          <w:p>
            <w:pPr>
              <w:spacing w:after="0"/>
              <w:rPr>
                <w:sz w:val="24"/>
                <w:szCs w:val="24"/>
                <w:color w:val="auto"/>
              </w:rPr>
            </w:pPr>
          </w:p>
        </w:tc>
        <w:tc>
          <w:tcPr>
            <w:tcW w:w="260" w:type="dxa"/>
            <w:vAlign w:val="bottom"/>
            <w:tcBorders>
              <w:top w:val="single" w:sz="8" w:color="auto"/>
              <w:bottom w:val="single" w:sz="8" w:color="auto"/>
            </w:tcBorders>
          </w:tcPr>
          <w:p>
            <w:pPr>
              <w:spacing w:after="0"/>
              <w:rPr>
                <w:sz w:val="24"/>
                <w:szCs w:val="24"/>
                <w:color w:val="auto"/>
              </w:rPr>
            </w:pPr>
          </w:p>
        </w:tc>
        <w:tc>
          <w:tcPr>
            <w:tcW w:w="1040" w:type="dxa"/>
            <w:vAlign w:val="bottom"/>
            <w:tcBorders>
              <w:top w:val="single" w:sz="8" w:color="auto"/>
              <w:bottom w:val="single" w:sz="8" w:color="auto"/>
            </w:tcBorders>
          </w:tcPr>
          <w:p>
            <w:pPr>
              <w:spacing w:after="0"/>
              <w:rPr>
                <w:sz w:val="24"/>
                <w:szCs w:val="24"/>
                <w:color w:val="auto"/>
              </w:rPr>
            </w:pPr>
          </w:p>
        </w:tc>
        <w:tc>
          <w:tcPr>
            <w:tcW w:w="420" w:type="dxa"/>
            <w:vAlign w:val="bottom"/>
            <w:tcBorders>
              <w:top w:val="single" w:sz="8" w:color="auto"/>
              <w:bottom w:val="single" w:sz="8" w:color="auto"/>
            </w:tcBorders>
          </w:tcPr>
          <w:p>
            <w:pPr>
              <w:spacing w:after="0"/>
              <w:rPr>
                <w:sz w:val="24"/>
                <w:szCs w:val="24"/>
                <w:color w:val="auto"/>
              </w:rPr>
            </w:pPr>
          </w:p>
        </w:tc>
        <w:tc>
          <w:tcPr>
            <w:tcW w:w="200" w:type="dxa"/>
            <w:vAlign w:val="bottom"/>
            <w:tcBorders>
              <w:top w:val="single" w:sz="8" w:color="auto"/>
              <w:bottom w:val="single" w:sz="8" w:color="auto"/>
            </w:tcBorders>
          </w:tcPr>
          <w:p>
            <w:pPr>
              <w:spacing w:after="0"/>
              <w:rPr>
                <w:sz w:val="24"/>
                <w:szCs w:val="24"/>
                <w:color w:val="auto"/>
              </w:rPr>
            </w:pPr>
          </w:p>
        </w:tc>
        <w:tc>
          <w:tcPr>
            <w:tcW w:w="1100" w:type="dxa"/>
            <w:vAlign w:val="bottom"/>
            <w:tcBorders>
              <w:top w:val="single" w:sz="8" w:color="auto"/>
              <w:bottom w:val="single" w:sz="8" w:color="auto"/>
            </w:tcBorders>
          </w:tcPr>
          <w:p>
            <w:pPr>
              <w:spacing w:after="0"/>
              <w:rPr>
                <w:sz w:val="24"/>
                <w:szCs w:val="24"/>
                <w:color w:val="auto"/>
              </w:rPr>
            </w:pPr>
          </w:p>
        </w:tc>
        <w:tc>
          <w:tcPr>
            <w:tcW w:w="400" w:type="dxa"/>
            <w:vAlign w:val="bottom"/>
            <w:tcBorders>
              <w:top w:val="single" w:sz="8" w:color="auto"/>
              <w:bottom w:val="single" w:sz="8" w:color="auto"/>
            </w:tcBorders>
          </w:tcPr>
          <w:p>
            <w:pPr>
              <w:spacing w:after="0"/>
              <w:rPr>
                <w:sz w:val="24"/>
                <w:szCs w:val="24"/>
                <w:color w:val="auto"/>
              </w:rPr>
            </w:pPr>
          </w:p>
        </w:tc>
        <w:tc>
          <w:tcPr>
            <w:tcW w:w="160" w:type="dxa"/>
            <w:vAlign w:val="bottom"/>
            <w:tcBorders>
              <w:top w:val="single" w:sz="8" w:color="auto"/>
              <w:bottom w:val="single" w:sz="8" w:color="auto"/>
            </w:tcBorders>
          </w:tcPr>
          <w:p>
            <w:pPr>
              <w:spacing w:after="0"/>
              <w:rPr>
                <w:sz w:val="24"/>
                <w:szCs w:val="24"/>
                <w:color w:val="auto"/>
              </w:rPr>
            </w:pPr>
          </w:p>
        </w:tc>
        <w:tc>
          <w:tcPr>
            <w:tcW w:w="320" w:type="dxa"/>
            <w:vAlign w:val="bottom"/>
            <w:tcBorders>
              <w:top w:val="single" w:sz="8" w:color="auto"/>
              <w:bottom w:val="single" w:sz="8" w:color="auto"/>
            </w:tcBorders>
          </w:tcPr>
          <w:p>
            <w:pPr>
              <w:spacing w:after="0"/>
              <w:rPr>
                <w:sz w:val="24"/>
                <w:szCs w:val="24"/>
                <w:color w:val="auto"/>
              </w:rPr>
            </w:pPr>
          </w:p>
        </w:tc>
        <w:tc>
          <w:tcPr>
            <w:tcW w:w="1300" w:type="dxa"/>
            <w:vAlign w:val="bottom"/>
            <w:tcBorders>
              <w:top w:val="single" w:sz="8" w:color="auto"/>
              <w:bottom w:val="single" w:sz="8" w:color="auto"/>
            </w:tcBorders>
          </w:tcPr>
          <w:p>
            <w:pPr>
              <w:spacing w:after="0"/>
              <w:rPr>
                <w:sz w:val="24"/>
                <w:szCs w:val="24"/>
                <w:color w:val="auto"/>
              </w:rPr>
            </w:pPr>
          </w:p>
        </w:tc>
        <w:tc>
          <w:tcPr>
            <w:tcW w:w="60" w:type="dxa"/>
            <w:vAlign w:val="bottom"/>
            <w:tcBorders>
              <w:top w:val="single" w:sz="8" w:color="auto"/>
              <w:bottom w:val="single" w:sz="8" w:color="auto"/>
            </w:tcBorders>
          </w:tcPr>
          <w:p>
            <w:pPr>
              <w:spacing w:after="0"/>
              <w:rPr>
                <w:sz w:val="24"/>
                <w:szCs w:val="24"/>
                <w:color w:val="auto"/>
              </w:rPr>
            </w:pPr>
          </w:p>
        </w:tc>
        <w:tc>
          <w:tcPr>
            <w:tcW w:w="360" w:type="dxa"/>
            <w:vAlign w:val="bottom"/>
            <w:tcBorders>
              <w:top w:val="single" w:sz="8" w:color="auto"/>
              <w:bottom w:val="single" w:sz="8" w:color="auto"/>
            </w:tcBorders>
          </w:tcPr>
          <w:p>
            <w:pPr>
              <w:spacing w:after="0"/>
              <w:rPr>
                <w:sz w:val="24"/>
                <w:szCs w:val="24"/>
                <w:color w:val="auto"/>
              </w:rPr>
            </w:pPr>
          </w:p>
        </w:tc>
        <w:tc>
          <w:tcPr>
            <w:tcW w:w="1320" w:type="dxa"/>
            <w:vAlign w:val="bottom"/>
            <w:tcBorders>
              <w:top w:val="single" w:sz="8" w:color="auto"/>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3980" w:type="dxa"/>
            <w:vAlign w:val="bottom"/>
            <w:shd w:val="clear" w:color="auto" w:fill="C0C0C0"/>
          </w:tcPr>
          <w:p>
            <w:pPr>
              <w:spacing w:after="0" w:line="160" w:lineRule="exact"/>
              <w:rPr>
                <w:sz w:val="20"/>
                <w:szCs w:val="20"/>
                <w:color w:val="auto"/>
              </w:rPr>
            </w:pPr>
            <w:r>
              <w:rPr>
                <w:rFonts w:ascii="Arial" w:cs="Arial" w:eastAsia="Arial" w:hAnsi="Arial"/>
                <w:sz w:val="16"/>
                <w:szCs w:val="16"/>
                <w:b w:val="1"/>
                <w:bCs w:val="1"/>
                <w:color w:val="auto"/>
              </w:rPr>
              <w:t>NET PERIODIC BENEFIT COST -- SDG&amp;E</w:t>
            </w:r>
          </w:p>
        </w:tc>
        <w:tc>
          <w:tcPr>
            <w:tcW w:w="480" w:type="dxa"/>
            <w:vAlign w:val="bottom"/>
            <w:shd w:val="clear" w:color="auto" w:fill="C0C0C0"/>
          </w:tcPr>
          <w:p>
            <w:pPr>
              <w:spacing w:after="0"/>
              <w:rPr>
                <w:sz w:val="13"/>
                <w:szCs w:val="13"/>
                <w:color w:val="auto"/>
              </w:rPr>
            </w:pPr>
          </w:p>
        </w:tc>
        <w:tc>
          <w:tcPr>
            <w:tcW w:w="260" w:type="dxa"/>
            <w:vAlign w:val="bottom"/>
            <w:shd w:val="clear" w:color="auto" w:fill="C0C0C0"/>
          </w:tcPr>
          <w:p>
            <w:pPr>
              <w:spacing w:after="0"/>
              <w:rPr>
                <w:sz w:val="13"/>
                <w:szCs w:val="13"/>
                <w:color w:val="auto"/>
              </w:rPr>
            </w:pPr>
          </w:p>
        </w:tc>
        <w:tc>
          <w:tcPr>
            <w:tcW w:w="1040" w:type="dxa"/>
            <w:vAlign w:val="bottom"/>
            <w:shd w:val="clear" w:color="auto" w:fill="C0C0C0"/>
          </w:tcPr>
          <w:p>
            <w:pPr>
              <w:spacing w:after="0"/>
              <w:rPr>
                <w:sz w:val="13"/>
                <w:szCs w:val="13"/>
                <w:color w:val="auto"/>
              </w:rPr>
            </w:pPr>
          </w:p>
        </w:tc>
        <w:tc>
          <w:tcPr>
            <w:tcW w:w="420" w:type="dxa"/>
            <w:vAlign w:val="bottom"/>
            <w:shd w:val="clear" w:color="auto" w:fill="C0C0C0"/>
          </w:tcPr>
          <w:p>
            <w:pPr>
              <w:spacing w:after="0"/>
              <w:rPr>
                <w:sz w:val="13"/>
                <w:szCs w:val="13"/>
                <w:color w:val="auto"/>
              </w:rPr>
            </w:pPr>
          </w:p>
        </w:tc>
        <w:tc>
          <w:tcPr>
            <w:tcW w:w="200" w:type="dxa"/>
            <w:vAlign w:val="bottom"/>
            <w:shd w:val="clear" w:color="auto" w:fill="C0C0C0"/>
          </w:tcPr>
          <w:p>
            <w:pPr>
              <w:spacing w:after="0"/>
              <w:rPr>
                <w:sz w:val="13"/>
                <w:szCs w:val="13"/>
                <w:color w:val="auto"/>
              </w:rPr>
            </w:pPr>
          </w:p>
        </w:tc>
        <w:tc>
          <w:tcPr>
            <w:tcW w:w="1100" w:type="dxa"/>
            <w:vAlign w:val="bottom"/>
            <w:shd w:val="clear" w:color="auto" w:fill="C0C0C0"/>
          </w:tcPr>
          <w:p>
            <w:pPr>
              <w:spacing w:after="0"/>
              <w:rPr>
                <w:sz w:val="13"/>
                <w:szCs w:val="13"/>
                <w:color w:val="auto"/>
              </w:rPr>
            </w:pPr>
          </w:p>
        </w:tc>
        <w:tc>
          <w:tcPr>
            <w:tcW w:w="400" w:type="dxa"/>
            <w:vAlign w:val="bottom"/>
            <w:shd w:val="clear" w:color="auto" w:fill="C0C0C0"/>
          </w:tcPr>
          <w:p>
            <w:pPr>
              <w:spacing w:after="0"/>
              <w:rPr>
                <w:sz w:val="13"/>
                <w:szCs w:val="13"/>
                <w:color w:val="auto"/>
              </w:rPr>
            </w:pPr>
          </w:p>
        </w:tc>
        <w:tc>
          <w:tcPr>
            <w:tcW w:w="160" w:type="dxa"/>
            <w:vAlign w:val="bottom"/>
            <w:shd w:val="clear" w:color="auto" w:fill="C0C0C0"/>
          </w:tcPr>
          <w:p>
            <w:pPr>
              <w:spacing w:after="0"/>
              <w:rPr>
                <w:sz w:val="13"/>
                <w:szCs w:val="13"/>
                <w:color w:val="auto"/>
              </w:rPr>
            </w:pPr>
          </w:p>
        </w:tc>
        <w:tc>
          <w:tcPr>
            <w:tcW w:w="320" w:type="dxa"/>
            <w:vAlign w:val="bottom"/>
            <w:shd w:val="clear" w:color="auto" w:fill="C0C0C0"/>
          </w:tcPr>
          <w:p>
            <w:pPr>
              <w:spacing w:after="0"/>
              <w:rPr>
                <w:sz w:val="13"/>
                <w:szCs w:val="13"/>
                <w:color w:val="auto"/>
              </w:rPr>
            </w:pPr>
          </w:p>
        </w:tc>
        <w:tc>
          <w:tcPr>
            <w:tcW w:w="1300" w:type="dxa"/>
            <w:vAlign w:val="bottom"/>
            <w:shd w:val="clear" w:color="auto" w:fill="C0C0C0"/>
          </w:tcPr>
          <w:p>
            <w:pPr>
              <w:spacing w:after="0"/>
              <w:rPr>
                <w:sz w:val="13"/>
                <w:szCs w:val="13"/>
                <w:color w:val="auto"/>
              </w:rPr>
            </w:pPr>
          </w:p>
        </w:tc>
        <w:tc>
          <w:tcPr>
            <w:tcW w:w="60" w:type="dxa"/>
            <w:vAlign w:val="bottom"/>
            <w:shd w:val="clear" w:color="auto" w:fill="C0C0C0"/>
          </w:tcPr>
          <w:p>
            <w:pPr>
              <w:spacing w:after="0"/>
              <w:rPr>
                <w:sz w:val="13"/>
                <w:szCs w:val="13"/>
                <w:color w:val="auto"/>
              </w:rPr>
            </w:pPr>
          </w:p>
        </w:tc>
        <w:tc>
          <w:tcPr>
            <w:tcW w:w="360" w:type="dxa"/>
            <w:vAlign w:val="bottom"/>
            <w:shd w:val="clear" w:color="auto" w:fill="C0C0C0"/>
          </w:tcPr>
          <w:p>
            <w:pPr>
              <w:spacing w:after="0"/>
              <w:rPr>
                <w:sz w:val="13"/>
                <w:szCs w:val="13"/>
                <w:color w:val="auto"/>
              </w:rPr>
            </w:pPr>
          </w:p>
        </w:tc>
        <w:tc>
          <w:tcPr>
            <w:tcW w:w="1320" w:type="dxa"/>
            <w:vAlign w:val="bottom"/>
            <w:shd w:val="clear" w:color="auto" w:fill="C0C0C0"/>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980" w:type="dxa"/>
            <w:vAlign w:val="bottom"/>
            <w:shd w:val="clear" w:color="auto" w:fill="C0C0C0"/>
          </w:tcPr>
          <w:p>
            <w:pPr>
              <w:spacing w:after="0"/>
              <w:rPr>
                <w:sz w:val="20"/>
                <w:szCs w:val="20"/>
                <w:color w:val="auto"/>
              </w:rPr>
            </w:pPr>
            <w:r>
              <w:rPr>
                <w:rFonts w:ascii="Arial" w:cs="Arial" w:eastAsia="Arial" w:hAnsi="Arial"/>
                <w:sz w:val="14"/>
                <w:szCs w:val="14"/>
                <w:i w:val="1"/>
                <w:iCs w:val="1"/>
                <w:color w:val="auto"/>
              </w:rPr>
              <w:t>(Dollars in millions)</w:t>
            </w:r>
          </w:p>
        </w:tc>
        <w:tc>
          <w:tcPr>
            <w:tcW w:w="480" w:type="dxa"/>
            <w:vAlign w:val="bottom"/>
            <w:shd w:val="clear" w:color="auto" w:fill="C0C0C0"/>
          </w:tcPr>
          <w:p>
            <w:pPr>
              <w:spacing w:after="0"/>
              <w:rPr>
                <w:sz w:val="14"/>
                <w:szCs w:val="14"/>
                <w:color w:val="auto"/>
              </w:rPr>
            </w:pPr>
          </w:p>
        </w:tc>
        <w:tc>
          <w:tcPr>
            <w:tcW w:w="260" w:type="dxa"/>
            <w:vAlign w:val="bottom"/>
            <w:shd w:val="clear" w:color="auto" w:fill="C0C0C0"/>
          </w:tcPr>
          <w:p>
            <w:pPr>
              <w:spacing w:after="0"/>
              <w:rPr>
                <w:sz w:val="14"/>
                <w:szCs w:val="14"/>
                <w:color w:val="auto"/>
              </w:rPr>
            </w:pPr>
          </w:p>
        </w:tc>
        <w:tc>
          <w:tcPr>
            <w:tcW w:w="1040" w:type="dxa"/>
            <w:vAlign w:val="bottom"/>
            <w:shd w:val="clear" w:color="auto" w:fill="C0C0C0"/>
          </w:tcPr>
          <w:p>
            <w:pPr>
              <w:spacing w:after="0"/>
              <w:rPr>
                <w:sz w:val="14"/>
                <w:szCs w:val="14"/>
                <w:color w:val="auto"/>
              </w:rPr>
            </w:pPr>
          </w:p>
        </w:tc>
        <w:tc>
          <w:tcPr>
            <w:tcW w:w="420" w:type="dxa"/>
            <w:vAlign w:val="bottom"/>
            <w:shd w:val="clear" w:color="auto" w:fill="C0C0C0"/>
          </w:tcPr>
          <w:p>
            <w:pPr>
              <w:spacing w:after="0"/>
              <w:rPr>
                <w:sz w:val="14"/>
                <w:szCs w:val="14"/>
                <w:color w:val="auto"/>
              </w:rPr>
            </w:pPr>
          </w:p>
        </w:tc>
        <w:tc>
          <w:tcPr>
            <w:tcW w:w="200" w:type="dxa"/>
            <w:vAlign w:val="bottom"/>
            <w:shd w:val="clear" w:color="auto" w:fill="C0C0C0"/>
          </w:tcPr>
          <w:p>
            <w:pPr>
              <w:spacing w:after="0"/>
              <w:rPr>
                <w:sz w:val="14"/>
                <w:szCs w:val="14"/>
                <w:color w:val="auto"/>
              </w:rPr>
            </w:pPr>
          </w:p>
        </w:tc>
        <w:tc>
          <w:tcPr>
            <w:tcW w:w="1100" w:type="dxa"/>
            <w:vAlign w:val="bottom"/>
            <w:shd w:val="clear" w:color="auto" w:fill="C0C0C0"/>
          </w:tcPr>
          <w:p>
            <w:pPr>
              <w:spacing w:after="0"/>
              <w:rPr>
                <w:sz w:val="14"/>
                <w:szCs w:val="14"/>
                <w:color w:val="auto"/>
              </w:rPr>
            </w:pPr>
          </w:p>
        </w:tc>
        <w:tc>
          <w:tcPr>
            <w:tcW w:w="400" w:type="dxa"/>
            <w:vAlign w:val="bottom"/>
            <w:shd w:val="clear" w:color="auto" w:fill="C0C0C0"/>
          </w:tcPr>
          <w:p>
            <w:pPr>
              <w:spacing w:after="0"/>
              <w:rPr>
                <w:sz w:val="14"/>
                <w:szCs w:val="14"/>
                <w:color w:val="auto"/>
              </w:rPr>
            </w:pPr>
          </w:p>
        </w:tc>
        <w:tc>
          <w:tcPr>
            <w:tcW w:w="160" w:type="dxa"/>
            <w:vAlign w:val="bottom"/>
            <w:shd w:val="clear" w:color="auto" w:fill="C0C0C0"/>
          </w:tcPr>
          <w:p>
            <w:pPr>
              <w:spacing w:after="0"/>
              <w:rPr>
                <w:sz w:val="14"/>
                <w:szCs w:val="14"/>
                <w:color w:val="auto"/>
              </w:rPr>
            </w:pPr>
          </w:p>
        </w:tc>
        <w:tc>
          <w:tcPr>
            <w:tcW w:w="320" w:type="dxa"/>
            <w:vAlign w:val="bottom"/>
            <w:shd w:val="clear" w:color="auto" w:fill="C0C0C0"/>
          </w:tcPr>
          <w:p>
            <w:pPr>
              <w:spacing w:after="0"/>
              <w:rPr>
                <w:sz w:val="14"/>
                <w:szCs w:val="14"/>
                <w:color w:val="auto"/>
              </w:rPr>
            </w:pPr>
          </w:p>
        </w:tc>
        <w:tc>
          <w:tcPr>
            <w:tcW w:w="1300" w:type="dxa"/>
            <w:vAlign w:val="bottom"/>
            <w:shd w:val="clear" w:color="auto" w:fill="C0C0C0"/>
          </w:tcPr>
          <w:p>
            <w:pPr>
              <w:spacing w:after="0"/>
              <w:rPr>
                <w:sz w:val="14"/>
                <w:szCs w:val="14"/>
                <w:color w:val="auto"/>
              </w:rPr>
            </w:pPr>
          </w:p>
        </w:tc>
        <w:tc>
          <w:tcPr>
            <w:tcW w:w="60" w:type="dxa"/>
            <w:vAlign w:val="bottom"/>
            <w:shd w:val="clear" w:color="auto" w:fill="C0C0C0"/>
          </w:tcPr>
          <w:p>
            <w:pPr>
              <w:spacing w:after="0"/>
              <w:rPr>
                <w:sz w:val="14"/>
                <w:szCs w:val="14"/>
                <w:color w:val="auto"/>
              </w:rPr>
            </w:pPr>
          </w:p>
        </w:tc>
        <w:tc>
          <w:tcPr>
            <w:tcW w:w="360" w:type="dxa"/>
            <w:vAlign w:val="bottom"/>
            <w:shd w:val="clear" w:color="auto" w:fill="C0C0C0"/>
          </w:tcPr>
          <w:p>
            <w:pPr>
              <w:spacing w:after="0"/>
              <w:rPr>
                <w:sz w:val="14"/>
                <w:szCs w:val="14"/>
                <w:color w:val="auto"/>
              </w:rPr>
            </w:pPr>
          </w:p>
        </w:tc>
        <w:tc>
          <w:tcPr>
            <w:tcW w:w="1320" w:type="dxa"/>
            <w:vAlign w:val="bottom"/>
            <w:shd w:val="clear" w:color="auto" w:fill="C0C0C0"/>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39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1720" w:type="dxa"/>
            <w:vAlign w:val="bottom"/>
            <w:tcBorders>
              <w:bottom w:val="single" w:sz="8" w:color="auto"/>
            </w:tcBorders>
            <w:gridSpan w:val="3"/>
          </w:tcPr>
          <w:p>
            <w:pPr>
              <w:jc w:val="center"/>
              <w:ind w:right="406"/>
              <w:spacing w:after="0"/>
              <w:rPr>
                <w:sz w:val="20"/>
                <w:szCs w:val="20"/>
                <w:color w:val="auto"/>
              </w:rPr>
            </w:pPr>
            <w:r>
              <w:rPr>
                <w:rFonts w:ascii="Arial" w:cs="Arial" w:eastAsia="Arial" w:hAnsi="Arial"/>
                <w:sz w:val="14"/>
                <w:szCs w:val="14"/>
                <w:color w:val="auto"/>
              </w:rPr>
              <w:t>Pension Benefits</w:t>
            </w:r>
          </w:p>
        </w:tc>
        <w:tc>
          <w:tcPr>
            <w:tcW w:w="4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3040" w:type="dxa"/>
            <w:vAlign w:val="bottom"/>
            <w:tcBorders>
              <w:bottom w:val="single" w:sz="8" w:color="auto"/>
            </w:tcBorders>
            <w:gridSpan w:val="4"/>
          </w:tcPr>
          <w:p>
            <w:pPr>
              <w:jc w:val="center"/>
              <w:ind w:right="240"/>
              <w:spacing w:after="0"/>
              <w:rPr>
                <w:sz w:val="20"/>
                <w:szCs w:val="20"/>
                <w:color w:val="auto"/>
              </w:rPr>
            </w:pPr>
            <w:r>
              <w:rPr>
                <w:rFonts w:ascii="Arial" w:cs="Arial" w:eastAsia="Arial" w:hAnsi="Arial"/>
                <w:sz w:val="14"/>
                <w:szCs w:val="14"/>
                <w:color w:val="auto"/>
              </w:rPr>
              <w:t>Other Postretirement Benefits</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39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760" w:type="dxa"/>
            <w:vAlign w:val="bottom"/>
            <w:gridSpan w:val="4"/>
          </w:tcPr>
          <w:p>
            <w:pPr>
              <w:jc w:val="center"/>
              <w:ind w:left="487"/>
              <w:spacing w:after="0"/>
              <w:rPr>
                <w:sz w:val="20"/>
                <w:szCs w:val="20"/>
                <w:color w:val="auto"/>
              </w:rPr>
            </w:pPr>
            <w:r>
              <w:rPr>
                <w:rFonts w:ascii="Arial" w:cs="Arial" w:eastAsia="Arial" w:hAnsi="Arial"/>
                <w:sz w:val="14"/>
                <w:szCs w:val="14"/>
                <w:color w:val="auto"/>
              </w:rPr>
              <w:t>Three months ended June 30,</w:t>
            </w:r>
          </w:p>
        </w:tc>
        <w:tc>
          <w:tcPr>
            <w:tcW w:w="4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040" w:type="dxa"/>
            <w:vAlign w:val="bottom"/>
            <w:gridSpan w:val="4"/>
          </w:tcPr>
          <w:p>
            <w:pPr>
              <w:jc w:val="center"/>
              <w:ind w:right="240"/>
              <w:spacing w:after="0"/>
              <w:rPr>
                <w:sz w:val="20"/>
                <w:szCs w:val="20"/>
                <w:color w:val="auto"/>
              </w:rPr>
            </w:pPr>
            <w:r>
              <w:rPr>
                <w:rFonts w:ascii="Arial" w:cs="Arial" w:eastAsia="Arial" w:hAnsi="Arial"/>
                <w:sz w:val="14"/>
                <w:szCs w:val="14"/>
                <w:color w:val="auto"/>
              </w:rPr>
              <w:t>Three months ended June 30,</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3980" w:type="dxa"/>
            <w:vAlign w:val="bottom"/>
            <w:tcBorders>
              <w:bottom w:val="single" w:sz="8" w:color="auto"/>
            </w:tcBorders>
          </w:tcPr>
          <w:p>
            <w:pPr>
              <w:spacing w:after="0"/>
              <w:rPr>
                <w:sz w:val="14"/>
                <w:szCs w:val="14"/>
                <w:color w:val="auto"/>
              </w:rPr>
            </w:pPr>
          </w:p>
        </w:tc>
        <w:tc>
          <w:tcPr>
            <w:tcW w:w="1780" w:type="dxa"/>
            <w:vAlign w:val="bottom"/>
            <w:tcBorders>
              <w:bottom w:val="single" w:sz="8" w:color="auto"/>
            </w:tcBorders>
            <w:gridSpan w:val="3"/>
          </w:tcPr>
          <w:p>
            <w:pPr>
              <w:jc w:val="right"/>
              <w:ind w:right="7"/>
              <w:spacing w:after="0"/>
              <w:rPr>
                <w:sz w:val="20"/>
                <w:szCs w:val="20"/>
                <w:color w:val="auto"/>
              </w:rPr>
            </w:pPr>
            <w:r>
              <w:rPr>
                <w:rFonts w:ascii="Arial" w:cs="Arial" w:eastAsia="Arial" w:hAnsi="Arial"/>
                <w:sz w:val="14"/>
                <w:szCs w:val="14"/>
                <w:color w:val="auto"/>
              </w:rPr>
              <w:t>2011</w:t>
            </w:r>
          </w:p>
        </w:tc>
        <w:tc>
          <w:tcPr>
            <w:tcW w:w="4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66"/>
              <w:spacing w:after="0"/>
              <w:rPr>
                <w:sz w:val="20"/>
                <w:szCs w:val="20"/>
                <w:color w:val="auto"/>
              </w:rPr>
            </w:pPr>
            <w:r>
              <w:rPr>
                <w:rFonts w:ascii="Arial" w:cs="Arial" w:eastAsia="Arial" w:hAnsi="Arial"/>
                <w:sz w:val="14"/>
                <w:szCs w:val="14"/>
                <w:color w:val="auto"/>
              </w:rPr>
              <w:t>2010</w:t>
            </w:r>
          </w:p>
        </w:tc>
        <w:tc>
          <w:tcPr>
            <w:tcW w:w="4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ind w:left="340"/>
              <w:spacing w:after="0"/>
              <w:rPr>
                <w:sz w:val="20"/>
                <w:szCs w:val="20"/>
                <w:color w:val="auto"/>
              </w:rPr>
            </w:pPr>
            <w:r>
              <w:rPr>
                <w:rFonts w:ascii="Arial" w:cs="Arial" w:eastAsia="Arial" w:hAnsi="Arial"/>
                <w:sz w:val="14"/>
                <w:szCs w:val="14"/>
                <w:color w:val="auto"/>
              </w:rPr>
              <w:t>2011</w:t>
            </w:r>
          </w:p>
        </w:tc>
        <w:tc>
          <w:tcPr>
            <w:tcW w:w="6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jc w:val="right"/>
              <w:ind w:right="620"/>
              <w:spacing w:after="0"/>
              <w:rPr>
                <w:sz w:val="20"/>
                <w:szCs w:val="20"/>
                <w:color w:val="auto"/>
              </w:rPr>
            </w:pPr>
            <w:r>
              <w:rPr>
                <w:rFonts w:ascii="Arial" w:cs="Arial" w:eastAsia="Arial" w:hAnsi="Arial"/>
                <w:sz w:val="14"/>
                <w:szCs w:val="14"/>
                <w:color w:val="auto"/>
              </w:rPr>
              <w:t>2010</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3980" w:type="dxa"/>
            <w:vAlign w:val="bottom"/>
          </w:tcPr>
          <w:p>
            <w:pPr>
              <w:spacing w:after="0" w:line="164" w:lineRule="exact"/>
              <w:rPr>
                <w:sz w:val="20"/>
                <w:szCs w:val="20"/>
                <w:color w:val="auto"/>
              </w:rPr>
            </w:pPr>
            <w:r>
              <w:rPr>
                <w:rFonts w:ascii="Arial" w:cs="Arial" w:eastAsia="Arial" w:hAnsi="Arial"/>
                <w:sz w:val="16"/>
                <w:szCs w:val="16"/>
                <w:color w:val="auto"/>
              </w:rPr>
              <w:t>Service cost</w:t>
            </w:r>
          </w:p>
        </w:tc>
        <w:tc>
          <w:tcPr>
            <w:tcW w:w="1780" w:type="dxa"/>
            <w:vAlign w:val="bottom"/>
            <w:gridSpan w:val="3"/>
          </w:tcPr>
          <w:p>
            <w:pPr>
              <w:jc w:val="right"/>
              <w:ind w:right="887"/>
              <w:spacing w:after="0" w:line="164" w:lineRule="exact"/>
              <w:rPr>
                <w:sz w:val="20"/>
                <w:szCs w:val="20"/>
                <w:color w:val="auto"/>
              </w:rPr>
            </w:pPr>
            <w:r>
              <w:rPr>
                <w:rFonts w:ascii="Arial" w:cs="Arial" w:eastAsia="Arial" w:hAnsi="Arial"/>
                <w:sz w:val="16"/>
                <w:szCs w:val="16"/>
                <w:color w:val="auto"/>
              </w:rPr>
              <w:t>$</w:t>
            </w:r>
          </w:p>
        </w:tc>
        <w:tc>
          <w:tcPr>
            <w:tcW w:w="420" w:type="dxa"/>
            <w:vAlign w:val="bottom"/>
          </w:tcPr>
          <w:p>
            <w:pPr>
              <w:spacing w:after="0"/>
              <w:rPr>
                <w:sz w:val="14"/>
                <w:szCs w:val="14"/>
                <w:color w:val="auto"/>
              </w:rPr>
            </w:pPr>
          </w:p>
        </w:tc>
        <w:tc>
          <w:tcPr>
            <w:tcW w:w="200" w:type="dxa"/>
            <w:vAlign w:val="bottom"/>
          </w:tcPr>
          <w:p>
            <w:pPr>
              <w:jc w:val="right"/>
              <w:spacing w:after="0" w:line="164" w:lineRule="exact"/>
              <w:rPr>
                <w:sz w:val="20"/>
                <w:szCs w:val="20"/>
                <w:color w:val="auto"/>
              </w:rPr>
            </w:pPr>
            <w:r>
              <w:rPr>
                <w:rFonts w:ascii="Arial" w:cs="Arial" w:eastAsia="Arial" w:hAnsi="Arial"/>
                <w:sz w:val="16"/>
                <w:szCs w:val="16"/>
                <w:color w:val="auto"/>
              </w:rPr>
              <w:t>8</w:t>
            </w:r>
          </w:p>
        </w:tc>
        <w:tc>
          <w:tcPr>
            <w:tcW w:w="1100" w:type="dxa"/>
            <w:vAlign w:val="bottom"/>
          </w:tcPr>
          <w:p>
            <w:pPr>
              <w:jc w:val="right"/>
              <w:ind w:right="946"/>
              <w:spacing w:after="0" w:line="164" w:lineRule="exact"/>
              <w:rPr>
                <w:sz w:val="20"/>
                <w:szCs w:val="20"/>
                <w:color w:val="auto"/>
              </w:rPr>
            </w:pPr>
            <w:r>
              <w:rPr>
                <w:rFonts w:ascii="Arial" w:cs="Arial" w:eastAsia="Arial" w:hAnsi="Arial"/>
                <w:sz w:val="15"/>
                <w:szCs w:val="15"/>
                <w:color w:val="auto"/>
                <w:w w:val="71"/>
              </w:rPr>
              <w:t>$</w:t>
            </w:r>
          </w:p>
        </w:tc>
        <w:tc>
          <w:tcPr>
            <w:tcW w:w="400" w:type="dxa"/>
            <w:vAlign w:val="bottom"/>
          </w:tcPr>
          <w:p>
            <w:pPr>
              <w:spacing w:after="0"/>
              <w:rPr>
                <w:sz w:val="14"/>
                <w:szCs w:val="14"/>
                <w:color w:val="auto"/>
              </w:rPr>
            </w:pPr>
          </w:p>
        </w:tc>
        <w:tc>
          <w:tcPr>
            <w:tcW w:w="160" w:type="dxa"/>
            <w:vAlign w:val="bottom"/>
          </w:tcPr>
          <w:p>
            <w:pPr>
              <w:jc w:val="right"/>
              <w:spacing w:after="0" w:line="164" w:lineRule="exact"/>
              <w:rPr>
                <w:sz w:val="20"/>
                <w:szCs w:val="20"/>
                <w:color w:val="auto"/>
              </w:rPr>
            </w:pPr>
            <w:r>
              <w:rPr>
                <w:rFonts w:ascii="Arial" w:cs="Arial" w:eastAsia="Arial" w:hAnsi="Arial"/>
                <w:sz w:val="16"/>
                <w:szCs w:val="16"/>
                <w:color w:val="auto"/>
              </w:rPr>
              <w:t>7</w:t>
            </w:r>
          </w:p>
        </w:tc>
        <w:tc>
          <w:tcPr>
            <w:tcW w:w="320" w:type="dxa"/>
            <w:vAlign w:val="bottom"/>
          </w:tcPr>
          <w:p>
            <w:pPr>
              <w:jc w:val="right"/>
              <w:ind w:right="164"/>
              <w:spacing w:after="0" w:line="164" w:lineRule="exact"/>
              <w:rPr>
                <w:sz w:val="20"/>
                <w:szCs w:val="20"/>
                <w:color w:val="auto"/>
              </w:rPr>
            </w:pPr>
            <w:r>
              <w:rPr>
                <w:rFonts w:ascii="Arial" w:cs="Arial" w:eastAsia="Arial" w:hAnsi="Arial"/>
                <w:sz w:val="15"/>
                <w:szCs w:val="15"/>
                <w:color w:val="auto"/>
                <w:w w:val="71"/>
              </w:rPr>
              <w:t>$</w:t>
            </w:r>
          </w:p>
        </w:tc>
        <w:tc>
          <w:tcPr>
            <w:tcW w:w="1360" w:type="dxa"/>
            <w:vAlign w:val="bottom"/>
            <w:gridSpan w:val="2"/>
          </w:tcPr>
          <w:p>
            <w:pPr>
              <w:jc w:val="right"/>
              <w:spacing w:after="0" w:line="164" w:lineRule="exact"/>
              <w:rPr>
                <w:sz w:val="20"/>
                <w:szCs w:val="20"/>
                <w:color w:val="auto"/>
              </w:rPr>
            </w:pPr>
            <w:r>
              <w:rPr>
                <w:rFonts w:ascii="Arial" w:cs="Arial" w:eastAsia="Arial" w:hAnsi="Arial"/>
                <w:sz w:val="16"/>
                <w:szCs w:val="16"/>
                <w:color w:val="auto"/>
              </w:rPr>
              <w:t>2</w:t>
            </w:r>
          </w:p>
        </w:tc>
        <w:tc>
          <w:tcPr>
            <w:tcW w:w="360" w:type="dxa"/>
            <w:vAlign w:val="bottom"/>
          </w:tcPr>
          <w:p>
            <w:pPr>
              <w:jc w:val="right"/>
              <w:ind w:right="204"/>
              <w:spacing w:after="0" w:line="164" w:lineRule="exact"/>
              <w:rPr>
                <w:sz w:val="20"/>
                <w:szCs w:val="20"/>
                <w:color w:val="auto"/>
              </w:rPr>
            </w:pPr>
            <w:r>
              <w:rPr>
                <w:rFonts w:ascii="Arial" w:cs="Arial" w:eastAsia="Arial" w:hAnsi="Arial"/>
                <w:sz w:val="15"/>
                <w:szCs w:val="15"/>
                <w:color w:val="auto"/>
                <w:w w:val="71"/>
              </w:rPr>
              <w:t>$</w:t>
            </w:r>
          </w:p>
        </w:tc>
        <w:tc>
          <w:tcPr>
            <w:tcW w:w="1320" w:type="dxa"/>
            <w:vAlign w:val="bottom"/>
          </w:tcPr>
          <w:p>
            <w:pPr>
              <w:jc w:val="right"/>
              <w:spacing w:after="0" w:line="164" w:lineRule="exact"/>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176"/>
        </w:trPr>
        <w:tc>
          <w:tcPr>
            <w:tcW w:w="4000" w:type="dxa"/>
            <w:vAlign w:val="bottom"/>
            <w:gridSpan w:val="2"/>
          </w:tcPr>
          <w:p>
            <w:pPr>
              <w:spacing w:after="0" w:line="176" w:lineRule="exact"/>
              <w:rPr>
                <w:sz w:val="20"/>
                <w:szCs w:val="20"/>
                <w:color w:val="auto"/>
              </w:rPr>
            </w:pPr>
            <w:r>
              <w:rPr>
                <w:rFonts w:ascii="Arial" w:cs="Arial" w:eastAsia="Arial" w:hAnsi="Arial"/>
                <w:sz w:val="16"/>
                <w:szCs w:val="16"/>
                <w:color w:val="auto"/>
              </w:rPr>
              <w:t>Interest cost</w:t>
            </w:r>
          </w:p>
        </w:tc>
        <w:tc>
          <w:tcPr>
            <w:tcW w:w="4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620" w:type="dxa"/>
            <w:vAlign w:val="bottom"/>
            <w:gridSpan w:val="2"/>
          </w:tcPr>
          <w:p>
            <w:pPr>
              <w:jc w:val="right"/>
              <w:spacing w:after="0" w:line="176" w:lineRule="exact"/>
              <w:rPr>
                <w:sz w:val="20"/>
                <w:szCs w:val="20"/>
                <w:color w:val="auto"/>
              </w:rPr>
            </w:pPr>
            <w:r>
              <w:rPr>
                <w:rFonts w:ascii="Arial" w:cs="Arial" w:eastAsia="Arial" w:hAnsi="Arial"/>
                <w:sz w:val="16"/>
                <w:szCs w:val="16"/>
                <w:color w:val="auto"/>
              </w:rPr>
              <w:t>12</w:t>
            </w:r>
          </w:p>
        </w:tc>
        <w:tc>
          <w:tcPr>
            <w:tcW w:w="1100" w:type="dxa"/>
            <w:vAlign w:val="bottom"/>
          </w:tcPr>
          <w:p>
            <w:pPr>
              <w:spacing w:after="0"/>
              <w:rPr>
                <w:sz w:val="15"/>
                <w:szCs w:val="15"/>
                <w:color w:val="auto"/>
              </w:rPr>
            </w:pPr>
          </w:p>
        </w:tc>
        <w:tc>
          <w:tcPr>
            <w:tcW w:w="560" w:type="dxa"/>
            <w:vAlign w:val="bottom"/>
            <w:gridSpan w:val="2"/>
          </w:tcPr>
          <w:p>
            <w:pPr>
              <w:jc w:val="right"/>
              <w:spacing w:after="0" w:line="176" w:lineRule="exact"/>
              <w:rPr>
                <w:sz w:val="20"/>
                <w:szCs w:val="20"/>
                <w:color w:val="auto"/>
              </w:rPr>
            </w:pPr>
            <w:r>
              <w:rPr>
                <w:rFonts w:ascii="Arial" w:cs="Arial" w:eastAsia="Arial" w:hAnsi="Arial"/>
                <w:sz w:val="16"/>
                <w:szCs w:val="16"/>
                <w:color w:val="auto"/>
              </w:rPr>
              <w:t>12</w:t>
            </w:r>
          </w:p>
        </w:tc>
        <w:tc>
          <w:tcPr>
            <w:tcW w:w="320" w:type="dxa"/>
            <w:vAlign w:val="bottom"/>
          </w:tcPr>
          <w:p>
            <w:pPr>
              <w:spacing w:after="0"/>
              <w:rPr>
                <w:sz w:val="15"/>
                <w:szCs w:val="15"/>
                <w:color w:val="auto"/>
              </w:rPr>
            </w:pPr>
          </w:p>
        </w:tc>
        <w:tc>
          <w:tcPr>
            <w:tcW w:w="1360" w:type="dxa"/>
            <w:vAlign w:val="bottom"/>
            <w:gridSpan w:val="2"/>
          </w:tcPr>
          <w:p>
            <w:pPr>
              <w:jc w:val="right"/>
              <w:spacing w:after="0" w:line="176" w:lineRule="exact"/>
              <w:rPr>
                <w:sz w:val="20"/>
                <w:szCs w:val="20"/>
                <w:color w:val="auto"/>
              </w:rPr>
            </w:pPr>
            <w:r>
              <w:rPr>
                <w:rFonts w:ascii="Arial" w:cs="Arial" w:eastAsia="Arial" w:hAnsi="Arial"/>
                <w:sz w:val="16"/>
                <w:szCs w:val="16"/>
                <w:color w:val="auto"/>
              </w:rPr>
              <w:t>3</w:t>
            </w:r>
          </w:p>
        </w:tc>
        <w:tc>
          <w:tcPr>
            <w:tcW w:w="360" w:type="dxa"/>
            <w:vAlign w:val="bottom"/>
          </w:tcPr>
          <w:p>
            <w:pPr>
              <w:spacing w:after="0"/>
              <w:rPr>
                <w:sz w:val="15"/>
                <w:szCs w:val="15"/>
                <w:color w:val="auto"/>
              </w:rPr>
            </w:pPr>
          </w:p>
        </w:tc>
        <w:tc>
          <w:tcPr>
            <w:tcW w:w="1320" w:type="dxa"/>
            <w:vAlign w:val="bottom"/>
          </w:tcPr>
          <w:p>
            <w:pPr>
              <w:jc w:val="right"/>
              <w:spacing w:after="0" w:line="176" w:lineRule="exact"/>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176"/>
        </w:trPr>
        <w:tc>
          <w:tcPr>
            <w:tcW w:w="4000" w:type="dxa"/>
            <w:vAlign w:val="bottom"/>
            <w:gridSpan w:val="2"/>
          </w:tcPr>
          <w:p>
            <w:pPr>
              <w:spacing w:after="0" w:line="176" w:lineRule="exact"/>
              <w:rPr>
                <w:sz w:val="20"/>
                <w:szCs w:val="20"/>
                <w:color w:val="auto"/>
              </w:rPr>
            </w:pPr>
            <w:r>
              <w:rPr>
                <w:rFonts w:ascii="Arial" w:cs="Arial" w:eastAsia="Arial" w:hAnsi="Arial"/>
                <w:sz w:val="16"/>
                <w:szCs w:val="16"/>
                <w:color w:val="auto"/>
              </w:rPr>
              <w:t>Expected return on assets</w:t>
            </w:r>
          </w:p>
        </w:tc>
        <w:tc>
          <w:tcPr>
            <w:tcW w:w="4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620" w:type="dxa"/>
            <w:vAlign w:val="bottom"/>
            <w:gridSpan w:val="2"/>
          </w:tcPr>
          <w:p>
            <w:pPr>
              <w:jc w:val="right"/>
              <w:spacing w:after="0" w:line="176" w:lineRule="exact"/>
              <w:rPr>
                <w:sz w:val="20"/>
                <w:szCs w:val="20"/>
                <w:color w:val="auto"/>
              </w:rPr>
            </w:pPr>
            <w:r>
              <w:rPr>
                <w:rFonts w:ascii="Arial" w:cs="Arial" w:eastAsia="Arial" w:hAnsi="Arial"/>
                <w:sz w:val="16"/>
                <w:szCs w:val="16"/>
                <w:color w:val="auto"/>
              </w:rPr>
              <w:t>(13)</w:t>
            </w:r>
          </w:p>
        </w:tc>
        <w:tc>
          <w:tcPr>
            <w:tcW w:w="1100" w:type="dxa"/>
            <w:vAlign w:val="bottom"/>
          </w:tcPr>
          <w:p>
            <w:pPr>
              <w:spacing w:after="0"/>
              <w:rPr>
                <w:sz w:val="15"/>
                <w:szCs w:val="15"/>
                <w:color w:val="auto"/>
              </w:rPr>
            </w:pPr>
          </w:p>
        </w:tc>
        <w:tc>
          <w:tcPr>
            <w:tcW w:w="560" w:type="dxa"/>
            <w:vAlign w:val="bottom"/>
            <w:gridSpan w:val="2"/>
          </w:tcPr>
          <w:p>
            <w:pPr>
              <w:jc w:val="right"/>
              <w:spacing w:after="0" w:line="176" w:lineRule="exact"/>
              <w:rPr>
                <w:sz w:val="20"/>
                <w:szCs w:val="20"/>
                <w:color w:val="auto"/>
              </w:rPr>
            </w:pPr>
            <w:r>
              <w:rPr>
                <w:rFonts w:ascii="Arial" w:cs="Arial" w:eastAsia="Arial" w:hAnsi="Arial"/>
                <w:sz w:val="16"/>
                <w:szCs w:val="16"/>
                <w:color w:val="auto"/>
              </w:rPr>
              <w:t>(11)</w:t>
            </w:r>
          </w:p>
        </w:tc>
        <w:tc>
          <w:tcPr>
            <w:tcW w:w="320" w:type="dxa"/>
            <w:vAlign w:val="bottom"/>
          </w:tcPr>
          <w:p>
            <w:pPr>
              <w:spacing w:after="0"/>
              <w:rPr>
                <w:sz w:val="15"/>
                <w:szCs w:val="15"/>
                <w:color w:val="auto"/>
              </w:rPr>
            </w:pPr>
          </w:p>
        </w:tc>
        <w:tc>
          <w:tcPr>
            <w:tcW w:w="1360" w:type="dxa"/>
            <w:vAlign w:val="bottom"/>
            <w:gridSpan w:val="2"/>
          </w:tcPr>
          <w:p>
            <w:pPr>
              <w:jc w:val="right"/>
              <w:spacing w:after="0" w:line="176" w:lineRule="exact"/>
              <w:rPr>
                <w:sz w:val="20"/>
                <w:szCs w:val="20"/>
                <w:color w:val="auto"/>
              </w:rPr>
            </w:pPr>
            <w:r>
              <w:rPr>
                <w:rFonts w:ascii="Arial" w:cs="Arial" w:eastAsia="Arial" w:hAnsi="Arial"/>
                <w:sz w:val="16"/>
                <w:szCs w:val="16"/>
                <w:color w:val="auto"/>
              </w:rPr>
              <w:t>(2)</w:t>
            </w:r>
          </w:p>
        </w:tc>
        <w:tc>
          <w:tcPr>
            <w:tcW w:w="360" w:type="dxa"/>
            <w:vAlign w:val="bottom"/>
          </w:tcPr>
          <w:p>
            <w:pPr>
              <w:spacing w:after="0"/>
              <w:rPr>
                <w:sz w:val="15"/>
                <w:szCs w:val="15"/>
                <w:color w:val="auto"/>
              </w:rPr>
            </w:pPr>
          </w:p>
        </w:tc>
        <w:tc>
          <w:tcPr>
            <w:tcW w:w="1320" w:type="dxa"/>
            <w:vAlign w:val="bottom"/>
          </w:tcPr>
          <w:p>
            <w:pPr>
              <w:jc w:val="right"/>
              <w:spacing w:after="0" w:line="176" w:lineRule="exact"/>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176"/>
        </w:trPr>
        <w:tc>
          <w:tcPr>
            <w:tcW w:w="4000" w:type="dxa"/>
            <w:vAlign w:val="bottom"/>
            <w:gridSpan w:val="2"/>
          </w:tcPr>
          <w:p>
            <w:pPr>
              <w:spacing w:after="0" w:line="176" w:lineRule="exact"/>
              <w:rPr>
                <w:sz w:val="20"/>
                <w:szCs w:val="20"/>
                <w:color w:val="auto"/>
              </w:rPr>
            </w:pPr>
            <w:r>
              <w:rPr>
                <w:rFonts w:ascii="Arial" w:cs="Arial" w:eastAsia="Arial" w:hAnsi="Arial"/>
                <w:sz w:val="16"/>
                <w:szCs w:val="16"/>
                <w:color w:val="auto"/>
              </w:rPr>
              <w:t>Amortization of:</w:t>
            </w:r>
          </w:p>
        </w:tc>
        <w:tc>
          <w:tcPr>
            <w:tcW w:w="4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980" w:type="dxa"/>
            <w:vAlign w:val="bottom"/>
          </w:tcPr>
          <w:p>
            <w:pPr>
              <w:ind w:left="160"/>
              <w:spacing w:after="0" w:line="176" w:lineRule="exact"/>
              <w:rPr>
                <w:sz w:val="20"/>
                <w:szCs w:val="20"/>
                <w:color w:val="auto"/>
              </w:rPr>
            </w:pPr>
            <w:r>
              <w:rPr>
                <w:rFonts w:ascii="Arial" w:cs="Arial" w:eastAsia="Arial" w:hAnsi="Arial"/>
                <w:sz w:val="16"/>
                <w:szCs w:val="16"/>
                <w:color w:val="auto"/>
              </w:rPr>
              <w:t>Prior service cost</w:t>
            </w:r>
          </w:p>
        </w:tc>
        <w:tc>
          <w:tcPr>
            <w:tcW w:w="4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620" w:type="dxa"/>
            <w:vAlign w:val="bottom"/>
            <w:gridSpan w:val="2"/>
          </w:tcPr>
          <w:p>
            <w:pPr>
              <w:jc w:val="right"/>
              <w:spacing w:after="0" w:line="176" w:lineRule="exact"/>
              <w:rPr>
                <w:sz w:val="20"/>
                <w:szCs w:val="20"/>
                <w:color w:val="auto"/>
              </w:rPr>
            </w:pPr>
            <w:r>
              <w:rPr>
                <w:rFonts w:ascii="Arial" w:cs="Arial" w:eastAsia="Arial" w:hAnsi="Arial"/>
                <w:sz w:val="16"/>
                <w:szCs w:val="16"/>
                <w:color w:val="auto"/>
              </w:rPr>
              <w:t>―</w:t>
            </w:r>
          </w:p>
        </w:tc>
        <w:tc>
          <w:tcPr>
            <w:tcW w:w="1100" w:type="dxa"/>
            <w:vAlign w:val="bottom"/>
          </w:tcPr>
          <w:p>
            <w:pPr>
              <w:spacing w:after="0"/>
              <w:rPr>
                <w:sz w:val="15"/>
                <w:szCs w:val="15"/>
                <w:color w:val="auto"/>
              </w:rPr>
            </w:pPr>
          </w:p>
        </w:tc>
        <w:tc>
          <w:tcPr>
            <w:tcW w:w="560" w:type="dxa"/>
            <w:vAlign w:val="bottom"/>
            <w:gridSpan w:val="2"/>
          </w:tcPr>
          <w:p>
            <w:pPr>
              <w:jc w:val="right"/>
              <w:spacing w:after="0" w:line="176" w:lineRule="exact"/>
              <w:rPr>
                <w:sz w:val="20"/>
                <w:szCs w:val="20"/>
                <w:color w:val="auto"/>
              </w:rPr>
            </w:pPr>
            <w:r>
              <w:rPr>
                <w:rFonts w:ascii="Arial" w:cs="Arial" w:eastAsia="Arial" w:hAnsi="Arial"/>
                <w:sz w:val="16"/>
                <w:szCs w:val="16"/>
                <w:color w:val="auto"/>
              </w:rPr>
              <w:t>―</w:t>
            </w:r>
          </w:p>
        </w:tc>
        <w:tc>
          <w:tcPr>
            <w:tcW w:w="320" w:type="dxa"/>
            <w:vAlign w:val="bottom"/>
          </w:tcPr>
          <w:p>
            <w:pPr>
              <w:spacing w:after="0"/>
              <w:rPr>
                <w:sz w:val="15"/>
                <w:szCs w:val="15"/>
                <w:color w:val="auto"/>
              </w:rPr>
            </w:pPr>
          </w:p>
        </w:tc>
        <w:tc>
          <w:tcPr>
            <w:tcW w:w="1360" w:type="dxa"/>
            <w:vAlign w:val="bottom"/>
            <w:gridSpan w:val="2"/>
          </w:tcPr>
          <w:p>
            <w:pPr>
              <w:jc w:val="right"/>
              <w:spacing w:after="0" w:line="176" w:lineRule="exact"/>
              <w:rPr>
                <w:sz w:val="20"/>
                <w:szCs w:val="20"/>
                <w:color w:val="auto"/>
              </w:rPr>
            </w:pPr>
            <w:r>
              <w:rPr>
                <w:rFonts w:ascii="Arial" w:cs="Arial" w:eastAsia="Arial" w:hAnsi="Arial"/>
                <w:sz w:val="16"/>
                <w:szCs w:val="16"/>
                <w:color w:val="auto"/>
              </w:rPr>
              <w:t>1</w:t>
            </w:r>
          </w:p>
        </w:tc>
        <w:tc>
          <w:tcPr>
            <w:tcW w:w="360" w:type="dxa"/>
            <w:vAlign w:val="bottom"/>
          </w:tcPr>
          <w:p>
            <w:pPr>
              <w:spacing w:after="0"/>
              <w:rPr>
                <w:sz w:val="15"/>
                <w:szCs w:val="15"/>
                <w:color w:val="auto"/>
              </w:rPr>
            </w:pPr>
          </w:p>
        </w:tc>
        <w:tc>
          <w:tcPr>
            <w:tcW w:w="1320" w:type="dxa"/>
            <w:vAlign w:val="bottom"/>
          </w:tcPr>
          <w:p>
            <w:pPr>
              <w:jc w:val="right"/>
              <w:spacing w:after="0" w:line="176" w:lineRule="exact"/>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980" w:type="dxa"/>
            <w:vAlign w:val="bottom"/>
          </w:tcPr>
          <w:p>
            <w:pPr>
              <w:ind w:left="160"/>
              <w:spacing w:after="0" w:line="176" w:lineRule="exact"/>
              <w:rPr>
                <w:sz w:val="20"/>
                <w:szCs w:val="20"/>
                <w:color w:val="auto"/>
              </w:rPr>
            </w:pPr>
            <w:r>
              <w:rPr>
                <w:rFonts w:ascii="Arial" w:cs="Arial" w:eastAsia="Arial" w:hAnsi="Arial"/>
                <w:sz w:val="16"/>
                <w:szCs w:val="16"/>
                <w:color w:val="auto"/>
              </w:rPr>
              <w:t>Actuarial loss</w:t>
            </w:r>
          </w:p>
        </w:tc>
        <w:tc>
          <w:tcPr>
            <w:tcW w:w="4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00" w:type="dxa"/>
            <w:vAlign w:val="bottom"/>
          </w:tcPr>
          <w:p>
            <w:pPr>
              <w:jc w:val="right"/>
              <w:spacing w:after="0" w:line="176" w:lineRule="exact"/>
              <w:rPr>
                <w:sz w:val="20"/>
                <w:szCs w:val="20"/>
                <w:color w:val="auto"/>
              </w:rPr>
            </w:pPr>
            <w:r>
              <w:rPr>
                <w:rFonts w:ascii="Arial" w:cs="Arial" w:eastAsia="Arial" w:hAnsi="Arial"/>
                <w:sz w:val="16"/>
                <w:szCs w:val="16"/>
                <w:color w:val="auto"/>
              </w:rPr>
              <w:t>3</w:t>
            </w:r>
          </w:p>
        </w:tc>
        <w:tc>
          <w:tcPr>
            <w:tcW w:w="1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60" w:type="dxa"/>
            <w:vAlign w:val="bottom"/>
          </w:tcPr>
          <w:p>
            <w:pPr>
              <w:jc w:val="right"/>
              <w:spacing w:after="0" w:line="176" w:lineRule="exact"/>
              <w:rPr>
                <w:sz w:val="20"/>
                <w:szCs w:val="20"/>
                <w:color w:val="auto"/>
              </w:rPr>
            </w:pPr>
            <w:r>
              <w:rPr>
                <w:rFonts w:ascii="Arial" w:cs="Arial" w:eastAsia="Arial" w:hAnsi="Arial"/>
                <w:sz w:val="16"/>
                <w:szCs w:val="16"/>
                <w:color w:val="auto"/>
              </w:rPr>
              <w:t>3</w:t>
            </w:r>
          </w:p>
        </w:tc>
        <w:tc>
          <w:tcPr>
            <w:tcW w:w="320" w:type="dxa"/>
            <w:vAlign w:val="bottom"/>
          </w:tcPr>
          <w:p>
            <w:pPr>
              <w:spacing w:after="0"/>
              <w:rPr>
                <w:sz w:val="15"/>
                <w:szCs w:val="15"/>
                <w:color w:val="auto"/>
              </w:rPr>
            </w:pPr>
          </w:p>
        </w:tc>
        <w:tc>
          <w:tcPr>
            <w:tcW w:w="1360" w:type="dxa"/>
            <w:vAlign w:val="bottom"/>
            <w:gridSpan w:val="2"/>
          </w:tcPr>
          <w:p>
            <w:pPr>
              <w:jc w:val="right"/>
              <w:spacing w:after="0" w:line="176" w:lineRule="exact"/>
              <w:rPr>
                <w:sz w:val="20"/>
                <w:szCs w:val="20"/>
                <w:color w:val="auto"/>
              </w:rPr>
            </w:pPr>
            <w:r>
              <w:rPr>
                <w:rFonts w:ascii="Arial" w:cs="Arial" w:eastAsia="Arial" w:hAnsi="Arial"/>
                <w:sz w:val="16"/>
                <w:szCs w:val="16"/>
                <w:color w:val="auto"/>
              </w:rPr>
              <w:t>―</w:t>
            </w:r>
          </w:p>
        </w:tc>
        <w:tc>
          <w:tcPr>
            <w:tcW w:w="360" w:type="dxa"/>
            <w:vAlign w:val="bottom"/>
          </w:tcPr>
          <w:p>
            <w:pPr>
              <w:spacing w:after="0"/>
              <w:rPr>
                <w:sz w:val="15"/>
                <w:szCs w:val="15"/>
                <w:color w:val="auto"/>
              </w:rPr>
            </w:pPr>
          </w:p>
        </w:tc>
        <w:tc>
          <w:tcPr>
            <w:tcW w:w="1320" w:type="dxa"/>
            <w:vAlign w:val="bottom"/>
          </w:tcPr>
          <w:p>
            <w:pPr>
              <w:jc w:val="right"/>
              <w:spacing w:after="0" w:line="176" w:lineRule="exact"/>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76"/>
        </w:trPr>
        <w:tc>
          <w:tcPr>
            <w:tcW w:w="4000" w:type="dxa"/>
            <w:vAlign w:val="bottom"/>
            <w:gridSpan w:val="2"/>
          </w:tcPr>
          <w:p>
            <w:pPr>
              <w:spacing w:after="0" w:line="176" w:lineRule="exact"/>
              <w:rPr>
                <w:sz w:val="20"/>
                <w:szCs w:val="20"/>
                <w:color w:val="auto"/>
              </w:rPr>
            </w:pPr>
            <w:r>
              <w:rPr>
                <w:rFonts w:ascii="Arial" w:cs="Arial" w:eastAsia="Arial" w:hAnsi="Arial"/>
                <w:sz w:val="16"/>
                <w:szCs w:val="16"/>
                <w:color w:val="auto"/>
              </w:rPr>
              <w:t>Settlement</w:t>
            </w:r>
          </w:p>
        </w:tc>
        <w:tc>
          <w:tcPr>
            <w:tcW w:w="4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00" w:type="dxa"/>
            <w:vAlign w:val="bottom"/>
          </w:tcPr>
          <w:p>
            <w:pPr>
              <w:jc w:val="right"/>
              <w:spacing w:after="0" w:line="176" w:lineRule="exact"/>
              <w:rPr>
                <w:sz w:val="20"/>
                <w:szCs w:val="20"/>
                <w:color w:val="auto"/>
              </w:rPr>
            </w:pPr>
            <w:r>
              <w:rPr>
                <w:rFonts w:ascii="Arial" w:cs="Arial" w:eastAsia="Arial" w:hAnsi="Arial"/>
                <w:sz w:val="16"/>
                <w:szCs w:val="16"/>
                <w:color w:val="auto"/>
              </w:rPr>
              <w:t>1</w:t>
            </w:r>
          </w:p>
        </w:tc>
        <w:tc>
          <w:tcPr>
            <w:tcW w:w="1100" w:type="dxa"/>
            <w:vAlign w:val="bottom"/>
          </w:tcPr>
          <w:p>
            <w:pPr>
              <w:spacing w:after="0"/>
              <w:rPr>
                <w:sz w:val="15"/>
                <w:szCs w:val="15"/>
                <w:color w:val="auto"/>
              </w:rPr>
            </w:pPr>
          </w:p>
        </w:tc>
        <w:tc>
          <w:tcPr>
            <w:tcW w:w="560" w:type="dxa"/>
            <w:vAlign w:val="bottom"/>
            <w:gridSpan w:val="2"/>
          </w:tcPr>
          <w:p>
            <w:pPr>
              <w:jc w:val="right"/>
              <w:spacing w:after="0" w:line="176" w:lineRule="exact"/>
              <w:rPr>
                <w:sz w:val="20"/>
                <w:szCs w:val="20"/>
                <w:color w:val="auto"/>
              </w:rPr>
            </w:pPr>
            <w:r>
              <w:rPr>
                <w:rFonts w:ascii="Arial" w:cs="Arial" w:eastAsia="Arial" w:hAnsi="Arial"/>
                <w:sz w:val="16"/>
                <w:szCs w:val="16"/>
                <w:color w:val="auto"/>
              </w:rPr>
              <w:t>―</w:t>
            </w:r>
          </w:p>
        </w:tc>
        <w:tc>
          <w:tcPr>
            <w:tcW w:w="320" w:type="dxa"/>
            <w:vAlign w:val="bottom"/>
          </w:tcPr>
          <w:p>
            <w:pPr>
              <w:spacing w:after="0"/>
              <w:rPr>
                <w:sz w:val="15"/>
                <w:szCs w:val="15"/>
                <w:color w:val="auto"/>
              </w:rPr>
            </w:pPr>
          </w:p>
        </w:tc>
        <w:tc>
          <w:tcPr>
            <w:tcW w:w="1360" w:type="dxa"/>
            <w:vAlign w:val="bottom"/>
            <w:gridSpan w:val="2"/>
          </w:tcPr>
          <w:p>
            <w:pPr>
              <w:jc w:val="right"/>
              <w:spacing w:after="0" w:line="176" w:lineRule="exact"/>
              <w:rPr>
                <w:sz w:val="20"/>
                <w:szCs w:val="20"/>
                <w:color w:val="auto"/>
              </w:rPr>
            </w:pPr>
            <w:r>
              <w:rPr>
                <w:rFonts w:ascii="Arial" w:cs="Arial" w:eastAsia="Arial" w:hAnsi="Arial"/>
                <w:sz w:val="16"/>
                <w:szCs w:val="16"/>
                <w:color w:val="auto"/>
              </w:rPr>
              <w:t>―</w:t>
            </w:r>
          </w:p>
        </w:tc>
        <w:tc>
          <w:tcPr>
            <w:tcW w:w="360" w:type="dxa"/>
            <w:vAlign w:val="bottom"/>
          </w:tcPr>
          <w:p>
            <w:pPr>
              <w:spacing w:after="0"/>
              <w:rPr>
                <w:sz w:val="15"/>
                <w:szCs w:val="15"/>
                <w:color w:val="auto"/>
              </w:rPr>
            </w:pPr>
          </w:p>
        </w:tc>
        <w:tc>
          <w:tcPr>
            <w:tcW w:w="1320" w:type="dxa"/>
            <w:vAlign w:val="bottom"/>
          </w:tcPr>
          <w:p>
            <w:pPr>
              <w:jc w:val="right"/>
              <w:spacing w:after="0" w:line="176" w:lineRule="exact"/>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4"/>
        </w:trPr>
        <w:tc>
          <w:tcPr>
            <w:tcW w:w="4000" w:type="dxa"/>
            <w:vAlign w:val="bottom"/>
            <w:gridSpan w:val="2"/>
          </w:tcPr>
          <w:p>
            <w:pPr>
              <w:spacing w:after="0"/>
              <w:rPr>
                <w:sz w:val="20"/>
                <w:szCs w:val="20"/>
                <w:color w:val="auto"/>
              </w:rPr>
            </w:pPr>
            <w:r>
              <w:rPr>
                <w:rFonts w:ascii="Arial" w:cs="Arial" w:eastAsia="Arial" w:hAnsi="Arial"/>
                <w:sz w:val="16"/>
                <w:szCs w:val="16"/>
                <w:color w:val="auto"/>
              </w:rPr>
              <w:t>Regulatory adjustment</w:t>
            </w:r>
          </w:p>
        </w:tc>
        <w:tc>
          <w:tcPr>
            <w:tcW w:w="4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w:t>
            </w:r>
          </w:p>
        </w:tc>
        <w:tc>
          <w:tcPr>
            <w:tcW w:w="110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w:t>
            </w:r>
          </w:p>
        </w:tc>
        <w:tc>
          <w:tcPr>
            <w:tcW w:w="3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w:t>
            </w:r>
          </w:p>
        </w:tc>
        <w:tc>
          <w:tcPr>
            <w:tcW w:w="36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3"/>
        </w:trPr>
        <w:tc>
          <w:tcPr>
            <w:tcW w:w="4000" w:type="dxa"/>
            <w:vAlign w:val="bottom"/>
            <w:gridSpan w:val="2"/>
          </w:tcPr>
          <w:p>
            <w:pPr>
              <w:spacing w:after="0" w:line="176" w:lineRule="exact"/>
              <w:rPr>
                <w:sz w:val="20"/>
                <w:szCs w:val="20"/>
                <w:color w:val="auto"/>
              </w:rPr>
            </w:pPr>
            <w:r>
              <w:rPr>
                <w:rFonts w:ascii="Arial" w:cs="Arial" w:eastAsia="Arial" w:hAnsi="Arial"/>
                <w:sz w:val="16"/>
                <w:szCs w:val="16"/>
                <w:color w:val="auto"/>
              </w:rPr>
              <w:t>Total net periodic benefit cost</w:t>
            </w:r>
          </w:p>
        </w:tc>
        <w:tc>
          <w:tcPr>
            <w:tcW w:w="4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40" w:type="dxa"/>
            <w:vAlign w:val="bottom"/>
          </w:tcPr>
          <w:p>
            <w:pPr>
              <w:jc w:val="right"/>
              <w:ind w:right="887"/>
              <w:spacing w:after="0"/>
              <w:rPr>
                <w:sz w:val="20"/>
                <w:szCs w:val="20"/>
                <w:color w:val="auto"/>
              </w:rPr>
            </w:pPr>
            <w:r>
              <w:rPr>
                <w:rFonts w:ascii="Arial" w:cs="Arial" w:eastAsia="Arial" w:hAnsi="Arial"/>
                <w:sz w:val="15"/>
                <w:szCs w:val="15"/>
                <w:color w:val="auto"/>
                <w:w w:val="71"/>
              </w:rPr>
              <w:t>$</w:t>
            </w:r>
          </w:p>
        </w:tc>
        <w:tc>
          <w:tcPr>
            <w:tcW w:w="620" w:type="dxa"/>
            <w:vAlign w:val="bottom"/>
            <w:gridSpan w:val="2"/>
          </w:tcPr>
          <w:p>
            <w:pPr>
              <w:jc w:val="right"/>
              <w:spacing w:after="0" w:line="176" w:lineRule="exact"/>
              <w:rPr>
                <w:sz w:val="20"/>
                <w:szCs w:val="20"/>
                <w:color w:val="auto"/>
              </w:rPr>
            </w:pPr>
            <w:r>
              <w:rPr>
                <w:rFonts w:ascii="Arial" w:cs="Arial" w:eastAsia="Arial" w:hAnsi="Arial"/>
                <w:sz w:val="16"/>
                <w:szCs w:val="16"/>
                <w:color w:val="auto"/>
              </w:rPr>
              <w:t>18</w:t>
            </w:r>
          </w:p>
        </w:tc>
        <w:tc>
          <w:tcPr>
            <w:tcW w:w="1100" w:type="dxa"/>
            <w:vAlign w:val="bottom"/>
          </w:tcPr>
          <w:p>
            <w:pPr>
              <w:jc w:val="right"/>
              <w:ind w:right="946"/>
              <w:spacing w:after="0"/>
              <w:rPr>
                <w:sz w:val="20"/>
                <w:szCs w:val="20"/>
                <w:color w:val="auto"/>
              </w:rPr>
            </w:pPr>
            <w:r>
              <w:rPr>
                <w:rFonts w:ascii="Arial" w:cs="Arial" w:eastAsia="Arial" w:hAnsi="Arial"/>
                <w:sz w:val="15"/>
                <w:szCs w:val="15"/>
                <w:color w:val="auto"/>
                <w:w w:val="71"/>
              </w:rPr>
              <w:t>$</w:t>
            </w:r>
          </w:p>
        </w:tc>
        <w:tc>
          <w:tcPr>
            <w:tcW w:w="560" w:type="dxa"/>
            <w:vAlign w:val="bottom"/>
            <w:gridSpan w:val="2"/>
          </w:tcPr>
          <w:p>
            <w:pPr>
              <w:jc w:val="right"/>
              <w:spacing w:after="0" w:line="176" w:lineRule="exact"/>
              <w:rPr>
                <w:sz w:val="20"/>
                <w:szCs w:val="20"/>
                <w:color w:val="auto"/>
              </w:rPr>
            </w:pPr>
            <w:r>
              <w:rPr>
                <w:rFonts w:ascii="Arial" w:cs="Arial" w:eastAsia="Arial" w:hAnsi="Arial"/>
                <w:sz w:val="16"/>
                <w:szCs w:val="16"/>
                <w:color w:val="auto"/>
              </w:rPr>
              <w:t>18</w:t>
            </w:r>
          </w:p>
        </w:tc>
        <w:tc>
          <w:tcPr>
            <w:tcW w:w="320" w:type="dxa"/>
            <w:vAlign w:val="bottom"/>
          </w:tcPr>
          <w:p>
            <w:pPr>
              <w:jc w:val="right"/>
              <w:ind w:right="164"/>
              <w:spacing w:after="0"/>
              <w:rPr>
                <w:sz w:val="20"/>
                <w:szCs w:val="20"/>
                <w:color w:val="auto"/>
              </w:rPr>
            </w:pPr>
            <w:r>
              <w:rPr>
                <w:rFonts w:ascii="Arial" w:cs="Arial" w:eastAsia="Arial" w:hAnsi="Arial"/>
                <w:sz w:val="15"/>
                <w:szCs w:val="15"/>
                <w:color w:val="auto"/>
                <w:w w:val="71"/>
              </w:rPr>
              <w:t>$</w:t>
            </w:r>
          </w:p>
        </w:tc>
        <w:tc>
          <w:tcPr>
            <w:tcW w:w="1360" w:type="dxa"/>
            <w:vAlign w:val="bottom"/>
            <w:gridSpan w:val="2"/>
          </w:tcPr>
          <w:p>
            <w:pPr>
              <w:jc w:val="right"/>
              <w:spacing w:after="0" w:line="176" w:lineRule="exact"/>
              <w:rPr>
                <w:sz w:val="20"/>
                <w:szCs w:val="20"/>
                <w:color w:val="auto"/>
              </w:rPr>
            </w:pPr>
            <w:r>
              <w:rPr>
                <w:rFonts w:ascii="Arial" w:cs="Arial" w:eastAsia="Arial" w:hAnsi="Arial"/>
                <w:sz w:val="16"/>
                <w:szCs w:val="16"/>
                <w:color w:val="auto"/>
              </w:rPr>
              <w:t>4</w:t>
            </w:r>
          </w:p>
        </w:tc>
        <w:tc>
          <w:tcPr>
            <w:tcW w:w="360" w:type="dxa"/>
            <w:vAlign w:val="bottom"/>
          </w:tcPr>
          <w:p>
            <w:pPr>
              <w:jc w:val="right"/>
              <w:ind w:right="204"/>
              <w:spacing w:after="0"/>
              <w:rPr>
                <w:sz w:val="20"/>
                <w:szCs w:val="20"/>
                <w:color w:val="auto"/>
              </w:rPr>
            </w:pPr>
            <w:r>
              <w:rPr>
                <w:rFonts w:ascii="Arial" w:cs="Arial" w:eastAsia="Arial" w:hAnsi="Arial"/>
                <w:sz w:val="15"/>
                <w:szCs w:val="15"/>
                <w:color w:val="auto"/>
                <w:w w:val="71"/>
              </w:rPr>
              <w:t>$</w:t>
            </w:r>
          </w:p>
        </w:tc>
        <w:tc>
          <w:tcPr>
            <w:tcW w:w="1320" w:type="dxa"/>
            <w:vAlign w:val="bottom"/>
          </w:tcPr>
          <w:p>
            <w:pPr>
              <w:jc w:val="right"/>
              <w:spacing w:after="0" w:line="176" w:lineRule="exact"/>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3980" w:type="dxa"/>
            <w:vAlign w:val="bottom"/>
            <w:tcBorders>
              <w:top w:val="single" w:sz="8" w:color="auto"/>
            </w:tcBorders>
          </w:tcPr>
          <w:p>
            <w:pPr>
              <w:spacing w:after="0"/>
              <w:rPr>
                <w:sz w:val="16"/>
                <w:szCs w:val="16"/>
                <w:color w:val="auto"/>
              </w:rPr>
            </w:pPr>
          </w:p>
        </w:tc>
        <w:tc>
          <w:tcPr>
            <w:tcW w:w="480" w:type="dxa"/>
            <w:vAlign w:val="bottom"/>
            <w:tcBorders>
              <w:top w:val="single" w:sz="8" w:color="auto"/>
            </w:tcBorders>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2760" w:type="dxa"/>
            <w:vAlign w:val="bottom"/>
            <w:tcBorders>
              <w:top w:val="single" w:sz="8" w:color="auto"/>
            </w:tcBorders>
            <w:gridSpan w:val="4"/>
          </w:tcPr>
          <w:p>
            <w:pPr>
              <w:jc w:val="center"/>
              <w:ind w:left="467"/>
              <w:spacing w:after="0"/>
              <w:rPr>
                <w:sz w:val="20"/>
                <w:szCs w:val="20"/>
                <w:color w:val="auto"/>
              </w:rPr>
            </w:pPr>
            <w:r>
              <w:rPr>
                <w:rFonts w:ascii="Arial" w:cs="Arial" w:eastAsia="Arial" w:hAnsi="Arial"/>
                <w:sz w:val="14"/>
                <w:szCs w:val="14"/>
                <w:color w:val="auto"/>
              </w:rPr>
              <w:t>Six months ended June 30,</w:t>
            </w:r>
          </w:p>
        </w:tc>
        <w:tc>
          <w:tcPr>
            <w:tcW w:w="40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3040" w:type="dxa"/>
            <w:vAlign w:val="bottom"/>
            <w:tcBorders>
              <w:top w:val="single" w:sz="8" w:color="auto"/>
            </w:tcBorders>
            <w:gridSpan w:val="4"/>
          </w:tcPr>
          <w:p>
            <w:pPr>
              <w:jc w:val="center"/>
              <w:ind w:right="240"/>
              <w:spacing w:after="0"/>
              <w:rPr>
                <w:sz w:val="20"/>
                <w:szCs w:val="20"/>
                <w:color w:val="auto"/>
              </w:rPr>
            </w:pPr>
            <w:r>
              <w:rPr>
                <w:rFonts w:ascii="Arial" w:cs="Arial" w:eastAsia="Arial" w:hAnsi="Arial"/>
                <w:sz w:val="14"/>
                <w:szCs w:val="14"/>
                <w:color w:val="auto"/>
              </w:rPr>
              <w:t>Six months ended June 30,</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3980" w:type="dxa"/>
            <w:vAlign w:val="bottom"/>
            <w:tcBorders>
              <w:bottom w:val="single" w:sz="8" w:color="auto"/>
            </w:tcBorders>
          </w:tcPr>
          <w:p>
            <w:pPr>
              <w:spacing w:after="0"/>
              <w:rPr>
                <w:sz w:val="14"/>
                <w:szCs w:val="14"/>
                <w:color w:val="auto"/>
              </w:rPr>
            </w:pPr>
          </w:p>
        </w:tc>
        <w:tc>
          <w:tcPr>
            <w:tcW w:w="1780" w:type="dxa"/>
            <w:vAlign w:val="bottom"/>
            <w:tcBorders>
              <w:bottom w:val="single" w:sz="8" w:color="auto"/>
            </w:tcBorders>
            <w:gridSpan w:val="3"/>
          </w:tcPr>
          <w:p>
            <w:pPr>
              <w:jc w:val="right"/>
              <w:ind w:right="7"/>
              <w:spacing w:after="0"/>
              <w:rPr>
                <w:sz w:val="20"/>
                <w:szCs w:val="20"/>
                <w:color w:val="auto"/>
              </w:rPr>
            </w:pPr>
            <w:r>
              <w:rPr>
                <w:rFonts w:ascii="Arial" w:cs="Arial" w:eastAsia="Arial" w:hAnsi="Arial"/>
                <w:sz w:val="14"/>
                <w:szCs w:val="14"/>
                <w:color w:val="auto"/>
              </w:rPr>
              <w:t>2011</w:t>
            </w:r>
          </w:p>
        </w:tc>
        <w:tc>
          <w:tcPr>
            <w:tcW w:w="4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66"/>
              <w:spacing w:after="0"/>
              <w:rPr>
                <w:sz w:val="20"/>
                <w:szCs w:val="20"/>
                <w:color w:val="auto"/>
              </w:rPr>
            </w:pPr>
            <w:r>
              <w:rPr>
                <w:rFonts w:ascii="Arial" w:cs="Arial" w:eastAsia="Arial" w:hAnsi="Arial"/>
                <w:sz w:val="14"/>
                <w:szCs w:val="14"/>
                <w:color w:val="auto"/>
              </w:rPr>
              <w:t>2010</w:t>
            </w:r>
          </w:p>
        </w:tc>
        <w:tc>
          <w:tcPr>
            <w:tcW w:w="4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ind w:left="340"/>
              <w:spacing w:after="0"/>
              <w:rPr>
                <w:sz w:val="20"/>
                <w:szCs w:val="20"/>
                <w:color w:val="auto"/>
              </w:rPr>
            </w:pPr>
            <w:r>
              <w:rPr>
                <w:rFonts w:ascii="Arial" w:cs="Arial" w:eastAsia="Arial" w:hAnsi="Arial"/>
                <w:sz w:val="14"/>
                <w:szCs w:val="14"/>
                <w:color w:val="auto"/>
              </w:rPr>
              <w:t>2011</w:t>
            </w:r>
          </w:p>
        </w:tc>
        <w:tc>
          <w:tcPr>
            <w:tcW w:w="6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jc w:val="right"/>
              <w:ind w:right="620"/>
              <w:spacing w:after="0"/>
              <w:rPr>
                <w:sz w:val="20"/>
                <w:szCs w:val="20"/>
                <w:color w:val="auto"/>
              </w:rPr>
            </w:pPr>
            <w:r>
              <w:rPr>
                <w:rFonts w:ascii="Arial" w:cs="Arial" w:eastAsia="Arial" w:hAnsi="Arial"/>
                <w:sz w:val="14"/>
                <w:szCs w:val="14"/>
                <w:color w:val="auto"/>
              </w:rPr>
              <w:t>2010</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3980" w:type="dxa"/>
            <w:vAlign w:val="bottom"/>
          </w:tcPr>
          <w:p>
            <w:pPr>
              <w:spacing w:after="0" w:line="164" w:lineRule="exact"/>
              <w:rPr>
                <w:sz w:val="20"/>
                <w:szCs w:val="20"/>
                <w:color w:val="auto"/>
              </w:rPr>
            </w:pPr>
            <w:r>
              <w:rPr>
                <w:rFonts w:ascii="Arial" w:cs="Arial" w:eastAsia="Arial" w:hAnsi="Arial"/>
                <w:sz w:val="16"/>
                <w:szCs w:val="16"/>
                <w:color w:val="auto"/>
              </w:rPr>
              <w:t>Service cost</w:t>
            </w:r>
          </w:p>
        </w:tc>
        <w:tc>
          <w:tcPr>
            <w:tcW w:w="1780" w:type="dxa"/>
            <w:vAlign w:val="bottom"/>
            <w:gridSpan w:val="3"/>
          </w:tcPr>
          <w:p>
            <w:pPr>
              <w:jc w:val="right"/>
              <w:ind w:right="887"/>
              <w:spacing w:after="0" w:line="164" w:lineRule="exact"/>
              <w:rPr>
                <w:sz w:val="20"/>
                <w:szCs w:val="20"/>
                <w:color w:val="auto"/>
              </w:rPr>
            </w:pPr>
            <w:r>
              <w:rPr>
                <w:rFonts w:ascii="Arial" w:cs="Arial" w:eastAsia="Arial" w:hAnsi="Arial"/>
                <w:sz w:val="16"/>
                <w:szCs w:val="16"/>
                <w:color w:val="auto"/>
              </w:rPr>
              <w:t>$</w:t>
            </w:r>
          </w:p>
        </w:tc>
        <w:tc>
          <w:tcPr>
            <w:tcW w:w="620" w:type="dxa"/>
            <w:vAlign w:val="bottom"/>
            <w:gridSpan w:val="2"/>
          </w:tcPr>
          <w:p>
            <w:pPr>
              <w:jc w:val="right"/>
              <w:spacing w:after="0" w:line="164" w:lineRule="exact"/>
              <w:rPr>
                <w:sz w:val="20"/>
                <w:szCs w:val="20"/>
                <w:color w:val="auto"/>
              </w:rPr>
            </w:pPr>
            <w:r>
              <w:rPr>
                <w:rFonts w:ascii="Arial" w:cs="Arial" w:eastAsia="Arial" w:hAnsi="Arial"/>
                <w:sz w:val="16"/>
                <w:szCs w:val="16"/>
                <w:color w:val="auto"/>
              </w:rPr>
              <w:t>15</w:t>
            </w:r>
          </w:p>
        </w:tc>
        <w:tc>
          <w:tcPr>
            <w:tcW w:w="1100" w:type="dxa"/>
            <w:vAlign w:val="bottom"/>
          </w:tcPr>
          <w:p>
            <w:pPr>
              <w:jc w:val="right"/>
              <w:ind w:right="946"/>
              <w:spacing w:after="0" w:line="164" w:lineRule="exact"/>
              <w:rPr>
                <w:sz w:val="20"/>
                <w:szCs w:val="20"/>
                <w:color w:val="auto"/>
              </w:rPr>
            </w:pPr>
            <w:r>
              <w:rPr>
                <w:rFonts w:ascii="Arial" w:cs="Arial" w:eastAsia="Arial" w:hAnsi="Arial"/>
                <w:sz w:val="15"/>
                <w:szCs w:val="15"/>
                <w:color w:val="auto"/>
                <w:w w:val="71"/>
              </w:rPr>
              <w:t>$</w:t>
            </w:r>
          </w:p>
        </w:tc>
        <w:tc>
          <w:tcPr>
            <w:tcW w:w="560" w:type="dxa"/>
            <w:vAlign w:val="bottom"/>
            <w:gridSpan w:val="2"/>
          </w:tcPr>
          <w:p>
            <w:pPr>
              <w:jc w:val="right"/>
              <w:spacing w:after="0" w:line="164" w:lineRule="exact"/>
              <w:rPr>
                <w:sz w:val="20"/>
                <w:szCs w:val="20"/>
                <w:color w:val="auto"/>
              </w:rPr>
            </w:pPr>
            <w:r>
              <w:rPr>
                <w:rFonts w:ascii="Arial" w:cs="Arial" w:eastAsia="Arial" w:hAnsi="Arial"/>
                <w:sz w:val="16"/>
                <w:szCs w:val="16"/>
                <w:color w:val="auto"/>
              </w:rPr>
              <w:t>14</w:t>
            </w:r>
          </w:p>
        </w:tc>
        <w:tc>
          <w:tcPr>
            <w:tcW w:w="320" w:type="dxa"/>
            <w:vAlign w:val="bottom"/>
          </w:tcPr>
          <w:p>
            <w:pPr>
              <w:jc w:val="right"/>
              <w:ind w:right="164"/>
              <w:spacing w:after="0" w:line="164" w:lineRule="exact"/>
              <w:rPr>
                <w:sz w:val="20"/>
                <w:szCs w:val="20"/>
                <w:color w:val="auto"/>
              </w:rPr>
            </w:pPr>
            <w:r>
              <w:rPr>
                <w:rFonts w:ascii="Arial" w:cs="Arial" w:eastAsia="Arial" w:hAnsi="Arial"/>
                <w:sz w:val="15"/>
                <w:szCs w:val="15"/>
                <w:color w:val="auto"/>
                <w:w w:val="71"/>
              </w:rPr>
              <w:t>$</w:t>
            </w:r>
          </w:p>
        </w:tc>
        <w:tc>
          <w:tcPr>
            <w:tcW w:w="1360" w:type="dxa"/>
            <w:vAlign w:val="bottom"/>
            <w:gridSpan w:val="2"/>
          </w:tcPr>
          <w:p>
            <w:pPr>
              <w:jc w:val="right"/>
              <w:spacing w:after="0" w:line="164" w:lineRule="exact"/>
              <w:rPr>
                <w:sz w:val="20"/>
                <w:szCs w:val="20"/>
                <w:color w:val="auto"/>
              </w:rPr>
            </w:pPr>
            <w:r>
              <w:rPr>
                <w:rFonts w:ascii="Arial" w:cs="Arial" w:eastAsia="Arial" w:hAnsi="Arial"/>
                <w:sz w:val="16"/>
                <w:szCs w:val="16"/>
                <w:color w:val="auto"/>
              </w:rPr>
              <w:t>4</w:t>
            </w:r>
          </w:p>
        </w:tc>
        <w:tc>
          <w:tcPr>
            <w:tcW w:w="360" w:type="dxa"/>
            <w:vAlign w:val="bottom"/>
          </w:tcPr>
          <w:p>
            <w:pPr>
              <w:jc w:val="right"/>
              <w:ind w:right="204"/>
              <w:spacing w:after="0" w:line="164" w:lineRule="exact"/>
              <w:rPr>
                <w:sz w:val="20"/>
                <w:szCs w:val="20"/>
                <w:color w:val="auto"/>
              </w:rPr>
            </w:pPr>
            <w:r>
              <w:rPr>
                <w:rFonts w:ascii="Arial" w:cs="Arial" w:eastAsia="Arial" w:hAnsi="Arial"/>
                <w:sz w:val="15"/>
                <w:szCs w:val="15"/>
                <w:color w:val="auto"/>
                <w:w w:val="71"/>
              </w:rPr>
              <w:t>$</w:t>
            </w:r>
          </w:p>
        </w:tc>
        <w:tc>
          <w:tcPr>
            <w:tcW w:w="1320" w:type="dxa"/>
            <w:vAlign w:val="bottom"/>
          </w:tcPr>
          <w:p>
            <w:pPr>
              <w:jc w:val="right"/>
              <w:spacing w:after="0" w:line="164" w:lineRule="exact"/>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176"/>
        </w:trPr>
        <w:tc>
          <w:tcPr>
            <w:tcW w:w="4000" w:type="dxa"/>
            <w:vAlign w:val="bottom"/>
            <w:gridSpan w:val="2"/>
          </w:tcPr>
          <w:p>
            <w:pPr>
              <w:spacing w:after="0" w:line="176" w:lineRule="exact"/>
              <w:rPr>
                <w:sz w:val="20"/>
                <w:szCs w:val="20"/>
                <w:color w:val="auto"/>
              </w:rPr>
            </w:pPr>
            <w:r>
              <w:rPr>
                <w:rFonts w:ascii="Arial" w:cs="Arial" w:eastAsia="Arial" w:hAnsi="Arial"/>
                <w:sz w:val="16"/>
                <w:szCs w:val="16"/>
                <w:color w:val="auto"/>
              </w:rPr>
              <w:t>Interest cost</w:t>
            </w:r>
          </w:p>
        </w:tc>
        <w:tc>
          <w:tcPr>
            <w:tcW w:w="4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620" w:type="dxa"/>
            <w:vAlign w:val="bottom"/>
            <w:gridSpan w:val="2"/>
          </w:tcPr>
          <w:p>
            <w:pPr>
              <w:jc w:val="right"/>
              <w:spacing w:after="0" w:line="176" w:lineRule="exact"/>
              <w:rPr>
                <w:sz w:val="20"/>
                <w:szCs w:val="20"/>
                <w:color w:val="auto"/>
              </w:rPr>
            </w:pPr>
            <w:r>
              <w:rPr>
                <w:rFonts w:ascii="Arial" w:cs="Arial" w:eastAsia="Arial" w:hAnsi="Arial"/>
                <w:sz w:val="16"/>
                <w:szCs w:val="16"/>
                <w:color w:val="auto"/>
              </w:rPr>
              <w:t>25</w:t>
            </w:r>
          </w:p>
        </w:tc>
        <w:tc>
          <w:tcPr>
            <w:tcW w:w="1100" w:type="dxa"/>
            <w:vAlign w:val="bottom"/>
          </w:tcPr>
          <w:p>
            <w:pPr>
              <w:spacing w:after="0"/>
              <w:rPr>
                <w:sz w:val="15"/>
                <w:szCs w:val="15"/>
                <w:color w:val="auto"/>
              </w:rPr>
            </w:pPr>
          </w:p>
        </w:tc>
        <w:tc>
          <w:tcPr>
            <w:tcW w:w="560" w:type="dxa"/>
            <w:vAlign w:val="bottom"/>
            <w:gridSpan w:val="2"/>
          </w:tcPr>
          <w:p>
            <w:pPr>
              <w:jc w:val="right"/>
              <w:spacing w:after="0" w:line="176" w:lineRule="exact"/>
              <w:rPr>
                <w:sz w:val="20"/>
                <w:szCs w:val="20"/>
                <w:color w:val="auto"/>
              </w:rPr>
            </w:pPr>
            <w:r>
              <w:rPr>
                <w:rFonts w:ascii="Arial" w:cs="Arial" w:eastAsia="Arial" w:hAnsi="Arial"/>
                <w:sz w:val="16"/>
                <w:szCs w:val="16"/>
                <w:color w:val="auto"/>
              </w:rPr>
              <w:t>24</w:t>
            </w:r>
          </w:p>
        </w:tc>
        <w:tc>
          <w:tcPr>
            <w:tcW w:w="320" w:type="dxa"/>
            <w:vAlign w:val="bottom"/>
          </w:tcPr>
          <w:p>
            <w:pPr>
              <w:spacing w:after="0"/>
              <w:rPr>
                <w:sz w:val="15"/>
                <w:szCs w:val="15"/>
                <w:color w:val="auto"/>
              </w:rPr>
            </w:pPr>
          </w:p>
        </w:tc>
        <w:tc>
          <w:tcPr>
            <w:tcW w:w="1360" w:type="dxa"/>
            <w:vAlign w:val="bottom"/>
            <w:gridSpan w:val="2"/>
          </w:tcPr>
          <w:p>
            <w:pPr>
              <w:jc w:val="right"/>
              <w:spacing w:after="0" w:line="176" w:lineRule="exact"/>
              <w:rPr>
                <w:sz w:val="20"/>
                <w:szCs w:val="20"/>
                <w:color w:val="auto"/>
              </w:rPr>
            </w:pPr>
            <w:r>
              <w:rPr>
                <w:rFonts w:ascii="Arial" w:cs="Arial" w:eastAsia="Arial" w:hAnsi="Arial"/>
                <w:sz w:val="16"/>
                <w:szCs w:val="16"/>
                <w:color w:val="auto"/>
              </w:rPr>
              <w:t>5</w:t>
            </w:r>
          </w:p>
        </w:tc>
        <w:tc>
          <w:tcPr>
            <w:tcW w:w="360" w:type="dxa"/>
            <w:vAlign w:val="bottom"/>
          </w:tcPr>
          <w:p>
            <w:pPr>
              <w:spacing w:after="0"/>
              <w:rPr>
                <w:sz w:val="15"/>
                <w:szCs w:val="15"/>
                <w:color w:val="auto"/>
              </w:rPr>
            </w:pPr>
          </w:p>
        </w:tc>
        <w:tc>
          <w:tcPr>
            <w:tcW w:w="1320" w:type="dxa"/>
            <w:vAlign w:val="bottom"/>
          </w:tcPr>
          <w:p>
            <w:pPr>
              <w:jc w:val="right"/>
              <w:spacing w:after="0" w:line="176" w:lineRule="exact"/>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176"/>
        </w:trPr>
        <w:tc>
          <w:tcPr>
            <w:tcW w:w="4000" w:type="dxa"/>
            <w:vAlign w:val="bottom"/>
            <w:gridSpan w:val="2"/>
          </w:tcPr>
          <w:p>
            <w:pPr>
              <w:spacing w:after="0" w:line="176" w:lineRule="exact"/>
              <w:rPr>
                <w:sz w:val="20"/>
                <w:szCs w:val="20"/>
                <w:color w:val="auto"/>
              </w:rPr>
            </w:pPr>
            <w:r>
              <w:rPr>
                <w:rFonts w:ascii="Arial" w:cs="Arial" w:eastAsia="Arial" w:hAnsi="Arial"/>
                <w:sz w:val="16"/>
                <w:szCs w:val="16"/>
                <w:color w:val="auto"/>
              </w:rPr>
              <w:t>Expected return on assets</w:t>
            </w:r>
          </w:p>
        </w:tc>
        <w:tc>
          <w:tcPr>
            <w:tcW w:w="4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620" w:type="dxa"/>
            <w:vAlign w:val="bottom"/>
            <w:gridSpan w:val="2"/>
          </w:tcPr>
          <w:p>
            <w:pPr>
              <w:jc w:val="right"/>
              <w:spacing w:after="0" w:line="176" w:lineRule="exact"/>
              <w:rPr>
                <w:sz w:val="20"/>
                <w:szCs w:val="20"/>
                <w:color w:val="auto"/>
              </w:rPr>
            </w:pPr>
            <w:r>
              <w:rPr>
                <w:rFonts w:ascii="Arial" w:cs="Arial" w:eastAsia="Arial" w:hAnsi="Arial"/>
                <w:sz w:val="16"/>
                <w:szCs w:val="16"/>
                <w:color w:val="auto"/>
              </w:rPr>
              <w:t>(25)</w:t>
            </w:r>
          </w:p>
        </w:tc>
        <w:tc>
          <w:tcPr>
            <w:tcW w:w="1100" w:type="dxa"/>
            <w:vAlign w:val="bottom"/>
          </w:tcPr>
          <w:p>
            <w:pPr>
              <w:spacing w:after="0"/>
              <w:rPr>
                <w:sz w:val="15"/>
                <w:szCs w:val="15"/>
                <w:color w:val="auto"/>
              </w:rPr>
            </w:pPr>
          </w:p>
        </w:tc>
        <w:tc>
          <w:tcPr>
            <w:tcW w:w="560" w:type="dxa"/>
            <w:vAlign w:val="bottom"/>
            <w:gridSpan w:val="2"/>
          </w:tcPr>
          <w:p>
            <w:pPr>
              <w:jc w:val="right"/>
              <w:spacing w:after="0" w:line="176" w:lineRule="exact"/>
              <w:rPr>
                <w:sz w:val="20"/>
                <w:szCs w:val="20"/>
                <w:color w:val="auto"/>
              </w:rPr>
            </w:pPr>
            <w:r>
              <w:rPr>
                <w:rFonts w:ascii="Arial" w:cs="Arial" w:eastAsia="Arial" w:hAnsi="Arial"/>
                <w:sz w:val="16"/>
                <w:szCs w:val="16"/>
                <w:color w:val="auto"/>
              </w:rPr>
              <w:t>(21)</w:t>
            </w:r>
          </w:p>
        </w:tc>
        <w:tc>
          <w:tcPr>
            <w:tcW w:w="320" w:type="dxa"/>
            <w:vAlign w:val="bottom"/>
          </w:tcPr>
          <w:p>
            <w:pPr>
              <w:spacing w:after="0"/>
              <w:rPr>
                <w:sz w:val="15"/>
                <w:szCs w:val="15"/>
                <w:color w:val="auto"/>
              </w:rPr>
            </w:pPr>
          </w:p>
        </w:tc>
        <w:tc>
          <w:tcPr>
            <w:tcW w:w="1360" w:type="dxa"/>
            <w:vAlign w:val="bottom"/>
            <w:gridSpan w:val="2"/>
          </w:tcPr>
          <w:p>
            <w:pPr>
              <w:jc w:val="right"/>
              <w:spacing w:after="0" w:line="176" w:lineRule="exact"/>
              <w:rPr>
                <w:sz w:val="20"/>
                <w:szCs w:val="20"/>
                <w:color w:val="auto"/>
              </w:rPr>
            </w:pPr>
            <w:r>
              <w:rPr>
                <w:rFonts w:ascii="Arial" w:cs="Arial" w:eastAsia="Arial" w:hAnsi="Arial"/>
                <w:sz w:val="16"/>
                <w:szCs w:val="16"/>
                <w:color w:val="auto"/>
              </w:rPr>
              <w:t>(4)</w:t>
            </w:r>
          </w:p>
        </w:tc>
        <w:tc>
          <w:tcPr>
            <w:tcW w:w="360" w:type="dxa"/>
            <w:vAlign w:val="bottom"/>
          </w:tcPr>
          <w:p>
            <w:pPr>
              <w:spacing w:after="0"/>
              <w:rPr>
                <w:sz w:val="15"/>
                <w:szCs w:val="15"/>
                <w:color w:val="auto"/>
              </w:rPr>
            </w:pPr>
          </w:p>
        </w:tc>
        <w:tc>
          <w:tcPr>
            <w:tcW w:w="1320" w:type="dxa"/>
            <w:vAlign w:val="bottom"/>
          </w:tcPr>
          <w:p>
            <w:pPr>
              <w:jc w:val="right"/>
              <w:spacing w:after="0" w:line="176" w:lineRule="exact"/>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176"/>
        </w:trPr>
        <w:tc>
          <w:tcPr>
            <w:tcW w:w="4000" w:type="dxa"/>
            <w:vAlign w:val="bottom"/>
            <w:gridSpan w:val="2"/>
          </w:tcPr>
          <w:p>
            <w:pPr>
              <w:spacing w:after="0" w:line="176" w:lineRule="exact"/>
              <w:rPr>
                <w:sz w:val="20"/>
                <w:szCs w:val="20"/>
                <w:color w:val="auto"/>
              </w:rPr>
            </w:pPr>
            <w:r>
              <w:rPr>
                <w:rFonts w:ascii="Arial" w:cs="Arial" w:eastAsia="Arial" w:hAnsi="Arial"/>
                <w:sz w:val="16"/>
                <w:szCs w:val="16"/>
                <w:color w:val="auto"/>
              </w:rPr>
              <w:t>Amortization of:</w:t>
            </w:r>
          </w:p>
        </w:tc>
        <w:tc>
          <w:tcPr>
            <w:tcW w:w="4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980" w:type="dxa"/>
            <w:vAlign w:val="bottom"/>
          </w:tcPr>
          <w:p>
            <w:pPr>
              <w:ind w:left="160"/>
              <w:spacing w:after="0" w:line="176" w:lineRule="exact"/>
              <w:rPr>
                <w:sz w:val="20"/>
                <w:szCs w:val="20"/>
                <w:color w:val="auto"/>
              </w:rPr>
            </w:pPr>
            <w:r>
              <w:rPr>
                <w:rFonts w:ascii="Arial" w:cs="Arial" w:eastAsia="Arial" w:hAnsi="Arial"/>
                <w:sz w:val="16"/>
                <w:szCs w:val="16"/>
                <w:color w:val="auto"/>
              </w:rPr>
              <w:t>Prior service cost</w:t>
            </w:r>
          </w:p>
        </w:tc>
        <w:tc>
          <w:tcPr>
            <w:tcW w:w="4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00" w:type="dxa"/>
            <w:vAlign w:val="bottom"/>
          </w:tcPr>
          <w:p>
            <w:pPr>
              <w:jc w:val="right"/>
              <w:spacing w:after="0" w:line="176" w:lineRule="exact"/>
              <w:rPr>
                <w:sz w:val="20"/>
                <w:szCs w:val="20"/>
                <w:color w:val="auto"/>
              </w:rPr>
            </w:pPr>
            <w:r>
              <w:rPr>
                <w:rFonts w:ascii="Arial" w:cs="Arial" w:eastAsia="Arial" w:hAnsi="Arial"/>
                <w:sz w:val="16"/>
                <w:szCs w:val="16"/>
                <w:color w:val="auto"/>
              </w:rPr>
              <w:t>1</w:t>
            </w:r>
          </w:p>
        </w:tc>
        <w:tc>
          <w:tcPr>
            <w:tcW w:w="1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60" w:type="dxa"/>
            <w:vAlign w:val="bottom"/>
          </w:tcPr>
          <w:p>
            <w:pPr>
              <w:jc w:val="right"/>
              <w:spacing w:after="0" w:line="176" w:lineRule="exact"/>
              <w:rPr>
                <w:sz w:val="20"/>
                <w:szCs w:val="20"/>
                <w:color w:val="auto"/>
              </w:rPr>
            </w:pPr>
            <w:r>
              <w:rPr>
                <w:rFonts w:ascii="Arial" w:cs="Arial" w:eastAsia="Arial" w:hAnsi="Arial"/>
                <w:sz w:val="16"/>
                <w:szCs w:val="16"/>
                <w:color w:val="auto"/>
              </w:rPr>
              <w:t>1</w:t>
            </w:r>
          </w:p>
        </w:tc>
        <w:tc>
          <w:tcPr>
            <w:tcW w:w="320" w:type="dxa"/>
            <w:vAlign w:val="bottom"/>
          </w:tcPr>
          <w:p>
            <w:pPr>
              <w:spacing w:after="0"/>
              <w:rPr>
                <w:sz w:val="15"/>
                <w:szCs w:val="15"/>
                <w:color w:val="auto"/>
              </w:rPr>
            </w:pPr>
          </w:p>
        </w:tc>
        <w:tc>
          <w:tcPr>
            <w:tcW w:w="1360" w:type="dxa"/>
            <w:vAlign w:val="bottom"/>
            <w:gridSpan w:val="2"/>
          </w:tcPr>
          <w:p>
            <w:pPr>
              <w:jc w:val="right"/>
              <w:spacing w:after="0" w:line="176" w:lineRule="exact"/>
              <w:rPr>
                <w:sz w:val="20"/>
                <w:szCs w:val="20"/>
                <w:color w:val="auto"/>
              </w:rPr>
            </w:pPr>
            <w:r>
              <w:rPr>
                <w:rFonts w:ascii="Arial" w:cs="Arial" w:eastAsia="Arial" w:hAnsi="Arial"/>
                <w:sz w:val="16"/>
                <w:szCs w:val="16"/>
                <w:color w:val="auto"/>
              </w:rPr>
              <w:t>2</w:t>
            </w:r>
          </w:p>
        </w:tc>
        <w:tc>
          <w:tcPr>
            <w:tcW w:w="360" w:type="dxa"/>
            <w:vAlign w:val="bottom"/>
          </w:tcPr>
          <w:p>
            <w:pPr>
              <w:spacing w:after="0"/>
              <w:rPr>
                <w:sz w:val="15"/>
                <w:szCs w:val="15"/>
                <w:color w:val="auto"/>
              </w:rPr>
            </w:pPr>
          </w:p>
        </w:tc>
        <w:tc>
          <w:tcPr>
            <w:tcW w:w="1320" w:type="dxa"/>
            <w:vAlign w:val="bottom"/>
          </w:tcPr>
          <w:p>
            <w:pPr>
              <w:jc w:val="right"/>
              <w:spacing w:after="0" w:line="176" w:lineRule="exact"/>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980" w:type="dxa"/>
            <w:vAlign w:val="bottom"/>
          </w:tcPr>
          <w:p>
            <w:pPr>
              <w:ind w:left="160"/>
              <w:spacing w:after="0" w:line="176" w:lineRule="exact"/>
              <w:rPr>
                <w:sz w:val="20"/>
                <w:szCs w:val="20"/>
                <w:color w:val="auto"/>
              </w:rPr>
            </w:pPr>
            <w:r>
              <w:rPr>
                <w:rFonts w:ascii="Arial" w:cs="Arial" w:eastAsia="Arial" w:hAnsi="Arial"/>
                <w:sz w:val="16"/>
                <w:szCs w:val="16"/>
                <w:color w:val="auto"/>
              </w:rPr>
              <w:t>Actuarial loss</w:t>
            </w:r>
          </w:p>
        </w:tc>
        <w:tc>
          <w:tcPr>
            <w:tcW w:w="4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00" w:type="dxa"/>
            <w:vAlign w:val="bottom"/>
          </w:tcPr>
          <w:p>
            <w:pPr>
              <w:jc w:val="right"/>
              <w:spacing w:after="0" w:line="176" w:lineRule="exact"/>
              <w:rPr>
                <w:sz w:val="20"/>
                <w:szCs w:val="20"/>
                <w:color w:val="auto"/>
              </w:rPr>
            </w:pPr>
            <w:r>
              <w:rPr>
                <w:rFonts w:ascii="Arial" w:cs="Arial" w:eastAsia="Arial" w:hAnsi="Arial"/>
                <w:sz w:val="16"/>
                <w:szCs w:val="16"/>
                <w:color w:val="auto"/>
              </w:rPr>
              <w:t>5</w:t>
            </w:r>
          </w:p>
        </w:tc>
        <w:tc>
          <w:tcPr>
            <w:tcW w:w="1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60" w:type="dxa"/>
            <w:vAlign w:val="bottom"/>
          </w:tcPr>
          <w:p>
            <w:pPr>
              <w:jc w:val="right"/>
              <w:spacing w:after="0" w:line="176" w:lineRule="exact"/>
              <w:rPr>
                <w:sz w:val="20"/>
                <w:szCs w:val="20"/>
                <w:color w:val="auto"/>
              </w:rPr>
            </w:pPr>
            <w:r>
              <w:rPr>
                <w:rFonts w:ascii="Arial" w:cs="Arial" w:eastAsia="Arial" w:hAnsi="Arial"/>
                <w:sz w:val="16"/>
                <w:szCs w:val="16"/>
                <w:color w:val="auto"/>
              </w:rPr>
              <w:t>6</w:t>
            </w:r>
          </w:p>
        </w:tc>
        <w:tc>
          <w:tcPr>
            <w:tcW w:w="320" w:type="dxa"/>
            <w:vAlign w:val="bottom"/>
          </w:tcPr>
          <w:p>
            <w:pPr>
              <w:spacing w:after="0"/>
              <w:rPr>
                <w:sz w:val="15"/>
                <w:szCs w:val="15"/>
                <w:color w:val="auto"/>
              </w:rPr>
            </w:pPr>
          </w:p>
        </w:tc>
        <w:tc>
          <w:tcPr>
            <w:tcW w:w="1360" w:type="dxa"/>
            <w:vAlign w:val="bottom"/>
            <w:gridSpan w:val="2"/>
          </w:tcPr>
          <w:p>
            <w:pPr>
              <w:jc w:val="right"/>
              <w:spacing w:after="0" w:line="176" w:lineRule="exact"/>
              <w:rPr>
                <w:sz w:val="20"/>
                <w:szCs w:val="20"/>
                <w:color w:val="auto"/>
              </w:rPr>
            </w:pPr>
            <w:r>
              <w:rPr>
                <w:rFonts w:ascii="Arial" w:cs="Arial" w:eastAsia="Arial" w:hAnsi="Arial"/>
                <w:sz w:val="16"/>
                <w:szCs w:val="16"/>
                <w:color w:val="auto"/>
              </w:rPr>
              <w:t>―</w:t>
            </w:r>
          </w:p>
        </w:tc>
        <w:tc>
          <w:tcPr>
            <w:tcW w:w="360" w:type="dxa"/>
            <w:vAlign w:val="bottom"/>
          </w:tcPr>
          <w:p>
            <w:pPr>
              <w:spacing w:after="0"/>
              <w:rPr>
                <w:sz w:val="15"/>
                <w:szCs w:val="15"/>
                <w:color w:val="auto"/>
              </w:rPr>
            </w:pPr>
          </w:p>
        </w:tc>
        <w:tc>
          <w:tcPr>
            <w:tcW w:w="1320" w:type="dxa"/>
            <w:vAlign w:val="bottom"/>
          </w:tcPr>
          <w:p>
            <w:pPr>
              <w:jc w:val="right"/>
              <w:spacing w:after="0" w:line="176" w:lineRule="exact"/>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76"/>
        </w:trPr>
        <w:tc>
          <w:tcPr>
            <w:tcW w:w="4000" w:type="dxa"/>
            <w:vAlign w:val="bottom"/>
            <w:gridSpan w:val="2"/>
          </w:tcPr>
          <w:p>
            <w:pPr>
              <w:spacing w:after="0" w:line="176" w:lineRule="exact"/>
              <w:rPr>
                <w:sz w:val="20"/>
                <w:szCs w:val="20"/>
                <w:color w:val="auto"/>
              </w:rPr>
            </w:pPr>
            <w:r>
              <w:rPr>
                <w:rFonts w:ascii="Arial" w:cs="Arial" w:eastAsia="Arial" w:hAnsi="Arial"/>
                <w:sz w:val="16"/>
                <w:szCs w:val="16"/>
                <w:color w:val="auto"/>
              </w:rPr>
              <w:t>Settlement</w:t>
            </w:r>
          </w:p>
        </w:tc>
        <w:tc>
          <w:tcPr>
            <w:tcW w:w="4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00" w:type="dxa"/>
            <w:vAlign w:val="bottom"/>
          </w:tcPr>
          <w:p>
            <w:pPr>
              <w:jc w:val="right"/>
              <w:spacing w:after="0" w:line="176" w:lineRule="exact"/>
              <w:rPr>
                <w:sz w:val="20"/>
                <w:szCs w:val="20"/>
                <w:color w:val="auto"/>
              </w:rPr>
            </w:pPr>
            <w:r>
              <w:rPr>
                <w:rFonts w:ascii="Arial" w:cs="Arial" w:eastAsia="Arial" w:hAnsi="Arial"/>
                <w:sz w:val="16"/>
                <w:szCs w:val="16"/>
                <w:color w:val="auto"/>
              </w:rPr>
              <w:t>1</w:t>
            </w:r>
          </w:p>
        </w:tc>
        <w:tc>
          <w:tcPr>
            <w:tcW w:w="1100" w:type="dxa"/>
            <w:vAlign w:val="bottom"/>
          </w:tcPr>
          <w:p>
            <w:pPr>
              <w:spacing w:after="0"/>
              <w:rPr>
                <w:sz w:val="15"/>
                <w:szCs w:val="15"/>
                <w:color w:val="auto"/>
              </w:rPr>
            </w:pPr>
          </w:p>
        </w:tc>
        <w:tc>
          <w:tcPr>
            <w:tcW w:w="560" w:type="dxa"/>
            <w:vAlign w:val="bottom"/>
            <w:gridSpan w:val="2"/>
          </w:tcPr>
          <w:p>
            <w:pPr>
              <w:jc w:val="right"/>
              <w:spacing w:after="0" w:line="176" w:lineRule="exact"/>
              <w:rPr>
                <w:sz w:val="20"/>
                <w:szCs w:val="20"/>
                <w:color w:val="auto"/>
              </w:rPr>
            </w:pPr>
            <w:r>
              <w:rPr>
                <w:rFonts w:ascii="Arial" w:cs="Arial" w:eastAsia="Arial" w:hAnsi="Arial"/>
                <w:sz w:val="16"/>
                <w:szCs w:val="16"/>
                <w:color w:val="auto"/>
              </w:rPr>
              <w:t>―</w:t>
            </w:r>
          </w:p>
        </w:tc>
        <w:tc>
          <w:tcPr>
            <w:tcW w:w="320" w:type="dxa"/>
            <w:vAlign w:val="bottom"/>
          </w:tcPr>
          <w:p>
            <w:pPr>
              <w:spacing w:after="0"/>
              <w:rPr>
                <w:sz w:val="15"/>
                <w:szCs w:val="15"/>
                <w:color w:val="auto"/>
              </w:rPr>
            </w:pPr>
          </w:p>
        </w:tc>
        <w:tc>
          <w:tcPr>
            <w:tcW w:w="1360" w:type="dxa"/>
            <w:vAlign w:val="bottom"/>
            <w:gridSpan w:val="2"/>
          </w:tcPr>
          <w:p>
            <w:pPr>
              <w:jc w:val="right"/>
              <w:spacing w:after="0" w:line="176" w:lineRule="exact"/>
              <w:rPr>
                <w:sz w:val="20"/>
                <w:szCs w:val="20"/>
                <w:color w:val="auto"/>
              </w:rPr>
            </w:pPr>
            <w:r>
              <w:rPr>
                <w:rFonts w:ascii="Arial" w:cs="Arial" w:eastAsia="Arial" w:hAnsi="Arial"/>
                <w:sz w:val="16"/>
                <w:szCs w:val="16"/>
                <w:color w:val="auto"/>
              </w:rPr>
              <w:t>―</w:t>
            </w:r>
          </w:p>
        </w:tc>
        <w:tc>
          <w:tcPr>
            <w:tcW w:w="360" w:type="dxa"/>
            <w:vAlign w:val="bottom"/>
          </w:tcPr>
          <w:p>
            <w:pPr>
              <w:spacing w:after="0"/>
              <w:rPr>
                <w:sz w:val="15"/>
                <w:szCs w:val="15"/>
                <w:color w:val="auto"/>
              </w:rPr>
            </w:pPr>
          </w:p>
        </w:tc>
        <w:tc>
          <w:tcPr>
            <w:tcW w:w="1320" w:type="dxa"/>
            <w:vAlign w:val="bottom"/>
          </w:tcPr>
          <w:p>
            <w:pPr>
              <w:jc w:val="right"/>
              <w:spacing w:after="0" w:line="176" w:lineRule="exact"/>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4"/>
        </w:trPr>
        <w:tc>
          <w:tcPr>
            <w:tcW w:w="4000" w:type="dxa"/>
            <w:vAlign w:val="bottom"/>
            <w:gridSpan w:val="2"/>
          </w:tcPr>
          <w:p>
            <w:pPr>
              <w:spacing w:after="0"/>
              <w:rPr>
                <w:sz w:val="20"/>
                <w:szCs w:val="20"/>
                <w:color w:val="auto"/>
              </w:rPr>
            </w:pPr>
            <w:r>
              <w:rPr>
                <w:rFonts w:ascii="Arial" w:cs="Arial" w:eastAsia="Arial" w:hAnsi="Arial"/>
                <w:sz w:val="16"/>
                <w:szCs w:val="16"/>
                <w:color w:val="auto"/>
              </w:rPr>
              <w:t>Regulatory adjustment</w:t>
            </w:r>
          </w:p>
        </w:tc>
        <w:tc>
          <w:tcPr>
            <w:tcW w:w="4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1"/>
              </w:rPr>
              <w:t>(2)</w:t>
            </w:r>
          </w:p>
        </w:tc>
        <w:tc>
          <w:tcPr>
            <w:tcW w:w="110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(5)</w:t>
            </w:r>
          </w:p>
        </w:tc>
        <w:tc>
          <w:tcPr>
            <w:tcW w:w="3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1</w:t>
            </w:r>
          </w:p>
        </w:tc>
        <w:tc>
          <w:tcPr>
            <w:tcW w:w="36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183"/>
        </w:trPr>
        <w:tc>
          <w:tcPr>
            <w:tcW w:w="4000" w:type="dxa"/>
            <w:vAlign w:val="bottom"/>
            <w:gridSpan w:val="2"/>
          </w:tcPr>
          <w:p>
            <w:pPr>
              <w:spacing w:after="0" w:line="176" w:lineRule="exact"/>
              <w:rPr>
                <w:sz w:val="20"/>
                <w:szCs w:val="20"/>
                <w:color w:val="auto"/>
              </w:rPr>
            </w:pPr>
            <w:r>
              <w:rPr>
                <w:rFonts w:ascii="Arial" w:cs="Arial" w:eastAsia="Arial" w:hAnsi="Arial"/>
                <w:sz w:val="16"/>
                <w:szCs w:val="16"/>
                <w:color w:val="auto"/>
              </w:rPr>
              <w:t>Total net periodic benefit cost</w:t>
            </w:r>
          </w:p>
        </w:tc>
        <w:tc>
          <w:tcPr>
            <w:tcW w:w="4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40" w:type="dxa"/>
            <w:vAlign w:val="bottom"/>
          </w:tcPr>
          <w:p>
            <w:pPr>
              <w:jc w:val="right"/>
              <w:ind w:right="887"/>
              <w:spacing w:after="0"/>
              <w:rPr>
                <w:sz w:val="20"/>
                <w:szCs w:val="20"/>
                <w:color w:val="auto"/>
              </w:rPr>
            </w:pPr>
            <w:r>
              <w:rPr>
                <w:rFonts w:ascii="Arial" w:cs="Arial" w:eastAsia="Arial" w:hAnsi="Arial"/>
                <w:sz w:val="15"/>
                <w:szCs w:val="15"/>
                <w:color w:val="auto"/>
                <w:w w:val="71"/>
              </w:rPr>
              <w:t>$</w:t>
            </w:r>
          </w:p>
        </w:tc>
        <w:tc>
          <w:tcPr>
            <w:tcW w:w="620" w:type="dxa"/>
            <w:vAlign w:val="bottom"/>
            <w:gridSpan w:val="2"/>
          </w:tcPr>
          <w:p>
            <w:pPr>
              <w:jc w:val="right"/>
              <w:spacing w:after="0" w:line="176" w:lineRule="exact"/>
              <w:rPr>
                <w:sz w:val="20"/>
                <w:szCs w:val="20"/>
                <w:color w:val="auto"/>
              </w:rPr>
            </w:pPr>
            <w:r>
              <w:rPr>
                <w:rFonts w:ascii="Arial" w:cs="Arial" w:eastAsia="Arial" w:hAnsi="Arial"/>
                <w:sz w:val="16"/>
                <w:szCs w:val="16"/>
                <w:color w:val="auto"/>
              </w:rPr>
              <w:t>20</w:t>
            </w:r>
          </w:p>
        </w:tc>
        <w:tc>
          <w:tcPr>
            <w:tcW w:w="1100" w:type="dxa"/>
            <w:vAlign w:val="bottom"/>
          </w:tcPr>
          <w:p>
            <w:pPr>
              <w:jc w:val="right"/>
              <w:ind w:right="946"/>
              <w:spacing w:after="0"/>
              <w:rPr>
                <w:sz w:val="20"/>
                <w:szCs w:val="20"/>
                <w:color w:val="auto"/>
              </w:rPr>
            </w:pPr>
            <w:r>
              <w:rPr>
                <w:rFonts w:ascii="Arial" w:cs="Arial" w:eastAsia="Arial" w:hAnsi="Arial"/>
                <w:sz w:val="15"/>
                <w:szCs w:val="15"/>
                <w:color w:val="auto"/>
                <w:w w:val="71"/>
              </w:rPr>
              <w:t>$</w:t>
            </w:r>
          </w:p>
        </w:tc>
        <w:tc>
          <w:tcPr>
            <w:tcW w:w="560" w:type="dxa"/>
            <w:vAlign w:val="bottom"/>
            <w:gridSpan w:val="2"/>
          </w:tcPr>
          <w:p>
            <w:pPr>
              <w:jc w:val="right"/>
              <w:spacing w:after="0" w:line="176" w:lineRule="exact"/>
              <w:rPr>
                <w:sz w:val="20"/>
                <w:szCs w:val="20"/>
                <w:color w:val="auto"/>
              </w:rPr>
            </w:pPr>
            <w:r>
              <w:rPr>
                <w:rFonts w:ascii="Arial" w:cs="Arial" w:eastAsia="Arial" w:hAnsi="Arial"/>
                <w:sz w:val="16"/>
                <w:szCs w:val="16"/>
                <w:color w:val="auto"/>
              </w:rPr>
              <w:t>19</w:t>
            </w:r>
          </w:p>
        </w:tc>
        <w:tc>
          <w:tcPr>
            <w:tcW w:w="320" w:type="dxa"/>
            <w:vAlign w:val="bottom"/>
          </w:tcPr>
          <w:p>
            <w:pPr>
              <w:jc w:val="right"/>
              <w:ind w:right="164"/>
              <w:spacing w:after="0"/>
              <w:rPr>
                <w:sz w:val="20"/>
                <w:szCs w:val="20"/>
                <w:color w:val="auto"/>
              </w:rPr>
            </w:pPr>
            <w:r>
              <w:rPr>
                <w:rFonts w:ascii="Arial" w:cs="Arial" w:eastAsia="Arial" w:hAnsi="Arial"/>
                <w:sz w:val="15"/>
                <w:szCs w:val="15"/>
                <w:color w:val="auto"/>
                <w:w w:val="71"/>
              </w:rPr>
              <w:t>$</w:t>
            </w:r>
          </w:p>
        </w:tc>
        <w:tc>
          <w:tcPr>
            <w:tcW w:w="1360" w:type="dxa"/>
            <w:vAlign w:val="bottom"/>
            <w:gridSpan w:val="2"/>
          </w:tcPr>
          <w:p>
            <w:pPr>
              <w:jc w:val="right"/>
              <w:spacing w:after="0" w:line="176" w:lineRule="exact"/>
              <w:rPr>
                <w:sz w:val="20"/>
                <w:szCs w:val="20"/>
                <w:color w:val="auto"/>
              </w:rPr>
            </w:pPr>
            <w:r>
              <w:rPr>
                <w:rFonts w:ascii="Arial" w:cs="Arial" w:eastAsia="Arial" w:hAnsi="Arial"/>
                <w:sz w:val="16"/>
                <w:szCs w:val="16"/>
                <w:color w:val="auto"/>
              </w:rPr>
              <w:t>8</w:t>
            </w:r>
          </w:p>
        </w:tc>
        <w:tc>
          <w:tcPr>
            <w:tcW w:w="360" w:type="dxa"/>
            <w:vAlign w:val="bottom"/>
          </w:tcPr>
          <w:p>
            <w:pPr>
              <w:jc w:val="right"/>
              <w:ind w:right="204"/>
              <w:spacing w:after="0"/>
              <w:rPr>
                <w:sz w:val="20"/>
                <w:szCs w:val="20"/>
                <w:color w:val="auto"/>
              </w:rPr>
            </w:pPr>
            <w:r>
              <w:rPr>
                <w:rFonts w:ascii="Arial" w:cs="Arial" w:eastAsia="Arial" w:hAnsi="Arial"/>
                <w:sz w:val="15"/>
                <w:szCs w:val="15"/>
                <w:color w:val="auto"/>
                <w:w w:val="71"/>
              </w:rPr>
              <w:t>$</w:t>
            </w:r>
          </w:p>
        </w:tc>
        <w:tc>
          <w:tcPr>
            <w:tcW w:w="1320" w:type="dxa"/>
            <w:vAlign w:val="bottom"/>
          </w:tcPr>
          <w:p>
            <w:pPr>
              <w:jc w:val="right"/>
              <w:spacing w:after="0" w:line="176" w:lineRule="exact"/>
              <w:rPr>
                <w:sz w:val="20"/>
                <w:szCs w:val="20"/>
                <w:color w:val="auto"/>
              </w:rPr>
            </w:pPr>
            <w:r>
              <w:rPr>
                <w:rFonts w:ascii="Arial" w:cs="Arial" w:eastAsia="Arial" w:hAnsi="Arial"/>
                <w:sz w:val="16"/>
                <w:szCs w:val="16"/>
                <w:color w:val="auto"/>
              </w:rPr>
              <w:t>8</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980" w:type="dxa"/>
            <w:vAlign w:val="bottom"/>
            <w:tcBorders>
              <w:top w:val="single" w:sz="8" w:color="auto"/>
              <w:bottom w:val="single" w:sz="8" w:color="auto"/>
            </w:tcBorders>
          </w:tcPr>
          <w:p>
            <w:pPr>
              <w:spacing w:after="0"/>
              <w:rPr>
                <w:sz w:val="21"/>
                <w:szCs w:val="21"/>
                <w:color w:val="auto"/>
              </w:rPr>
            </w:pPr>
          </w:p>
        </w:tc>
        <w:tc>
          <w:tcPr>
            <w:tcW w:w="480" w:type="dxa"/>
            <w:vAlign w:val="bottom"/>
            <w:tcBorders>
              <w:top w:val="single" w:sz="8" w:color="auto"/>
              <w:bottom w:val="single" w:sz="8" w:color="auto"/>
            </w:tcBorders>
          </w:tcPr>
          <w:p>
            <w:pPr>
              <w:spacing w:after="0"/>
              <w:rPr>
                <w:sz w:val="21"/>
                <w:szCs w:val="21"/>
                <w:color w:val="auto"/>
              </w:rPr>
            </w:pPr>
          </w:p>
        </w:tc>
        <w:tc>
          <w:tcPr>
            <w:tcW w:w="260" w:type="dxa"/>
            <w:vAlign w:val="bottom"/>
            <w:tcBorders>
              <w:top w:val="single" w:sz="8" w:color="auto"/>
              <w:bottom w:val="single" w:sz="8" w:color="auto"/>
            </w:tcBorders>
          </w:tcPr>
          <w:p>
            <w:pPr>
              <w:spacing w:after="0"/>
              <w:rPr>
                <w:sz w:val="21"/>
                <w:szCs w:val="21"/>
                <w:color w:val="auto"/>
              </w:rPr>
            </w:pPr>
          </w:p>
        </w:tc>
        <w:tc>
          <w:tcPr>
            <w:tcW w:w="1040" w:type="dxa"/>
            <w:vAlign w:val="bottom"/>
            <w:tcBorders>
              <w:top w:val="single" w:sz="8" w:color="auto"/>
              <w:bottom w:val="single" w:sz="8" w:color="auto"/>
            </w:tcBorders>
          </w:tcPr>
          <w:p>
            <w:pPr>
              <w:spacing w:after="0"/>
              <w:rPr>
                <w:sz w:val="21"/>
                <w:szCs w:val="21"/>
                <w:color w:val="auto"/>
              </w:rPr>
            </w:pPr>
          </w:p>
        </w:tc>
        <w:tc>
          <w:tcPr>
            <w:tcW w:w="420" w:type="dxa"/>
            <w:vAlign w:val="bottom"/>
            <w:tcBorders>
              <w:top w:val="single" w:sz="8" w:color="auto"/>
              <w:bottom w:val="single" w:sz="8" w:color="auto"/>
            </w:tcBorders>
          </w:tcPr>
          <w:p>
            <w:pPr>
              <w:spacing w:after="0"/>
              <w:rPr>
                <w:sz w:val="21"/>
                <w:szCs w:val="21"/>
                <w:color w:val="auto"/>
              </w:rPr>
            </w:pPr>
          </w:p>
        </w:tc>
        <w:tc>
          <w:tcPr>
            <w:tcW w:w="200" w:type="dxa"/>
            <w:vAlign w:val="bottom"/>
            <w:tcBorders>
              <w:top w:val="single" w:sz="8" w:color="auto"/>
              <w:bottom w:val="single" w:sz="8" w:color="auto"/>
            </w:tcBorders>
          </w:tcPr>
          <w:p>
            <w:pPr>
              <w:spacing w:after="0"/>
              <w:rPr>
                <w:sz w:val="21"/>
                <w:szCs w:val="21"/>
                <w:color w:val="auto"/>
              </w:rPr>
            </w:pPr>
          </w:p>
        </w:tc>
        <w:tc>
          <w:tcPr>
            <w:tcW w:w="1100" w:type="dxa"/>
            <w:vAlign w:val="bottom"/>
            <w:tcBorders>
              <w:top w:val="single" w:sz="8" w:color="auto"/>
              <w:bottom w:val="single" w:sz="8" w:color="auto"/>
            </w:tcBorders>
          </w:tcPr>
          <w:p>
            <w:pPr>
              <w:spacing w:after="0"/>
              <w:rPr>
                <w:sz w:val="21"/>
                <w:szCs w:val="21"/>
                <w:color w:val="auto"/>
              </w:rPr>
            </w:pPr>
          </w:p>
        </w:tc>
        <w:tc>
          <w:tcPr>
            <w:tcW w:w="400" w:type="dxa"/>
            <w:vAlign w:val="bottom"/>
            <w:tcBorders>
              <w:top w:val="single" w:sz="8" w:color="auto"/>
              <w:bottom w:val="single" w:sz="8" w:color="auto"/>
            </w:tcBorders>
          </w:tcPr>
          <w:p>
            <w:pPr>
              <w:spacing w:after="0"/>
              <w:rPr>
                <w:sz w:val="21"/>
                <w:szCs w:val="21"/>
                <w:color w:val="auto"/>
              </w:rPr>
            </w:pPr>
          </w:p>
        </w:tc>
        <w:tc>
          <w:tcPr>
            <w:tcW w:w="160" w:type="dxa"/>
            <w:vAlign w:val="bottom"/>
            <w:tcBorders>
              <w:top w:val="single" w:sz="8" w:color="auto"/>
              <w:bottom w:val="single" w:sz="8" w:color="auto"/>
            </w:tcBorders>
          </w:tcPr>
          <w:p>
            <w:pPr>
              <w:spacing w:after="0"/>
              <w:rPr>
                <w:sz w:val="21"/>
                <w:szCs w:val="21"/>
                <w:color w:val="auto"/>
              </w:rPr>
            </w:pPr>
          </w:p>
        </w:tc>
        <w:tc>
          <w:tcPr>
            <w:tcW w:w="320" w:type="dxa"/>
            <w:vAlign w:val="bottom"/>
            <w:tcBorders>
              <w:top w:val="single" w:sz="8" w:color="auto"/>
              <w:bottom w:val="single" w:sz="8" w:color="auto"/>
            </w:tcBorders>
          </w:tcPr>
          <w:p>
            <w:pPr>
              <w:spacing w:after="0"/>
              <w:rPr>
                <w:sz w:val="21"/>
                <w:szCs w:val="21"/>
                <w:color w:val="auto"/>
              </w:rPr>
            </w:pPr>
          </w:p>
        </w:tc>
        <w:tc>
          <w:tcPr>
            <w:tcW w:w="1300" w:type="dxa"/>
            <w:vAlign w:val="bottom"/>
            <w:tcBorders>
              <w:top w:val="single" w:sz="8" w:color="auto"/>
              <w:bottom w:val="single" w:sz="8" w:color="auto"/>
            </w:tcBorders>
          </w:tcPr>
          <w:p>
            <w:pPr>
              <w:spacing w:after="0"/>
              <w:rPr>
                <w:sz w:val="21"/>
                <w:szCs w:val="21"/>
                <w:color w:val="auto"/>
              </w:rPr>
            </w:pPr>
          </w:p>
        </w:tc>
        <w:tc>
          <w:tcPr>
            <w:tcW w:w="60" w:type="dxa"/>
            <w:vAlign w:val="bottom"/>
            <w:tcBorders>
              <w:top w:val="single" w:sz="8" w:color="auto"/>
              <w:bottom w:val="single" w:sz="8" w:color="auto"/>
            </w:tcBorders>
          </w:tcPr>
          <w:p>
            <w:pPr>
              <w:spacing w:after="0"/>
              <w:rPr>
                <w:sz w:val="21"/>
                <w:szCs w:val="21"/>
                <w:color w:val="auto"/>
              </w:rPr>
            </w:pPr>
          </w:p>
        </w:tc>
        <w:tc>
          <w:tcPr>
            <w:tcW w:w="360" w:type="dxa"/>
            <w:vAlign w:val="bottom"/>
            <w:tcBorders>
              <w:top w:val="single" w:sz="8" w:color="auto"/>
              <w:bottom w:val="single" w:sz="8" w:color="auto"/>
            </w:tcBorders>
          </w:tcPr>
          <w:p>
            <w:pPr>
              <w:spacing w:after="0"/>
              <w:rPr>
                <w:sz w:val="21"/>
                <w:szCs w:val="21"/>
                <w:color w:val="auto"/>
              </w:rPr>
            </w:pPr>
          </w:p>
        </w:tc>
        <w:tc>
          <w:tcPr>
            <w:tcW w:w="1320" w:type="dxa"/>
            <w:vAlign w:val="bottom"/>
            <w:tcBorders>
              <w:top w:val="single" w:sz="8" w:color="auto"/>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3980" w:type="dxa"/>
            <w:vAlign w:val="bottom"/>
            <w:shd w:val="clear" w:color="auto" w:fill="C0C0C0"/>
          </w:tcPr>
          <w:p>
            <w:pPr>
              <w:spacing w:after="0" w:line="160" w:lineRule="exact"/>
              <w:rPr>
                <w:sz w:val="20"/>
                <w:szCs w:val="20"/>
                <w:color w:val="auto"/>
              </w:rPr>
            </w:pPr>
            <w:r>
              <w:rPr>
                <w:rFonts w:ascii="Arial" w:cs="Arial" w:eastAsia="Arial" w:hAnsi="Arial"/>
                <w:sz w:val="16"/>
                <w:szCs w:val="16"/>
                <w:b w:val="1"/>
                <w:bCs w:val="1"/>
                <w:color w:val="auto"/>
              </w:rPr>
              <w:t>NET PERIODIC BENEFIT COST -- SOCALGAS</w:t>
            </w:r>
          </w:p>
        </w:tc>
        <w:tc>
          <w:tcPr>
            <w:tcW w:w="480" w:type="dxa"/>
            <w:vAlign w:val="bottom"/>
            <w:shd w:val="clear" w:color="auto" w:fill="C0C0C0"/>
          </w:tcPr>
          <w:p>
            <w:pPr>
              <w:spacing w:after="0"/>
              <w:rPr>
                <w:sz w:val="13"/>
                <w:szCs w:val="13"/>
                <w:color w:val="auto"/>
              </w:rPr>
            </w:pPr>
          </w:p>
        </w:tc>
        <w:tc>
          <w:tcPr>
            <w:tcW w:w="260" w:type="dxa"/>
            <w:vAlign w:val="bottom"/>
            <w:shd w:val="clear" w:color="auto" w:fill="C0C0C0"/>
          </w:tcPr>
          <w:p>
            <w:pPr>
              <w:spacing w:after="0"/>
              <w:rPr>
                <w:sz w:val="13"/>
                <w:szCs w:val="13"/>
                <w:color w:val="auto"/>
              </w:rPr>
            </w:pPr>
          </w:p>
        </w:tc>
        <w:tc>
          <w:tcPr>
            <w:tcW w:w="1040" w:type="dxa"/>
            <w:vAlign w:val="bottom"/>
            <w:shd w:val="clear" w:color="auto" w:fill="C0C0C0"/>
          </w:tcPr>
          <w:p>
            <w:pPr>
              <w:spacing w:after="0"/>
              <w:rPr>
                <w:sz w:val="13"/>
                <w:szCs w:val="13"/>
                <w:color w:val="auto"/>
              </w:rPr>
            </w:pPr>
          </w:p>
        </w:tc>
        <w:tc>
          <w:tcPr>
            <w:tcW w:w="420" w:type="dxa"/>
            <w:vAlign w:val="bottom"/>
            <w:shd w:val="clear" w:color="auto" w:fill="C0C0C0"/>
          </w:tcPr>
          <w:p>
            <w:pPr>
              <w:spacing w:after="0"/>
              <w:rPr>
                <w:sz w:val="13"/>
                <w:szCs w:val="13"/>
                <w:color w:val="auto"/>
              </w:rPr>
            </w:pPr>
          </w:p>
        </w:tc>
        <w:tc>
          <w:tcPr>
            <w:tcW w:w="200" w:type="dxa"/>
            <w:vAlign w:val="bottom"/>
            <w:shd w:val="clear" w:color="auto" w:fill="C0C0C0"/>
          </w:tcPr>
          <w:p>
            <w:pPr>
              <w:spacing w:after="0"/>
              <w:rPr>
                <w:sz w:val="13"/>
                <w:szCs w:val="13"/>
                <w:color w:val="auto"/>
              </w:rPr>
            </w:pPr>
          </w:p>
        </w:tc>
        <w:tc>
          <w:tcPr>
            <w:tcW w:w="1100" w:type="dxa"/>
            <w:vAlign w:val="bottom"/>
            <w:shd w:val="clear" w:color="auto" w:fill="C0C0C0"/>
          </w:tcPr>
          <w:p>
            <w:pPr>
              <w:spacing w:after="0"/>
              <w:rPr>
                <w:sz w:val="13"/>
                <w:szCs w:val="13"/>
                <w:color w:val="auto"/>
              </w:rPr>
            </w:pPr>
          </w:p>
        </w:tc>
        <w:tc>
          <w:tcPr>
            <w:tcW w:w="400" w:type="dxa"/>
            <w:vAlign w:val="bottom"/>
            <w:shd w:val="clear" w:color="auto" w:fill="C0C0C0"/>
          </w:tcPr>
          <w:p>
            <w:pPr>
              <w:spacing w:after="0"/>
              <w:rPr>
                <w:sz w:val="13"/>
                <w:szCs w:val="13"/>
                <w:color w:val="auto"/>
              </w:rPr>
            </w:pPr>
          </w:p>
        </w:tc>
        <w:tc>
          <w:tcPr>
            <w:tcW w:w="160" w:type="dxa"/>
            <w:vAlign w:val="bottom"/>
            <w:shd w:val="clear" w:color="auto" w:fill="C0C0C0"/>
          </w:tcPr>
          <w:p>
            <w:pPr>
              <w:spacing w:after="0"/>
              <w:rPr>
                <w:sz w:val="13"/>
                <w:szCs w:val="13"/>
                <w:color w:val="auto"/>
              </w:rPr>
            </w:pPr>
          </w:p>
        </w:tc>
        <w:tc>
          <w:tcPr>
            <w:tcW w:w="320" w:type="dxa"/>
            <w:vAlign w:val="bottom"/>
            <w:shd w:val="clear" w:color="auto" w:fill="C0C0C0"/>
          </w:tcPr>
          <w:p>
            <w:pPr>
              <w:spacing w:after="0"/>
              <w:rPr>
                <w:sz w:val="13"/>
                <w:szCs w:val="13"/>
                <w:color w:val="auto"/>
              </w:rPr>
            </w:pPr>
          </w:p>
        </w:tc>
        <w:tc>
          <w:tcPr>
            <w:tcW w:w="1300" w:type="dxa"/>
            <w:vAlign w:val="bottom"/>
            <w:shd w:val="clear" w:color="auto" w:fill="C0C0C0"/>
          </w:tcPr>
          <w:p>
            <w:pPr>
              <w:spacing w:after="0"/>
              <w:rPr>
                <w:sz w:val="13"/>
                <w:szCs w:val="13"/>
                <w:color w:val="auto"/>
              </w:rPr>
            </w:pPr>
          </w:p>
        </w:tc>
        <w:tc>
          <w:tcPr>
            <w:tcW w:w="60" w:type="dxa"/>
            <w:vAlign w:val="bottom"/>
            <w:shd w:val="clear" w:color="auto" w:fill="C0C0C0"/>
          </w:tcPr>
          <w:p>
            <w:pPr>
              <w:spacing w:after="0"/>
              <w:rPr>
                <w:sz w:val="13"/>
                <w:szCs w:val="13"/>
                <w:color w:val="auto"/>
              </w:rPr>
            </w:pPr>
          </w:p>
        </w:tc>
        <w:tc>
          <w:tcPr>
            <w:tcW w:w="360" w:type="dxa"/>
            <w:vAlign w:val="bottom"/>
            <w:shd w:val="clear" w:color="auto" w:fill="C0C0C0"/>
          </w:tcPr>
          <w:p>
            <w:pPr>
              <w:spacing w:after="0"/>
              <w:rPr>
                <w:sz w:val="13"/>
                <w:szCs w:val="13"/>
                <w:color w:val="auto"/>
              </w:rPr>
            </w:pPr>
          </w:p>
        </w:tc>
        <w:tc>
          <w:tcPr>
            <w:tcW w:w="1320" w:type="dxa"/>
            <w:vAlign w:val="bottom"/>
            <w:shd w:val="clear" w:color="auto" w:fill="C0C0C0"/>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980" w:type="dxa"/>
            <w:vAlign w:val="bottom"/>
            <w:shd w:val="clear" w:color="auto" w:fill="C0C0C0"/>
          </w:tcPr>
          <w:p>
            <w:pPr>
              <w:spacing w:after="0"/>
              <w:rPr>
                <w:sz w:val="20"/>
                <w:szCs w:val="20"/>
                <w:color w:val="auto"/>
              </w:rPr>
            </w:pPr>
            <w:r>
              <w:rPr>
                <w:rFonts w:ascii="Arial" w:cs="Arial" w:eastAsia="Arial" w:hAnsi="Arial"/>
                <w:sz w:val="14"/>
                <w:szCs w:val="14"/>
                <w:i w:val="1"/>
                <w:iCs w:val="1"/>
                <w:color w:val="auto"/>
              </w:rPr>
              <w:t>(Dollars in millions)</w:t>
            </w:r>
          </w:p>
        </w:tc>
        <w:tc>
          <w:tcPr>
            <w:tcW w:w="480" w:type="dxa"/>
            <w:vAlign w:val="bottom"/>
            <w:shd w:val="clear" w:color="auto" w:fill="C0C0C0"/>
          </w:tcPr>
          <w:p>
            <w:pPr>
              <w:spacing w:after="0"/>
              <w:rPr>
                <w:sz w:val="14"/>
                <w:szCs w:val="14"/>
                <w:color w:val="auto"/>
              </w:rPr>
            </w:pPr>
          </w:p>
        </w:tc>
        <w:tc>
          <w:tcPr>
            <w:tcW w:w="260" w:type="dxa"/>
            <w:vAlign w:val="bottom"/>
            <w:shd w:val="clear" w:color="auto" w:fill="C0C0C0"/>
          </w:tcPr>
          <w:p>
            <w:pPr>
              <w:spacing w:after="0"/>
              <w:rPr>
                <w:sz w:val="14"/>
                <w:szCs w:val="14"/>
                <w:color w:val="auto"/>
              </w:rPr>
            </w:pPr>
          </w:p>
        </w:tc>
        <w:tc>
          <w:tcPr>
            <w:tcW w:w="1040" w:type="dxa"/>
            <w:vAlign w:val="bottom"/>
            <w:shd w:val="clear" w:color="auto" w:fill="C0C0C0"/>
          </w:tcPr>
          <w:p>
            <w:pPr>
              <w:spacing w:after="0"/>
              <w:rPr>
                <w:sz w:val="14"/>
                <w:szCs w:val="14"/>
                <w:color w:val="auto"/>
              </w:rPr>
            </w:pPr>
          </w:p>
        </w:tc>
        <w:tc>
          <w:tcPr>
            <w:tcW w:w="420" w:type="dxa"/>
            <w:vAlign w:val="bottom"/>
            <w:shd w:val="clear" w:color="auto" w:fill="C0C0C0"/>
          </w:tcPr>
          <w:p>
            <w:pPr>
              <w:spacing w:after="0"/>
              <w:rPr>
                <w:sz w:val="14"/>
                <w:szCs w:val="14"/>
                <w:color w:val="auto"/>
              </w:rPr>
            </w:pPr>
          </w:p>
        </w:tc>
        <w:tc>
          <w:tcPr>
            <w:tcW w:w="200" w:type="dxa"/>
            <w:vAlign w:val="bottom"/>
            <w:shd w:val="clear" w:color="auto" w:fill="C0C0C0"/>
          </w:tcPr>
          <w:p>
            <w:pPr>
              <w:spacing w:after="0"/>
              <w:rPr>
                <w:sz w:val="14"/>
                <w:szCs w:val="14"/>
                <w:color w:val="auto"/>
              </w:rPr>
            </w:pPr>
          </w:p>
        </w:tc>
        <w:tc>
          <w:tcPr>
            <w:tcW w:w="1100" w:type="dxa"/>
            <w:vAlign w:val="bottom"/>
            <w:shd w:val="clear" w:color="auto" w:fill="C0C0C0"/>
          </w:tcPr>
          <w:p>
            <w:pPr>
              <w:spacing w:after="0"/>
              <w:rPr>
                <w:sz w:val="14"/>
                <w:szCs w:val="14"/>
                <w:color w:val="auto"/>
              </w:rPr>
            </w:pPr>
          </w:p>
        </w:tc>
        <w:tc>
          <w:tcPr>
            <w:tcW w:w="400" w:type="dxa"/>
            <w:vAlign w:val="bottom"/>
            <w:shd w:val="clear" w:color="auto" w:fill="C0C0C0"/>
          </w:tcPr>
          <w:p>
            <w:pPr>
              <w:spacing w:after="0"/>
              <w:rPr>
                <w:sz w:val="14"/>
                <w:szCs w:val="14"/>
                <w:color w:val="auto"/>
              </w:rPr>
            </w:pPr>
          </w:p>
        </w:tc>
        <w:tc>
          <w:tcPr>
            <w:tcW w:w="160" w:type="dxa"/>
            <w:vAlign w:val="bottom"/>
            <w:shd w:val="clear" w:color="auto" w:fill="C0C0C0"/>
          </w:tcPr>
          <w:p>
            <w:pPr>
              <w:spacing w:after="0"/>
              <w:rPr>
                <w:sz w:val="14"/>
                <w:szCs w:val="14"/>
                <w:color w:val="auto"/>
              </w:rPr>
            </w:pPr>
          </w:p>
        </w:tc>
        <w:tc>
          <w:tcPr>
            <w:tcW w:w="320" w:type="dxa"/>
            <w:vAlign w:val="bottom"/>
            <w:shd w:val="clear" w:color="auto" w:fill="C0C0C0"/>
          </w:tcPr>
          <w:p>
            <w:pPr>
              <w:spacing w:after="0"/>
              <w:rPr>
                <w:sz w:val="14"/>
                <w:szCs w:val="14"/>
                <w:color w:val="auto"/>
              </w:rPr>
            </w:pPr>
          </w:p>
        </w:tc>
        <w:tc>
          <w:tcPr>
            <w:tcW w:w="1300" w:type="dxa"/>
            <w:vAlign w:val="bottom"/>
            <w:shd w:val="clear" w:color="auto" w:fill="C0C0C0"/>
          </w:tcPr>
          <w:p>
            <w:pPr>
              <w:spacing w:after="0"/>
              <w:rPr>
                <w:sz w:val="14"/>
                <w:szCs w:val="14"/>
                <w:color w:val="auto"/>
              </w:rPr>
            </w:pPr>
          </w:p>
        </w:tc>
        <w:tc>
          <w:tcPr>
            <w:tcW w:w="60" w:type="dxa"/>
            <w:vAlign w:val="bottom"/>
            <w:shd w:val="clear" w:color="auto" w:fill="C0C0C0"/>
          </w:tcPr>
          <w:p>
            <w:pPr>
              <w:spacing w:after="0"/>
              <w:rPr>
                <w:sz w:val="14"/>
                <w:szCs w:val="14"/>
                <w:color w:val="auto"/>
              </w:rPr>
            </w:pPr>
          </w:p>
        </w:tc>
        <w:tc>
          <w:tcPr>
            <w:tcW w:w="360" w:type="dxa"/>
            <w:vAlign w:val="bottom"/>
            <w:shd w:val="clear" w:color="auto" w:fill="C0C0C0"/>
          </w:tcPr>
          <w:p>
            <w:pPr>
              <w:spacing w:after="0"/>
              <w:rPr>
                <w:sz w:val="14"/>
                <w:szCs w:val="14"/>
                <w:color w:val="auto"/>
              </w:rPr>
            </w:pPr>
          </w:p>
        </w:tc>
        <w:tc>
          <w:tcPr>
            <w:tcW w:w="1320" w:type="dxa"/>
            <w:vAlign w:val="bottom"/>
            <w:shd w:val="clear" w:color="auto" w:fill="C0C0C0"/>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39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760" w:type="dxa"/>
            <w:vAlign w:val="bottom"/>
            <w:tcBorders>
              <w:bottom w:val="single" w:sz="8" w:color="auto"/>
            </w:tcBorders>
            <w:gridSpan w:val="4"/>
          </w:tcPr>
          <w:p>
            <w:pPr>
              <w:jc w:val="center"/>
              <w:ind w:left="87"/>
              <w:spacing w:after="0"/>
              <w:rPr>
                <w:sz w:val="20"/>
                <w:szCs w:val="20"/>
                <w:color w:val="auto"/>
              </w:rPr>
            </w:pPr>
            <w:r>
              <w:rPr>
                <w:rFonts w:ascii="Arial" w:cs="Arial" w:eastAsia="Arial" w:hAnsi="Arial"/>
                <w:sz w:val="14"/>
                <w:szCs w:val="14"/>
                <w:color w:val="auto"/>
              </w:rPr>
              <w:t>Pension Benefits</w:t>
            </w:r>
          </w:p>
        </w:tc>
        <w:tc>
          <w:tcPr>
            <w:tcW w:w="4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3040" w:type="dxa"/>
            <w:vAlign w:val="bottom"/>
            <w:tcBorders>
              <w:bottom w:val="single" w:sz="8" w:color="auto"/>
            </w:tcBorders>
            <w:gridSpan w:val="4"/>
          </w:tcPr>
          <w:p>
            <w:pPr>
              <w:ind w:left="340"/>
              <w:spacing w:after="0"/>
              <w:rPr>
                <w:sz w:val="20"/>
                <w:szCs w:val="20"/>
                <w:color w:val="auto"/>
              </w:rPr>
            </w:pPr>
            <w:r>
              <w:rPr>
                <w:rFonts w:ascii="Arial" w:cs="Arial" w:eastAsia="Arial" w:hAnsi="Arial"/>
                <w:sz w:val="14"/>
                <w:szCs w:val="14"/>
                <w:color w:val="auto"/>
              </w:rPr>
              <w:t>Other Postretirement Benefits</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39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760" w:type="dxa"/>
            <w:vAlign w:val="bottom"/>
            <w:gridSpan w:val="4"/>
          </w:tcPr>
          <w:p>
            <w:pPr>
              <w:jc w:val="center"/>
              <w:ind w:left="87"/>
              <w:spacing w:after="0"/>
              <w:rPr>
                <w:sz w:val="20"/>
                <w:szCs w:val="20"/>
                <w:color w:val="auto"/>
              </w:rPr>
            </w:pPr>
            <w:r>
              <w:rPr>
                <w:rFonts w:ascii="Arial" w:cs="Arial" w:eastAsia="Arial" w:hAnsi="Arial"/>
                <w:sz w:val="14"/>
                <w:szCs w:val="14"/>
                <w:color w:val="auto"/>
              </w:rPr>
              <w:t>Three months ended June 30,</w:t>
            </w:r>
          </w:p>
        </w:tc>
        <w:tc>
          <w:tcPr>
            <w:tcW w:w="4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040" w:type="dxa"/>
            <w:vAlign w:val="bottom"/>
            <w:gridSpan w:val="4"/>
          </w:tcPr>
          <w:p>
            <w:pPr>
              <w:ind w:left="340"/>
              <w:spacing w:after="0"/>
              <w:rPr>
                <w:sz w:val="20"/>
                <w:szCs w:val="20"/>
                <w:color w:val="auto"/>
              </w:rPr>
            </w:pPr>
            <w:r>
              <w:rPr>
                <w:rFonts w:ascii="Arial" w:cs="Arial" w:eastAsia="Arial" w:hAnsi="Arial"/>
                <w:sz w:val="14"/>
                <w:szCs w:val="14"/>
                <w:color w:val="auto"/>
              </w:rPr>
              <w:t>Three months ended June 30,</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3980" w:type="dxa"/>
            <w:vAlign w:val="bottom"/>
            <w:tcBorders>
              <w:bottom w:val="single" w:sz="8" w:color="auto"/>
            </w:tcBorders>
          </w:tcPr>
          <w:p>
            <w:pPr>
              <w:spacing w:after="0"/>
              <w:rPr>
                <w:sz w:val="14"/>
                <w:szCs w:val="14"/>
                <w:color w:val="auto"/>
              </w:rPr>
            </w:pPr>
          </w:p>
        </w:tc>
        <w:tc>
          <w:tcPr>
            <w:tcW w:w="1780" w:type="dxa"/>
            <w:vAlign w:val="bottom"/>
            <w:tcBorders>
              <w:bottom w:val="single" w:sz="8" w:color="auto"/>
            </w:tcBorders>
            <w:gridSpan w:val="3"/>
          </w:tcPr>
          <w:p>
            <w:pPr>
              <w:jc w:val="right"/>
              <w:ind w:right="227"/>
              <w:spacing w:after="0"/>
              <w:rPr>
                <w:sz w:val="20"/>
                <w:szCs w:val="20"/>
                <w:color w:val="auto"/>
              </w:rPr>
            </w:pPr>
            <w:r>
              <w:rPr>
                <w:rFonts w:ascii="Arial" w:cs="Arial" w:eastAsia="Arial" w:hAnsi="Arial"/>
                <w:sz w:val="14"/>
                <w:szCs w:val="14"/>
                <w:color w:val="auto"/>
              </w:rPr>
              <w:t>2011</w:t>
            </w:r>
          </w:p>
        </w:tc>
        <w:tc>
          <w:tcPr>
            <w:tcW w:w="4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226"/>
              <w:spacing w:after="0"/>
              <w:rPr>
                <w:sz w:val="20"/>
                <w:szCs w:val="20"/>
                <w:color w:val="auto"/>
              </w:rPr>
            </w:pPr>
            <w:r>
              <w:rPr>
                <w:rFonts w:ascii="Arial" w:cs="Arial" w:eastAsia="Arial" w:hAnsi="Arial"/>
                <w:sz w:val="14"/>
                <w:szCs w:val="14"/>
                <w:color w:val="auto"/>
              </w:rPr>
              <w:t>2010</w:t>
            </w:r>
          </w:p>
        </w:tc>
        <w:tc>
          <w:tcPr>
            <w:tcW w:w="4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right"/>
              <w:ind w:right="661"/>
              <w:spacing w:after="0"/>
              <w:rPr>
                <w:sz w:val="20"/>
                <w:szCs w:val="20"/>
                <w:color w:val="auto"/>
              </w:rPr>
            </w:pPr>
            <w:r>
              <w:rPr>
                <w:rFonts w:ascii="Arial" w:cs="Arial" w:eastAsia="Arial" w:hAnsi="Arial"/>
                <w:sz w:val="14"/>
                <w:szCs w:val="14"/>
                <w:color w:val="auto"/>
              </w:rPr>
              <w:t>2011</w:t>
            </w:r>
          </w:p>
        </w:tc>
        <w:tc>
          <w:tcPr>
            <w:tcW w:w="6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jc w:val="right"/>
              <w:ind w:right="660"/>
              <w:spacing w:after="0"/>
              <w:rPr>
                <w:sz w:val="20"/>
                <w:szCs w:val="20"/>
                <w:color w:val="auto"/>
              </w:rPr>
            </w:pPr>
            <w:r>
              <w:rPr>
                <w:rFonts w:ascii="Arial" w:cs="Arial" w:eastAsia="Arial" w:hAnsi="Arial"/>
                <w:sz w:val="14"/>
                <w:szCs w:val="14"/>
                <w:color w:val="auto"/>
              </w:rPr>
              <w:t>2010</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3980" w:type="dxa"/>
            <w:vAlign w:val="bottom"/>
          </w:tcPr>
          <w:p>
            <w:pPr>
              <w:spacing w:after="0" w:line="164" w:lineRule="exact"/>
              <w:rPr>
                <w:sz w:val="20"/>
                <w:szCs w:val="20"/>
                <w:color w:val="auto"/>
              </w:rPr>
            </w:pPr>
            <w:r>
              <w:rPr>
                <w:rFonts w:ascii="Arial" w:cs="Arial" w:eastAsia="Arial" w:hAnsi="Arial"/>
                <w:sz w:val="16"/>
                <w:szCs w:val="16"/>
                <w:color w:val="auto"/>
              </w:rPr>
              <w:t>Service cost</w:t>
            </w:r>
          </w:p>
        </w:tc>
        <w:tc>
          <w:tcPr>
            <w:tcW w:w="740" w:type="dxa"/>
            <w:vAlign w:val="bottom"/>
            <w:gridSpan w:val="2"/>
          </w:tcPr>
          <w:p>
            <w:pPr>
              <w:jc w:val="right"/>
              <w:ind w:right="104"/>
              <w:spacing w:after="0" w:line="164" w:lineRule="exact"/>
              <w:rPr>
                <w:sz w:val="20"/>
                <w:szCs w:val="20"/>
                <w:color w:val="auto"/>
              </w:rPr>
            </w:pPr>
            <w:r>
              <w:rPr>
                <w:rFonts w:ascii="Arial" w:cs="Arial" w:eastAsia="Arial" w:hAnsi="Arial"/>
                <w:sz w:val="16"/>
                <w:szCs w:val="16"/>
                <w:color w:val="auto"/>
              </w:rPr>
              <w:t>$</w:t>
            </w:r>
          </w:p>
        </w:tc>
        <w:tc>
          <w:tcPr>
            <w:tcW w:w="1040" w:type="dxa"/>
            <w:vAlign w:val="bottom"/>
          </w:tcPr>
          <w:p>
            <w:pPr>
              <w:spacing w:after="0"/>
              <w:rPr>
                <w:sz w:val="14"/>
                <w:szCs w:val="14"/>
                <w:color w:val="auto"/>
              </w:rPr>
            </w:pPr>
          </w:p>
        </w:tc>
        <w:tc>
          <w:tcPr>
            <w:tcW w:w="420" w:type="dxa"/>
            <w:vAlign w:val="bottom"/>
          </w:tcPr>
          <w:p>
            <w:pPr>
              <w:jc w:val="right"/>
              <w:spacing w:after="0" w:line="164" w:lineRule="exact"/>
              <w:rPr>
                <w:sz w:val="20"/>
                <w:szCs w:val="20"/>
                <w:color w:val="auto"/>
              </w:rPr>
            </w:pPr>
            <w:r>
              <w:rPr>
                <w:rFonts w:ascii="Arial" w:cs="Arial" w:eastAsia="Arial" w:hAnsi="Arial"/>
                <w:sz w:val="16"/>
                <w:szCs w:val="16"/>
                <w:color w:val="auto"/>
              </w:rPr>
              <w:t>12</w:t>
            </w:r>
          </w:p>
        </w:tc>
        <w:tc>
          <w:tcPr>
            <w:tcW w:w="200" w:type="dxa"/>
            <w:vAlign w:val="bottom"/>
          </w:tcPr>
          <w:p>
            <w:pPr>
              <w:jc w:val="right"/>
              <w:ind w:right="40"/>
              <w:spacing w:after="0" w:line="164" w:lineRule="exact"/>
              <w:rPr>
                <w:sz w:val="20"/>
                <w:szCs w:val="20"/>
                <w:color w:val="auto"/>
              </w:rPr>
            </w:pPr>
            <w:r>
              <w:rPr>
                <w:rFonts w:ascii="Arial" w:cs="Arial" w:eastAsia="Arial" w:hAnsi="Arial"/>
                <w:sz w:val="15"/>
                <w:szCs w:val="15"/>
                <w:color w:val="auto"/>
                <w:w w:val="71"/>
              </w:rPr>
              <w:t>$</w:t>
            </w:r>
          </w:p>
        </w:tc>
        <w:tc>
          <w:tcPr>
            <w:tcW w:w="1100" w:type="dxa"/>
            <w:vAlign w:val="bottom"/>
          </w:tcPr>
          <w:p>
            <w:pPr>
              <w:spacing w:after="0"/>
              <w:rPr>
                <w:sz w:val="14"/>
                <w:szCs w:val="14"/>
                <w:color w:val="auto"/>
              </w:rPr>
            </w:pPr>
          </w:p>
        </w:tc>
        <w:tc>
          <w:tcPr>
            <w:tcW w:w="400" w:type="dxa"/>
            <w:vAlign w:val="bottom"/>
          </w:tcPr>
          <w:p>
            <w:pPr>
              <w:jc w:val="right"/>
              <w:spacing w:after="0" w:line="164" w:lineRule="exact"/>
              <w:rPr>
                <w:sz w:val="20"/>
                <w:szCs w:val="20"/>
                <w:color w:val="auto"/>
              </w:rPr>
            </w:pPr>
            <w:r>
              <w:rPr>
                <w:rFonts w:ascii="Arial" w:cs="Arial" w:eastAsia="Arial" w:hAnsi="Arial"/>
                <w:sz w:val="16"/>
                <w:szCs w:val="16"/>
                <w:color w:val="auto"/>
              </w:rPr>
              <w:t>11</w:t>
            </w:r>
          </w:p>
        </w:tc>
        <w:tc>
          <w:tcPr>
            <w:tcW w:w="160" w:type="dxa"/>
            <w:vAlign w:val="bottom"/>
          </w:tcPr>
          <w:p>
            <w:pPr>
              <w:jc w:val="right"/>
              <w:spacing w:after="0" w:line="164" w:lineRule="exact"/>
              <w:rPr>
                <w:sz w:val="20"/>
                <w:szCs w:val="20"/>
                <w:color w:val="auto"/>
              </w:rPr>
            </w:pPr>
            <w:r>
              <w:rPr>
                <w:rFonts w:ascii="Arial" w:cs="Arial" w:eastAsia="Arial" w:hAnsi="Arial"/>
                <w:sz w:val="16"/>
                <w:szCs w:val="16"/>
                <w:color w:val="auto"/>
              </w:rPr>
              <w:t>$</w:t>
            </w:r>
          </w:p>
        </w:tc>
        <w:tc>
          <w:tcPr>
            <w:tcW w:w="320" w:type="dxa"/>
            <w:vAlign w:val="bottom"/>
          </w:tcPr>
          <w:p>
            <w:pPr>
              <w:spacing w:after="0"/>
              <w:rPr>
                <w:sz w:val="14"/>
                <w:szCs w:val="14"/>
                <w:color w:val="auto"/>
              </w:rPr>
            </w:pPr>
          </w:p>
        </w:tc>
        <w:tc>
          <w:tcPr>
            <w:tcW w:w="1300" w:type="dxa"/>
            <w:vAlign w:val="bottom"/>
          </w:tcPr>
          <w:p>
            <w:pPr>
              <w:jc w:val="right"/>
              <w:spacing w:after="0" w:line="164" w:lineRule="exact"/>
              <w:rPr>
                <w:sz w:val="20"/>
                <w:szCs w:val="20"/>
                <w:color w:val="auto"/>
              </w:rPr>
            </w:pPr>
            <w:r>
              <w:rPr>
                <w:rFonts w:ascii="Arial" w:cs="Arial" w:eastAsia="Arial" w:hAnsi="Arial"/>
                <w:sz w:val="16"/>
                <w:szCs w:val="16"/>
                <w:color w:val="auto"/>
              </w:rPr>
              <w:t>5</w:t>
            </w:r>
          </w:p>
        </w:tc>
        <w:tc>
          <w:tcPr>
            <w:tcW w:w="420" w:type="dxa"/>
            <w:vAlign w:val="bottom"/>
            <w:gridSpan w:val="2"/>
          </w:tcPr>
          <w:p>
            <w:pPr>
              <w:jc w:val="center"/>
              <w:ind w:right="264"/>
              <w:spacing w:after="0" w:line="164" w:lineRule="exact"/>
              <w:rPr>
                <w:sz w:val="20"/>
                <w:szCs w:val="20"/>
                <w:color w:val="auto"/>
              </w:rPr>
            </w:pPr>
            <w:r>
              <w:rPr>
                <w:rFonts w:ascii="Arial" w:cs="Arial" w:eastAsia="Arial" w:hAnsi="Arial"/>
                <w:sz w:val="16"/>
                <w:szCs w:val="16"/>
                <w:color w:val="auto"/>
                <w:w w:val="89"/>
              </w:rPr>
              <w:t>$</w:t>
            </w:r>
          </w:p>
        </w:tc>
        <w:tc>
          <w:tcPr>
            <w:tcW w:w="1320" w:type="dxa"/>
            <w:vAlign w:val="bottom"/>
          </w:tcPr>
          <w:p>
            <w:pPr>
              <w:jc w:val="right"/>
              <w:spacing w:after="0" w:line="164" w:lineRule="exact"/>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176"/>
        </w:trPr>
        <w:tc>
          <w:tcPr>
            <w:tcW w:w="4000" w:type="dxa"/>
            <w:vAlign w:val="bottom"/>
            <w:gridSpan w:val="2"/>
          </w:tcPr>
          <w:p>
            <w:pPr>
              <w:spacing w:after="0" w:line="176" w:lineRule="exact"/>
              <w:rPr>
                <w:sz w:val="20"/>
                <w:szCs w:val="20"/>
                <w:color w:val="auto"/>
              </w:rPr>
            </w:pPr>
            <w:r>
              <w:rPr>
                <w:rFonts w:ascii="Arial" w:cs="Arial" w:eastAsia="Arial" w:hAnsi="Arial"/>
                <w:sz w:val="16"/>
                <w:szCs w:val="16"/>
                <w:color w:val="auto"/>
              </w:rPr>
              <w:t>Interest cost</w:t>
            </w:r>
          </w:p>
        </w:tc>
        <w:tc>
          <w:tcPr>
            <w:tcW w:w="4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420" w:type="dxa"/>
            <w:vAlign w:val="bottom"/>
          </w:tcPr>
          <w:p>
            <w:pPr>
              <w:jc w:val="right"/>
              <w:spacing w:after="0" w:line="176" w:lineRule="exact"/>
              <w:rPr>
                <w:sz w:val="20"/>
                <w:szCs w:val="20"/>
                <w:color w:val="auto"/>
              </w:rPr>
            </w:pPr>
            <w:r>
              <w:rPr>
                <w:rFonts w:ascii="Arial" w:cs="Arial" w:eastAsia="Arial" w:hAnsi="Arial"/>
                <w:sz w:val="16"/>
                <w:szCs w:val="16"/>
                <w:color w:val="auto"/>
              </w:rPr>
              <w:t>25</w:t>
            </w:r>
          </w:p>
        </w:tc>
        <w:tc>
          <w:tcPr>
            <w:tcW w:w="2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400" w:type="dxa"/>
            <w:vAlign w:val="bottom"/>
          </w:tcPr>
          <w:p>
            <w:pPr>
              <w:jc w:val="right"/>
              <w:spacing w:after="0" w:line="176" w:lineRule="exact"/>
              <w:rPr>
                <w:sz w:val="20"/>
                <w:szCs w:val="20"/>
                <w:color w:val="auto"/>
              </w:rPr>
            </w:pPr>
            <w:r>
              <w:rPr>
                <w:rFonts w:ascii="Arial" w:cs="Arial" w:eastAsia="Arial" w:hAnsi="Arial"/>
                <w:sz w:val="16"/>
                <w:szCs w:val="16"/>
                <w:color w:val="auto"/>
              </w:rPr>
              <w:t>24</w:t>
            </w:r>
          </w:p>
        </w:tc>
        <w:tc>
          <w:tcPr>
            <w:tcW w:w="1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300" w:type="dxa"/>
            <w:vAlign w:val="bottom"/>
          </w:tcPr>
          <w:p>
            <w:pPr>
              <w:jc w:val="right"/>
              <w:spacing w:after="0" w:line="176" w:lineRule="exact"/>
              <w:rPr>
                <w:sz w:val="20"/>
                <w:szCs w:val="20"/>
                <w:color w:val="auto"/>
              </w:rPr>
            </w:pPr>
            <w:r>
              <w:rPr>
                <w:rFonts w:ascii="Arial" w:cs="Arial" w:eastAsia="Arial" w:hAnsi="Arial"/>
                <w:sz w:val="16"/>
                <w:szCs w:val="16"/>
                <w:color w:val="auto"/>
              </w:rPr>
              <w:t>14</w:t>
            </w:r>
          </w:p>
        </w:tc>
        <w:tc>
          <w:tcPr>
            <w:tcW w:w="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320" w:type="dxa"/>
            <w:vAlign w:val="bottom"/>
          </w:tcPr>
          <w:p>
            <w:pPr>
              <w:jc w:val="right"/>
              <w:spacing w:after="0" w:line="176" w:lineRule="exact"/>
              <w:rPr>
                <w:sz w:val="20"/>
                <w:szCs w:val="20"/>
                <w:color w:val="auto"/>
              </w:rPr>
            </w:pPr>
            <w:r>
              <w:rPr>
                <w:rFonts w:ascii="Arial" w:cs="Arial" w:eastAsia="Arial" w:hAnsi="Arial"/>
                <w:sz w:val="16"/>
                <w:szCs w:val="16"/>
                <w:color w:val="auto"/>
              </w:rPr>
              <w:t>11</w:t>
            </w:r>
          </w:p>
        </w:tc>
        <w:tc>
          <w:tcPr>
            <w:tcW w:w="0" w:type="dxa"/>
            <w:vAlign w:val="bottom"/>
          </w:tcPr>
          <w:p>
            <w:pPr>
              <w:spacing w:after="0"/>
              <w:rPr>
                <w:sz w:val="1"/>
                <w:szCs w:val="1"/>
                <w:color w:val="auto"/>
              </w:rPr>
            </w:pPr>
          </w:p>
        </w:tc>
      </w:tr>
      <w:tr>
        <w:trPr>
          <w:trHeight w:val="176"/>
        </w:trPr>
        <w:tc>
          <w:tcPr>
            <w:tcW w:w="4000" w:type="dxa"/>
            <w:vAlign w:val="bottom"/>
            <w:gridSpan w:val="2"/>
          </w:tcPr>
          <w:p>
            <w:pPr>
              <w:spacing w:after="0" w:line="176" w:lineRule="exact"/>
              <w:rPr>
                <w:sz w:val="20"/>
                <w:szCs w:val="20"/>
                <w:color w:val="auto"/>
              </w:rPr>
            </w:pPr>
            <w:r>
              <w:rPr>
                <w:rFonts w:ascii="Arial" w:cs="Arial" w:eastAsia="Arial" w:hAnsi="Arial"/>
                <w:sz w:val="16"/>
                <w:szCs w:val="16"/>
                <w:color w:val="auto"/>
              </w:rPr>
              <w:t>Expected return on assets</w:t>
            </w:r>
          </w:p>
        </w:tc>
        <w:tc>
          <w:tcPr>
            <w:tcW w:w="4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420" w:type="dxa"/>
            <w:vAlign w:val="bottom"/>
          </w:tcPr>
          <w:p>
            <w:pPr>
              <w:jc w:val="right"/>
              <w:spacing w:after="0" w:line="176" w:lineRule="exact"/>
              <w:rPr>
                <w:sz w:val="20"/>
                <w:szCs w:val="20"/>
                <w:color w:val="auto"/>
              </w:rPr>
            </w:pPr>
            <w:r>
              <w:rPr>
                <w:rFonts w:ascii="Arial" w:cs="Arial" w:eastAsia="Arial" w:hAnsi="Arial"/>
                <w:sz w:val="16"/>
                <w:szCs w:val="16"/>
                <w:color w:val="auto"/>
              </w:rPr>
              <w:t>(21)</w:t>
            </w:r>
          </w:p>
        </w:tc>
        <w:tc>
          <w:tcPr>
            <w:tcW w:w="2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560" w:type="dxa"/>
            <w:vAlign w:val="bottom"/>
            <w:gridSpan w:val="2"/>
          </w:tcPr>
          <w:p>
            <w:pPr>
              <w:jc w:val="right"/>
              <w:ind w:right="39"/>
              <w:spacing w:after="0" w:line="176" w:lineRule="exact"/>
              <w:rPr>
                <w:sz w:val="20"/>
                <w:szCs w:val="20"/>
                <w:color w:val="auto"/>
              </w:rPr>
            </w:pPr>
            <w:r>
              <w:rPr>
                <w:rFonts w:ascii="Arial" w:cs="Arial" w:eastAsia="Arial" w:hAnsi="Arial"/>
                <w:sz w:val="16"/>
                <w:szCs w:val="16"/>
                <w:color w:val="auto"/>
              </w:rPr>
              <w:t>(22)</w:t>
            </w:r>
          </w:p>
        </w:tc>
        <w:tc>
          <w:tcPr>
            <w:tcW w:w="320" w:type="dxa"/>
            <w:vAlign w:val="bottom"/>
          </w:tcPr>
          <w:p>
            <w:pPr>
              <w:spacing w:after="0"/>
              <w:rPr>
                <w:sz w:val="15"/>
                <w:szCs w:val="15"/>
                <w:color w:val="auto"/>
              </w:rPr>
            </w:pPr>
          </w:p>
        </w:tc>
        <w:tc>
          <w:tcPr>
            <w:tcW w:w="1300" w:type="dxa"/>
            <w:vAlign w:val="bottom"/>
          </w:tcPr>
          <w:p>
            <w:pPr>
              <w:jc w:val="right"/>
              <w:spacing w:after="0" w:line="176" w:lineRule="exact"/>
              <w:rPr>
                <w:sz w:val="20"/>
                <w:szCs w:val="20"/>
                <w:color w:val="auto"/>
              </w:rPr>
            </w:pPr>
            <w:r>
              <w:rPr>
                <w:rFonts w:ascii="Arial" w:cs="Arial" w:eastAsia="Arial" w:hAnsi="Arial"/>
                <w:sz w:val="16"/>
                <w:szCs w:val="16"/>
                <w:color w:val="auto"/>
              </w:rPr>
              <w:t>(10)</w:t>
            </w:r>
          </w:p>
        </w:tc>
        <w:tc>
          <w:tcPr>
            <w:tcW w:w="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320" w:type="dxa"/>
            <w:vAlign w:val="bottom"/>
          </w:tcPr>
          <w:p>
            <w:pPr>
              <w:jc w:val="right"/>
              <w:spacing w:after="0" w:line="176" w:lineRule="exact"/>
              <w:rPr>
                <w:sz w:val="20"/>
                <w:szCs w:val="20"/>
                <w:color w:val="auto"/>
              </w:rPr>
            </w:pPr>
            <w:r>
              <w:rPr>
                <w:rFonts w:ascii="Arial" w:cs="Arial" w:eastAsia="Arial" w:hAnsi="Arial"/>
                <w:sz w:val="16"/>
                <w:szCs w:val="16"/>
                <w:color w:val="auto"/>
              </w:rPr>
              <w:t>(10)</w:t>
            </w:r>
          </w:p>
        </w:tc>
        <w:tc>
          <w:tcPr>
            <w:tcW w:w="0" w:type="dxa"/>
            <w:vAlign w:val="bottom"/>
          </w:tcPr>
          <w:p>
            <w:pPr>
              <w:spacing w:after="0"/>
              <w:rPr>
                <w:sz w:val="1"/>
                <w:szCs w:val="1"/>
                <w:color w:val="auto"/>
              </w:rPr>
            </w:pPr>
          </w:p>
        </w:tc>
      </w:tr>
      <w:tr>
        <w:trPr>
          <w:trHeight w:val="176"/>
        </w:trPr>
        <w:tc>
          <w:tcPr>
            <w:tcW w:w="4000" w:type="dxa"/>
            <w:vAlign w:val="bottom"/>
            <w:gridSpan w:val="2"/>
          </w:tcPr>
          <w:p>
            <w:pPr>
              <w:spacing w:after="0" w:line="176" w:lineRule="exact"/>
              <w:rPr>
                <w:sz w:val="20"/>
                <w:szCs w:val="20"/>
                <w:color w:val="auto"/>
              </w:rPr>
            </w:pPr>
            <w:r>
              <w:rPr>
                <w:rFonts w:ascii="Arial" w:cs="Arial" w:eastAsia="Arial" w:hAnsi="Arial"/>
                <w:sz w:val="16"/>
                <w:szCs w:val="16"/>
                <w:color w:val="auto"/>
              </w:rPr>
              <w:t>Amortization of:</w:t>
            </w:r>
          </w:p>
        </w:tc>
        <w:tc>
          <w:tcPr>
            <w:tcW w:w="4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980" w:type="dxa"/>
            <w:vAlign w:val="bottom"/>
          </w:tcPr>
          <w:p>
            <w:pPr>
              <w:ind w:left="160"/>
              <w:spacing w:after="0" w:line="176" w:lineRule="exact"/>
              <w:rPr>
                <w:sz w:val="20"/>
                <w:szCs w:val="20"/>
                <w:color w:val="auto"/>
              </w:rPr>
            </w:pPr>
            <w:r>
              <w:rPr>
                <w:rFonts w:ascii="Arial" w:cs="Arial" w:eastAsia="Arial" w:hAnsi="Arial"/>
                <w:sz w:val="16"/>
                <w:szCs w:val="16"/>
                <w:color w:val="auto"/>
              </w:rPr>
              <w:t>Prior service credit</w:t>
            </w:r>
          </w:p>
        </w:tc>
        <w:tc>
          <w:tcPr>
            <w:tcW w:w="4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420" w:type="dxa"/>
            <w:vAlign w:val="bottom"/>
          </w:tcPr>
          <w:p>
            <w:pPr>
              <w:jc w:val="right"/>
              <w:spacing w:after="0" w:line="176" w:lineRule="exact"/>
              <w:rPr>
                <w:sz w:val="20"/>
                <w:szCs w:val="20"/>
                <w:color w:val="auto"/>
              </w:rPr>
            </w:pPr>
            <w:r>
              <w:rPr>
                <w:rFonts w:ascii="Arial" w:cs="Arial" w:eastAsia="Arial" w:hAnsi="Arial"/>
                <w:sz w:val="16"/>
                <w:szCs w:val="16"/>
                <w:color w:val="auto"/>
              </w:rPr>
              <w:t>―</w:t>
            </w:r>
          </w:p>
        </w:tc>
        <w:tc>
          <w:tcPr>
            <w:tcW w:w="2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400" w:type="dxa"/>
            <w:vAlign w:val="bottom"/>
          </w:tcPr>
          <w:p>
            <w:pPr>
              <w:jc w:val="right"/>
              <w:spacing w:after="0" w:line="176" w:lineRule="exact"/>
              <w:rPr>
                <w:sz w:val="20"/>
                <w:szCs w:val="20"/>
                <w:color w:val="auto"/>
              </w:rPr>
            </w:pPr>
            <w:r>
              <w:rPr>
                <w:rFonts w:ascii="Arial" w:cs="Arial" w:eastAsia="Arial" w:hAnsi="Arial"/>
                <w:sz w:val="16"/>
                <w:szCs w:val="16"/>
                <w:color w:val="auto"/>
              </w:rPr>
              <w:t>―</w:t>
            </w:r>
          </w:p>
        </w:tc>
        <w:tc>
          <w:tcPr>
            <w:tcW w:w="1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300" w:type="dxa"/>
            <w:vAlign w:val="bottom"/>
          </w:tcPr>
          <w:p>
            <w:pPr>
              <w:jc w:val="right"/>
              <w:spacing w:after="0" w:line="176" w:lineRule="exact"/>
              <w:rPr>
                <w:sz w:val="20"/>
                <w:szCs w:val="20"/>
                <w:color w:val="auto"/>
              </w:rPr>
            </w:pPr>
            <w:r>
              <w:rPr>
                <w:rFonts w:ascii="Arial" w:cs="Arial" w:eastAsia="Arial" w:hAnsi="Arial"/>
                <w:sz w:val="16"/>
                <w:szCs w:val="16"/>
                <w:color w:val="auto"/>
              </w:rPr>
              <w:t>(1)</w:t>
            </w:r>
          </w:p>
        </w:tc>
        <w:tc>
          <w:tcPr>
            <w:tcW w:w="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320" w:type="dxa"/>
            <w:vAlign w:val="bottom"/>
          </w:tcPr>
          <w:p>
            <w:pPr>
              <w:jc w:val="right"/>
              <w:spacing w:after="0" w:line="176" w:lineRule="exact"/>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980" w:type="dxa"/>
            <w:vAlign w:val="bottom"/>
          </w:tcPr>
          <w:p>
            <w:pPr>
              <w:ind w:left="160"/>
              <w:spacing w:after="0" w:line="176" w:lineRule="exact"/>
              <w:rPr>
                <w:sz w:val="20"/>
                <w:szCs w:val="20"/>
                <w:color w:val="auto"/>
              </w:rPr>
            </w:pPr>
            <w:r>
              <w:rPr>
                <w:rFonts w:ascii="Arial" w:cs="Arial" w:eastAsia="Arial" w:hAnsi="Arial"/>
                <w:sz w:val="16"/>
                <w:szCs w:val="16"/>
                <w:color w:val="auto"/>
              </w:rPr>
              <w:t>Actuarial loss</w:t>
            </w:r>
          </w:p>
        </w:tc>
        <w:tc>
          <w:tcPr>
            <w:tcW w:w="4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420" w:type="dxa"/>
            <w:vAlign w:val="bottom"/>
          </w:tcPr>
          <w:p>
            <w:pPr>
              <w:jc w:val="right"/>
              <w:spacing w:after="0" w:line="176" w:lineRule="exact"/>
              <w:rPr>
                <w:sz w:val="20"/>
                <w:szCs w:val="20"/>
                <w:color w:val="auto"/>
              </w:rPr>
            </w:pPr>
            <w:r>
              <w:rPr>
                <w:rFonts w:ascii="Arial" w:cs="Arial" w:eastAsia="Arial" w:hAnsi="Arial"/>
                <w:sz w:val="16"/>
                <w:szCs w:val="16"/>
                <w:color w:val="auto"/>
              </w:rPr>
              <w:t>4</w:t>
            </w:r>
          </w:p>
        </w:tc>
        <w:tc>
          <w:tcPr>
            <w:tcW w:w="2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400" w:type="dxa"/>
            <w:vAlign w:val="bottom"/>
          </w:tcPr>
          <w:p>
            <w:pPr>
              <w:jc w:val="right"/>
              <w:spacing w:after="0" w:line="176" w:lineRule="exact"/>
              <w:rPr>
                <w:sz w:val="20"/>
                <w:szCs w:val="20"/>
                <w:color w:val="auto"/>
              </w:rPr>
            </w:pPr>
            <w:r>
              <w:rPr>
                <w:rFonts w:ascii="Arial" w:cs="Arial" w:eastAsia="Arial" w:hAnsi="Arial"/>
                <w:sz w:val="16"/>
                <w:szCs w:val="16"/>
                <w:color w:val="auto"/>
              </w:rPr>
              <w:t>2</w:t>
            </w:r>
          </w:p>
        </w:tc>
        <w:tc>
          <w:tcPr>
            <w:tcW w:w="1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300" w:type="dxa"/>
            <w:vAlign w:val="bottom"/>
          </w:tcPr>
          <w:p>
            <w:pPr>
              <w:jc w:val="right"/>
              <w:spacing w:after="0" w:line="176" w:lineRule="exact"/>
              <w:rPr>
                <w:sz w:val="20"/>
                <w:szCs w:val="20"/>
                <w:color w:val="auto"/>
              </w:rPr>
            </w:pPr>
            <w:r>
              <w:rPr>
                <w:rFonts w:ascii="Arial" w:cs="Arial" w:eastAsia="Arial" w:hAnsi="Arial"/>
                <w:sz w:val="16"/>
                <w:szCs w:val="16"/>
                <w:color w:val="auto"/>
              </w:rPr>
              <w:t>4</w:t>
            </w:r>
          </w:p>
        </w:tc>
        <w:tc>
          <w:tcPr>
            <w:tcW w:w="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320" w:type="dxa"/>
            <w:vAlign w:val="bottom"/>
          </w:tcPr>
          <w:p>
            <w:pPr>
              <w:jc w:val="right"/>
              <w:spacing w:after="0" w:line="176" w:lineRule="exact"/>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176"/>
        </w:trPr>
        <w:tc>
          <w:tcPr>
            <w:tcW w:w="4000" w:type="dxa"/>
            <w:vAlign w:val="bottom"/>
            <w:gridSpan w:val="2"/>
          </w:tcPr>
          <w:p>
            <w:pPr>
              <w:spacing w:after="0" w:line="176" w:lineRule="exact"/>
              <w:rPr>
                <w:sz w:val="20"/>
                <w:szCs w:val="20"/>
                <w:color w:val="auto"/>
              </w:rPr>
            </w:pPr>
            <w:r>
              <w:rPr>
                <w:rFonts w:ascii="Arial" w:cs="Arial" w:eastAsia="Arial" w:hAnsi="Arial"/>
                <w:sz w:val="16"/>
                <w:szCs w:val="16"/>
                <w:color w:val="auto"/>
              </w:rPr>
              <w:t>Settlement</w:t>
            </w:r>
          </w:p>
        </w:tc>
        <w:tc>
          <w:tcPr>
            <w:tcW w:w="4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420" w:type="dxa"/>
            <w:vAlign w:val="bottom"/>
          </w:tcPr>
          <w:p>
            <w:pPr>
              <w:jc w:val="right"/>
              <w:spacing w:after="0" w:line="176" w:lineRule="exact"/>
              <w:rPr>
                <w:sz w:val="20"/>
                <w:szCs w:val="20"/>
                <w:color w:val="auto"/>
              </w:rPr>
            </w:pPr>
            <w:r>
              <w:rPr>
                <w:rFonts w:ascii="Arial" w:cs="Arial" w:eastAsia="Arial" w:hAnsi="Arial"/>
                <w:sz w:val="16"/>
                <w:szCs w:val="16"/>
                <w:color w:val="auto"/>
              </w:rPr>
              <w:t>1</w:t>
            </w:r>
          </w:p>
        </w:tc>
        <w:tc>
          <w:tcPr>
            <w:tcW w:w="2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400" w:type="dxa"/>
            <w:vAlign w:val="bottom"/>
          </w:tcPr>
          <w:p>
            <w:pPr>
              <w:jc w:val="right"/>
              <w:spacing w:after="0" w:line="176" w:lineRule="exact"/>
              <w:rPr>
                <w:sz w:val="20"/>
                <w:szCs w:val="20"/>
                <w:color w:val="auto"/>
              </w:rPr>
            </w:pPr>
            <w:r>
              <w:rPr>
                <w:rFonts w:ascii="Arial" w:cs="Arial" w:eastAsia="Arial" w:hAnsi="Arial"/>
                <w:sz w:val="16"/>
                <w:szCs w:val="16"/>
                <w:color w:val="auto"/>
              </w:rPr>
              <w:t>―</w:t>
            </w:r>
          </w:p>
        </w:tc>
        <w:tc>
          <w:tcPr>
            <w:tcW w:w="1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300" w:type="dxa"/>
            <w:vAlign w:val="bottom"/>
          </w:tcPr>
          <w:p>
            <w:pPr>
              <w:jc w:val="right"/>
              <w:spacing w:after="0" w:line="176" w:lineRule="exact"/>
              <w:rPr>
                <w:sz w:val="20"/>
                <w:szCs w:val="20"/>
                <w:color w:val="auto"/>
              </w:rPr>
            </w:pPr>
            <w:r>
              <w:rPr>
                <w:rFonts w:ascii="Arial" w:cs="Arial" w:eastAsia="Arial" w:hAnsi="Arial"/>
                <w:sz w:val="16"/>
                <w:szCs w:val="16"/>
                <w:color w:val="auto"/>
              </w:rPr>
              <w:t>―</w:t>
            </w:r>
          </w:p>
        </w:tc>
        <w:tc>
          <w:tcPr>
            <w:tcW w:w="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320" w:type="dxa"/>
            <w:vAlign w:val="bottom"/>
          </w:tcPr>
          <w:p>
            <w:pPr>
              <w:jc w:val="right"/>
              <w:spacing w:after="0" w:line="176" w:lineRule="exact"/>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4"/>
        </w:trPr>
        <w:tc>
          <w:tcPr>
            <w:tcW w:w="4000" w:type="dxa"/>
            <w:vAlign w:val="bottom"/>
            <w:gridSpan w:val="2"/>
          </w:tcPr>
          <w:p>
            <w:pPr>
              <w:spacing w:after="0"/>
              <w:rPr>
                <w:sz w:val="20"/>
                <w:szCs w:val="20"/>
                <w:color w:val="auto"/>
              </w:rPr>
            </w:pPr>
            <w:r>
              <w:rPr>
                <w:rFonts w:ascii="Arial" w:cs="Arial" w:eastAsia="Arial" w:hAnsi="Arial"/>
                <w:sz w:val="16"/>
                <w:szCs w:val="16"/>
                <w:color w:val="auto"/>
              </w:rPr>
              <w:t>Regulatory adjustment</w:t>
            </w:r>
          </w:p>
        </w:tc>
        <w:tc>
          <w:tcPr>
            <w:tcW w:w="4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w:t>
            </w:r>
          </w:p>
        </w:tc>
        <w:tc>
          <w:tcPr>
            <w:tcW w:w="2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w:t>
            </w:r>
          </w:p>
        </w:tc>
        <w:tc>
          <w:tcPr>
            <w:tcW w:w="16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w:t>
            </w:r>
          </w:p>
        </w:tc>
        <w:tc>
          <w:tcPr>
            <w:tcW w:w="6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183"/>
        </w:trPr>
        <w:tc>
          <w:tcPr>
            <w:tcW w:w="4000" w:type="dxa"/>
            <w:vAlign w:val="bottom"/>
            <w:gridSpan w:val="2"/>
          </w:tcPr>
          <w:p>
            <w:pPr>
              <w:spacing w:after="0" w:line="176" w:lineRule="exact"/>
              <w:rPr>
                <w:sz w:val="20"/>
                <w:szCs w:val="20"/>
                <w:color w:val="auto"/>
              </w:rPr>
            </w:pPr>
            <w:r>
              <w:rPr>
                <w:rFonts w:ascii="Arial" w:cs="Arial" w:eastAsia="Arial" w:hAnsi="Arial"/>
                <w:sz w:val="16"/>
                <w:szCs w:val="16"/>
                <w:color w:val="auto"/>
              </w:rPr>
              <w:t>Total net periodic benefit cost</w:t>
            </w:r>
          </w:p>
        </w:tc>
        <w:tc>
          <w:tcPr>
            <w:tcW w:w="480" w:type="dxa"/>
            <w:vAlign w:val="bottom"/>
          </w:tcPr>
          <w:p>
            <w:pPr>
              <w:spacing w:after="0"/>
              <w:rPr>
                <w:sz w:val="15"/>
                <w:szCs w:val="15"/>
                <w:color w:val="auto"/>
              </w:rPr>
            </w:pPr>
          </w:p>
        </w:tc>
        <w:tc>
          <w:tcPr>
            <w:tcW w:w="260" w:type="dxa"/>
            <w:vAlign w:val="bottom"/>
          </w:tcPr>
          <w:p>
            <w:pPr>
              <w:jc w:val="right"/>
              <w:ind w:right="104"/>
              <w:spacing w:after="0"/>
              <w:rPr>
                <w:sz w:val="20"/>
                <w:szCs w:val="20"/>
                <w:color w:val="auto"/>
              </w:rPr>
            </w:pPr>
            <w:r>
              <w:rPr>
                <w:rFonts w:ascii="Arial" w:cs="Arial" w:eastAsia="Arial" w:hAnsi="Arial"/>
                <w:sz w:val="15"/>
                <w:szCs w:val="15"/>
                <w:color w:val="auto"/>
                <w:w w:val="71"/>
              </w:rPr>
              <w:t>$</w:t>
            </w:r>
          </w:p>
        </w:tc>
        <w:tc>
          <w:tcPr>
            <w:tcW w:w="1040" w:type="dxa"/>
            <w:vAlign w:val="bottom"/>
          </w:tcPr>
          <w:p>
            <w:pPr>
              <w:spacing w:after="0"/>
              <w:rPr>
                <w:sz w:val="15"/>
                <w:szCs w:val="15"/>
                <w:color w:val="auto"/>
              </w:rPr>
            </w:pPr>
          </w:p>
        </w:tc>
        <w:tc>
          <w:tcPr>
            <w:tcW w:w="420" w:type="dxa"/>
            <w:vAlign w:val="bottom"/>
          </w:tcPr>
          <w:p>
            <w:pPr>
              <w:jc w:val="right"/>
              <w:spacing w:after="0" w:line="176" w:lineRule="exact"/>
              <w:rPr>
                <w:sz w:val="20"/>
                <w:szCs w:val="20"/>
                <w:color w:val="auto"/>
              </w:rPr>
            </w:pPr>
            <w:r>
              <w:rPr>
                <w:rFonts w:ascii="Arial" w:cs="Arial" w:eastAsia="Arial" w:hAnsi="Arial"/>
                <w:sz w:val="16"/>
                <w:szCs w:val="16"/>
                <w:color w:val="auto"/>
              </w:rPr>
              <w:t>18</w:t>
            </w:r>
          </w:p>
        </w:tc>
        <w:tc>
          <w:tcPr>
            <w:tcW w:w="200" w:type="dxa"/>
            <w:vAlign w:val="bottom"/>
          </w:tcPr>
          <w:p>
            <w:pPr>
              <w:jc w:val="right"/>
              <w:ind w:right="40"/>
              <w:spacing w:after="0"/>
              <w:rPr>
                <w:sz w:val="20"/>
                <w:szCs w:val="20"/>
                <w:color w:val="auto"/>
              </w:rPr>
            </w:pPr>
            <w:r>
              <w:rPr>
                <w:rFonts w:ascii="Arial" w:cs="Arial" w:eastAsia="Arial" w:hAnsi="Arial"/>
                <w:sz w:val="15"/>
                <w:szCs w:val="15"/>
                <w:color w:val="auto"/>
                <w:w w:val="71"/>
              </w:rPr>
              <w:t>$</w:t>
            </w:r>
          </w:p>
        </w:tc>
        <w:tc>
          <w:tcPr>
            <w:tcW w:w="1100" w:type="dxa"/>
            <w:vAlign w:val="bottom"/>
          </w:tcPr>
          <w:p>
            <w:pPr>
              <w:spacing w:after="0"/>
              <w:rPr>
                <w:sz w:val="15"/>
                <w:szCs w:val="15"/>
                <w:color w:val="auto"/>
              </w:rPr>
            </w:pPr>
          </w:p>
        </w:tc>
        <w:tc>
          <w:tcPr>
            <w:tcW w:w="400" w:type="dxa"/>
            <w:vAlign w:val="bottom"/>
          </w:tcPr>
          <w:p>
            <w:pPr>
              <w:jc w:val="right"/>
              <w:spacing w:after="0" w:line="176" w:lineRule="exact"/>
              <w:rPr>
                <w:sz w:val="20"/>
                <w:szCs w:val="20"/>
                <w:color w:val="auto"/>
              </w:rPr>
            </w:pPr>
            <w:r>
              <w:rPr>
                <w:rFonts w:ascii="Arial" w:cs="Arial" w:eastAsia="Arial" w:hAnsi="Arial"/>
                <w:sz w:val="16"/>
                <w:szCs w:val="16"/>
                <w:color w:val="auto"/>
              </w:rPr>
              <w:t>18</w:t>
            </w:r>
          </w:p>
        </w:tc>
        <w:tc>
          <w:tcPr>
            <w:tcW w:w="160" w:type="dxa"/>
            <w:vAlign w:val="bottom"/>
          </w:tcPr>
          <w:p>
            <w:pPr>
              <w:jc w:val="right"/>
              <w:spacing w:after="0" w:line="176" w:lineRule="exact"/>
              <w:rPr>
                <w:sz w:val="20"/>
                <w:szCs w:val="20"/>
                <w:color w:val="auto"/>
              </w:rPr>
            </w:pPr>
            <w:r>
              <w:rPr>
                <w:rFonts w:ascii="Arial" w:cs="Arial" w:eastAsia="Arial" w:hAnsi="Arial"/>
                <w:sz w:val="16"/>
                <w:szCs w:val="16"/>
                <w:color w:val="auto"/>
              </w:rPr>
              <w:t>$</w:t>
            </w:r>
          </w:p>
        </w:tc>
        <w:tc>
          <w:tcPr>
            <w:tcW w:w="320" w:type="dxa"/>
            <w:vAlign w:val="bottom"/>
          </w:tcPr>
          <w:p>
            <w:pPr>
              <w:spacing w:after="0"/>
              <w:rPr>
                <w:sz w:val="15"/>
                <w:szCs w:val="15"/>
                <w:color w:val="auto"/>
              </w:rPr>
            </w:pPr>
          </w:p>
        </w:tc>
        <w:tc>
          <w:tcPr>
            <w:tcW w:w="1300" w:type="dxa"/>
            <w:vAlign w:val="bottom"/>
          </w:tcPr>
          <w:p>
            <w:pPr>
              <w:jc w:val="right"/>
              <w:spacing w:after="0" w:line="176" w:lineRule="exact"/>
              <w:rPr>
                <w:sz w:val="20"/>
                <w:szCs w:val="20"/>
                <w:color w:val="auto"/>
              </w:rPr>
            </w:pPr>
            <w:r>
              <w:rPr>
                <w:rFonts w:ascii="Arial" w:cs="Arial" w:eastAsia="Arial" w:hAnsi="Arial"/>
                <w:sz w:val="16"/>
                <w:szCs w:val="16"/>
                <w:color w:val="auto"/>
              </w:rPr>
              <w:t>14</w:t>
            </w:r>
          </w:p>
        </w:tc>
        <w:tc>
          <w:tcPr>
            <w:tcW w:w="420" w:type="dxa"/>
            <w:vAlign w:val="bottom"/>
            <w:gridSpan w:val="2"/>
          </w:tcPr>
          <w:p>
            <w:pPr>
              <w:jc w:val="center"/>
              <w:ind w:right="264"/>
              <w:spacing w:after="0" w:line="176" w:lineRule="exact"/>
              <w:rPr>
                <w:sz w:val="20"/>
                <w:szCs w:val="20"/>
                <w:color w:val="auto"/>
              </w:rPr>
            </w:pPr>
            <w:r>
              <w:rPr>
                <w:rFonts w:ascii="Arial" w:cs="Arial" w:eastAsia="Arial" w:hAnsi="Arial"/>
                <w:sz w:val="16"/>
                <w:szCs w:val="16"/>
                <w:color w:val="auto"/>
                <w:w w:val="89"/>
              </w:rPr>
              <w:t>$</w:t>
            </w:r>
          </w:p>
        </w:tc>
        <w:tc>
          <w:tcPr>
            <w:tcW w:w="1320" w:type="dxa"/>
            <w:vAlign w:val="bottom"/>
          </w:tcPr>
          <w:p>
            <w:pPr>
              <w:jc w:val="right"/>
              <w:spacing w:after="0" w:line="176" w:lineRule="exact"/>
              <w:rPr>
                <w:sz w:val="20"/>
                <w:szCs w:val="20"/>
                <w:color w:val="auto"/>
              </w:rPr>
            </w:pPr>
            <w:r>
              <w:rPr>
                <w:rFonts w:ascii="Arial" w:cs="Arial" w:eastAsia="Arial" w:hAnsi="Arial"/>
                <w:sz w:val="16"/>
                <w:szCs w:val="16"/>
                <w:color w:val="auto"/>
              </w:rPr>
              <w:t>9</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3980" w:type="dxa"/>
            <w:vAlign w:val="bottom"/>
            <w:tcBorders>
              <w:top w:val="single" w:sz="8" w:color="auto"/>
            </w:tcBorders>
          </w:tcPr>
          <w:p>
            <w:pPr>
              <w:spacing w:after="0"/>
              <w:rPr>
                <w:sz w:val="16"/>
                <w:szCs w:val="16"/>
                <w:color w:val="auto"/>
              </w:rPr>
            </w:pPr>
          </w:p>
        </w:tc>
        <w:tc>
          <w:tcPr>
            <w:tcW w:w="480" w:type="dxa"/>
            <w:vAlign w:val="bottom"/>
            <w:tcBorders>
              <w:top w:val="single" w:sz="8" w:color="auto"/>
            </w:tcBorders>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2760" w:type="dxa"/>
            <w:vAlign w:val="bottom"/>
            <w:tcBorders>
              <w:top w:val="single" w:sz="8" w:color="auto"/>
            </w:tcBorders>
            <w:gridSpan w:val="4"/>
          </w:tcPr>
          <w:p>
            <w:pPr>
              <w:jc w:val="center"/>
              <w:ind w:left="107"/>
              <w:spacing w:after="0"/>
              <w:rPr>
                <w:sz w:val="20"/>
                <w:szCs w:val="20"/>
                <w:color w:val="auto"/>
              </w:rPr>
            </w:pPr>
            <w:r>
              <w:rPr>
                <w:rFonts w:ascii="Arial" w:cs="Arial" w:eastAsia="Arial" w:hAnsi="Arial"/>
                <w:sz w:val="14"/>
                <w:szCs w:val="14"/>
                <w:color w:val="auto"/>
              </w:rPr>
              <w:t>Six months ended June 30,</w:t>
            </w:r>
          </w:p>
        </w:tc>
        <w:tc>
          <w:tcPr>
            <w:tcW w:w="40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3040" w:type="dxa"/>
            <w:vAlign w:val="bottom"/>
            <w:tcBorders>
              <w:top w:val="single" w:sz="8" w:color="auto"/>
            </w:tcBorders>
            <w:gridSpan w:val="4"/>
          </w:tcPr>
          <w:p>
            <w:pPr>
              <w:jc w:val="right"/>
              <w:ind w:right="800"/>
              <w:spacing w:after="0"/>
              <w:rPr>
                <w:sz w:val="20"/>
                <w:szCs w:val="20"/>
                <w:color w:val="auto"/>
              </w:rPr>
            </w:pPr>
            <w:r>
              <w:rPr>
                <w:rFonts w:ascii="Arial" w:cs="Arial" w:eastAsia="Arial" w:hAnsi="Arial"/>
                <w:sz w:val="14"/>
                <w:szCs w:val="14"/>
                <w:color w:val="auto"/>
              </w:rPr>
              <w:t>Six months ended June 30,</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3980" w:type="dxa"/>
            <w:vAlign w:val="bottom"/>
            <w:tcBorders>
              <w:bottom w:val="single" w:sz="8" w:color="auto"/>
            </w:tcBorders>
          </w:tcPr>
          <w:p>
            <w:pPr>
              <w:spacing w:after="0"/>
              <w:rPr>
                <w:sz w:val="14"/>
                <w:szCs w:val="14"/>
                <w:color w:val="auto"/>
              </w:rPr>
            </w:pPr>
          </w:p>
        </w:tc>
        <w:tc>
          <w:tcPr>
            <w:tcW w:w="1780" w:type="dxa"/>
            <w:vAlign w:val="bottom"/>
            <w:tcBorders>
              <w:bottom w:val="single" w:sz="8" w:color="auto"/>
            </w:tcBorders>
            <w:gridSpan w:val="3"/>
          </w:tcPr>
          <w:p>
            <w:pPr>
              <w:jc w:val="right"/>
              <w:ind w:right="227"/>
              <w:spacing w:after="0"/>
              <w:rPr>
                <w:sz w:val="20"/>
                <w:szCs w:val="20"/>
                <w:color w:val="auto"/>
              </w:rPr>
            </w:pPr>
            <w:r>
              <w:rPr>
                <w:rFonts w:ascii="Arial" w:cs="Arial" w:eastAsia="Arial" w:hAnsi="Arial"/>
                <w:sz w:val="14"/>
                <w:szCs w:val="14"/>
                <w:color w:val="auto"/>
              </w:rPr>
              <w:t>2011</w:t>
            </w:r>
          </w:p>
        </w:tc>
        <w:tc>
          <w:tcPr>
            <w:tcW w:w="4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226"/>
              <w:spacing w:after="0"/>
              <w:rPr>
                <w:sz w:val="20"/>
                <w:szCs w:val="20"/>
                <w:color w:val="auto"/>
              </w:rPr>
            </w:pPr>
            <w:r>
              <w:rPr>
                <w:rFonts w:ascii="Arial" w:cs="Arial" w:eastAsia="Arial" w:hAnsi="Arial"/>
                <w:sz w:val="14"/>
                <w:szCs w:val="14"/>
                <w:color w:val="auto"/>
              </w:rPr>
              <w:t>2010</w:t>
            </w:r>
          </w:p>
        </w:tc>
        <w:tc>
          <w:tcPr>
            <w:tcW w:w="4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right"/>
              <w:ind w:right="661"/>
              <w:spacing w:after="0"/>
              <w:rPr>
                <w:sz w:val="20"/>
                <w:szCs w:val="20"/>
                <w:color w:val="auto"/>
              </w:rPr>
            </w:pPr>
            <w:r>
              <w:rPr>
                <w:rFonts w:ascii="Arial" w:cs="Arial" w:eastAsia="Arial" w:hAnsi="Arial"/>
                <w:sz w:val="14"/>
                <w:szCs w:val="14"/>
                <w:color w:val="auto"/>
              </w:rPr>
              <w:t>2011</w:t>
            </w:r>
          </w:p>
        </w:tc>
        <w:tc>
          <w:tcPr>
            <w:tcW w:w="6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jc w:val="right"/>
              <w:ind w:right="660"/>
              <w:spacing w:after="0"/>
              <w:rPr>
                <w:sz w:val="20"/>
                <w:szCs w:val="20"/>
                <w:color w:val="auto"/>
              </w:rPr>
            </w:pPr>
            <w:r>
              <w:rPr>
                <w:rFonts w:ascii="Arial" w:cs="Arial" w:eastAsia="Arial" w:hAnsi="Arial"/>
                <w:sz w:val="14"/>
                <w:szCs w:val="14"/>
                <w:color w:val="auto"/>
              </w:rPr>
              <w:t>2010</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3980" w:type="dxa"/>
            <w:vAlign w:val="bottom"/>
          </w:tcPr>
          <w:p>
            <w:pPr>
              <w:spacing w:after="0" w:line="164" w:lineRule="exact"/>
              <w:rPr>
                <w:sz w:val="20"/>
                <w:szCs w:val="20"/>
                <w:color w:val="auto"/>
              </w:rPr>
            </w:pPr>
            <w:r>
              <w:rPr>
                <w:rFonts w:ascii="Arial" w:cs="Arial" w:eastAsia="Arial" w:hAnsi="Arial"/>
                <w:sz w:val="16"/>
                <w:szCs w:val="16"/>
                <w:color w:val="auto"/>
              </w:rPr>
              <w:t>Service cost</w:t>
            </w:r>
          </w:p>
        </w:tc>
        <w:tc>
          <w:tcPr>
            <w:tcW w:w="740" w:type="dxa"/>
            <w:vAlign w:val="bottom"/>
            <w:gridSpan w:val="2"/>
          </w:tcPr>
          <w:p>
            <w:pPr>
              <w:jc w:val="right"/>
              <w:ind w:right="104"/>
              <w:spacing w:after="0" w:line="164" w:lineRule="exact"/>
              <w:rPr>
                <w:sz w:val="20"/>
                <w:szCs w:val="20"/>
                <w:color w:val="auto"/>
              </w:rPr>
            </w:pPr>
            <w:r>
              <w:rPr>
                <w:rFonts w:ascii="Arial" w:cs="Arial" w:eastAsia="Arial" w:hAnsi="Arial"/>
                <w:sz w:val="16"/>
                <w:szCs w:val="16"/>
                <w:color w:val="auto"/>
              </w:rPr>
              <w:t>$</w:t>
            </w:r>
          </w:p>
        </w:tc>
        <w:tc>
          <w:tcPr>
            <w:tcW w:w="1040" w:type="dxa"/>
            <w:vAlign w:val="bottom"/>
          </w:tcPr>
          <w:p>
            <w:pPr>
              <w:spacing w:after="0"/>
              <w:rPr>
                <w:sz w:val="14"/>
                <w:szCs w:val="14"/>
                <w:color w:val="auto"/>
              </w:rPr>
            </w:pPr>
          </w:p>
        </w:tc>
        <w:tc>
          <w:tcPr>
            <w:tcW w:w="420" w:type="dxa"/>
            <w:vAlign w:val="bottom"/>
          </w:tcPr>
          <w:p>
            <w:pPr>
              <w:jc w:val="right"/>
              <w:spacing w:after="0" w:line="164" w:lineRule="exact"/>
              <w:rPr>
                <w:sz w:val="20"/>
                <w:szCs w:val="20"/>
                <w:color w:val="auto"/>
              </w:rPr>
            </w:pPr>
            <w:r>
              <w:rPr>
                <w:rFonts w:ascii="Arial" w:cs="Arial" w:eastAsia="Arial" w:hAnsi="Arial"/>
                <w:sz w:val="16"/>
                <w:szCs w:val="16"/>
                <w:color w:val="auto"/>
              </w:rPr>
              <w:t>24</w:t>
            </w:r>
          </w:p>
        </w:tc>
        <w:tc>
          <w:tcPr>
            <w:tcW w:w="200" w:type="dxa"/>
            <w:vAlign w:val="bottom"/>
          </w:tcPr>
          <w:p>
            <w:pPr>
              <w:jc w:val="right"/>
              <w:ind w:right="40"/>
              <w:spacing w:after="0" w:line="164" w:lineRule="exact"/>
              <w:rPr>
                <w:sz w:val="20"/>
                <w:szCs w:val="20"/>
                <w:color w:val="auto"/>
              </w:rPr>
            </w:pPr>
            <w:r>
              <w:rPr>
                <w:rFonts w:ascii="Arial" w:cs="Arial" w:eastAsia="Arial" w:hAnsi="Arial"/>
                <w:sz w:val="15"/>
                <w:szCs w:val="15"/>
                <w:color w:val="auto"/>
                <w:w w:val="71"/>
              </w:rPr>
              <w:t>$</w:t>
            </w:r>
          </w:p>
        </w:tc>
        <w:tc>
          <w:tcPr>
            <w:tcW w:w="1100" w:type="dxa"/>
            <w:vAlign w:val="bottom"/>
          </w:tcPr>
          <w:p>
            <w:pPr>
              <w:spacing w:after="0"/>
              <w:rPr>
                <w:sz w:val="14"/>
                <w:szCs w:val="14"/>
                <w:color w:val="auto"/>
              </w:rPr>
            </w:pPr>
          </w:p>
        </w:tc>
        <w:tc>
          <w:tcPr>
            <w:tcW w:w="400" w:type="dxa"/>
            <w:vAlign w:val="bottom"/>
          </w:tcPr>
          <w:p>
            <w:pPr>
              <w:jc w:val="right"/>
              <w:spacing w:after="0" w:line="164" w:lineRule="exact"/>
              <w:rPr>
                <w:sz w:val="20"/>
                <w:szCs w:val="20"/>
                <w:color w:val="auto"/>
              </w:rPr>
            </w:pPr>
            <w:r>
              <w:rPr>
                <w:rFonts w:ascii="Arial" w:cs="Arial" w:eastAsia="Arial" w:hAnsi="Arial"/>
                <w:sz w:val="16"/>
                <w:szCs w:val="16"/>
                <w:color w:val="auto"/>
              </w:rPr>
              <w:t>23</w:t>
            </w:r>
          </w:p>
        </w:tc>
        <w:tc>
          <w:tcPr>
            <w:tcW w:w="160" w:type="dxa"/>
            <w:vAlign w:val="bottom"/>
          </w:tcPr>
          <w:p>
            <w:pPr>
              <w:jc w:val="right"/>
              <w:spacing w:after="0" w:line="164" w:lineRule="exact"/>
              <w:rPr>
                <w:sz w:val="20"/>
                <w:szCs w:val="20"/>
                <w:color w:val="auto"/>
              </w:rPr>
            </w:pPr>
            <w:r>
              <w:rPr>
                <w:rFonts w:ascii="Arial" w:cs="Arial" w:eastAsia="Arial" w:hAnsi="Arial"/>
                <w:sz w:val="16"/>
                <w:szCs w:val="16"/>
                <w:color w:val="auto"/>
              </w:rPr>
              <w:t>$</w:t>
            </w:r>
          </w:p>
        </w:tc>
        <w:tc>
          <w:tcPr>
            <w:tcW w:w="320" w:type="dxa"/>
            <w:vAlign w:val="bottom"/>
          </w:tcPr>
          <w:p>
            <w:pPr>
              <w:spacing w:after="0"/>
              <w:rPr>
                <w:sz w:val="14"/>
                <w:szCs w:val="14"/>
                <w:color w:val="auto"/>
              </w:rPr>
            </w:pPr>
          </w:p>
        </w:tc>
        <w:tc>
          <w:tcPr>
            <w:tcW w:w="1300" w:type="dxa"/>
            <w:vAlign w:val="bottom"/>
          </w:tcPr>
          <w:p>
            <w:pPr>
              <w:jc w:val="right"/>
              <w:spacing w:after="0" w:line="164" w:lineRule="exact"/>
              <w:rPr>
                <w:sz w:val="20"/>
                <w:szCs w:val="20"/>
                <w:color w:val="auto"/>
              </w:rPr>
            </w:pPr>
            <w:r>
              <w:rPr>
                <w:rFonts w:ascii="Arial" w:cs="Arial" w:eastAsia="Arial" w:hAnsi="Arial"/>
                <w:sz w:val="16"/>
                <w:szCs w:val="16"/>
                <w:color w:val="auto"/>
              </w:rPr>
              <w:t>10</w:t>
            </w:r>
          </w:p>
        </w:tc>
        <w:tc>
          <w:tcPr>
            <w:tcW w:w="420" w:type="dxa"/>
            <w:vAlign w:val="bottom"/>
            <w:gridSpan w:val="2"/>
          </w:tcPr>
          <w:p>
            <w:pPr>
              <w:jc w:val="center"/>
              <w:ind w:right="264"/>
              <w:spacing w:after="0" w:line="164" w:lineRule="exact"/>
              <w:rPr>
                <w:sz w:val="20"/>
                <w:szCs w:val="20"/>
                <w:color w:val="auto"/>
              </w:rPr>
            </w:pPr>
            <w:r>
              <w:rPr>
                <w:rFonts w:ascii="Arial" w:cs="Arial" w:eastAsia="Arial" w:hAnsi="Arial"/>
                <w:sz w:val="16"/>
                <w:szCs w:val="16"/>
                <w:color w:val="auto"/>
                <w:w w:val="89"/>
              </w:rPr>
              <w:t>$</w:t>
            </w:r>
          </w:p>
        </w:tc>
        <w:tc>
          <w:tcPr>
            <w:tcW w:w="1320" w:type="dxa"/>
            <w:vAlign w:val="bottom"/>
          </w:tcPr>
          <w:p>
            <w:pPr>
              <w:jc w:val="right"/>
              <w:spacing w:after="0" w:line="164" w:lineRule="exact"/>
              <w:rPr>
                <w:sz w:val="20"/>
                <w:szCs w:val="20"/>
                <w:color w:val="auto"/>
              </w:rPr>
            </w:pPr>
            <w:r>
              <w:rPr>
                <w:rFonts w:ascii="Arial" w:cs="Arial" w:eastAsia="Arial" w:hAnsi="Arial"/>
                <w:sz w:val="16"/>
                <w:szCs w:val="16"/>
                <w:color w:val="auto"/>
              </w:rPr>
              <w:t>10</w:t>
            </w:r>
          </w:p>
        </w:tc>
        <w:tc>
          <w:tcPr>
            <w:tcW w:w="0" w:type="dxa"/>
            <w:vAlign w:val="bottom"/>
          </w:tcPr>
          <w:p>
            <w:pPr>
              <w:spacing w:after="0"/>
              <w:rPr>
                <w:sz w:val="1"/>
                <w:szCs w:val="1"/>
                <w:color w:val="auto"/>
              </w:rPr>
            </w:pPr>
          </w:p>
        </w:tc>
      </w:tr>
      <w:tr>
        <w:trPr>
          <w:trHeight w:val="176"/>
        </w:trPr>
        <w:tc>
          <w:tcPr>
            <w:tcW w:w="4000" w:type="dxa"/>
            <w:vAlign w:val="bottom"/>
            <w:gridSpan w:val="2"/>
          </w:tcPr>
          <w:p>
            <w:pPr>
              <w:spacing w:after="0" w:line="176" w:lineRule="exact"/>
              <w:rPr>
                <w:sz w:val="20"/>
                <w:szCs w:val="20"/>
                <w:color w:val="auto"/>
              </w:rPr>
            </w:pPr>
            <w:r>
              <w:rPr>
                <w:rFonts w:ascii="Arial" w:cs="Arial" w:eastAsia="Arial" w:hAnsi="Arial"/>
                <w:sz w:val="16"/>
                <w:szCs w:val="16"/>
                <w:color w:val="auto"/>
              </w:rPr>
              <w:t>Interest cost</w:t>
            </w:r>
          </w:p>
        </w:tc>
        <w:tc>
          <w:tcPr>
            <w:tcW w:w="4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420" w:type="dxa"/>
            <w:vAlign w:val="bottom"/>
          </w:tcPr>
          <w:p>
            <w:pPr>
              <w:jc w:val="right"/>
              <w:spacing w:after="0" w:line="176" w:lineRule="exact"/>
              <w:rPr>
                <w:sz w:val="20"/>
                <w:szCs w:val="20"/>
                <w:color w:val="auto"/>
              </w:rPr>
            </w:pPr>
            <w:r>
              <w:rPr>
                <w:rFonts w:ascii="Arial" w:cs="Arial" w:eastAsia="Arial" w:hAnsi="Arial"/>
                <w:sz w:val="16"/>
                <w:szCs w:val="16"/>
                <w:color w:val="auto"/>
              </w:rPr>
              <w:t>50</w:t>
            </w:r>
          </w:p>
        </w:tc>
        <w:tc>
          <w:tcPr>
            <w:tcW w:w="2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400" w:type="dxa"/>
            <w:vAlign w:val="bottom"/>
          </w:tcPr>
          <w:p>
            <w:pPr>
              <w:jc w:val="right"/>
              <w:spacing w:after="0" w:line="176" w:lineRule="exact"/>
              <w:rPr>
                <w:sz w:val="20"/>
                <w:szCs w:val="20"/>
                <w:color w:val="auto"/>
              </w:rPr>
            </w:pPr>
            <w:r>
              <w:rPr>
                <w:rFonts w:ascii="Arial" w:cs="Arial" w:eastAsia="Arial" w:hAnsi="Arial"/>
                <w:sz w:val="16"/>
                <w:szCs w:val="16"/>
                <w:color w:val="auto"/>
              </w:rPr>
              <w:t>49</w:t>
            </w:r>
          </w:p>
        </w:tc>
        <w:tc>
          <w:tcPr>
            <w:tcW w:w="1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300" w:type="dxa"/>
            <w:vAlign w:val="bottom"/>
          </w:tcPr>
          <w:p>
            <w:pPr>
              <w:jc w:val="right"/>
              <w:spacing w:after="0" w:line="176" w:lineRule="exact"/>
              <w:rPr>
                <w:sz w:val="20"/>
                <w:szCs w:val="20"/>
                <w:color w:val="auto"/>
              </w:rPr>
            </w:pPr>
            <w:r>
              <w:rPr>
                <w:rFonts w:ascii="Arial" w:cs="Arial" w:eastAsia="Arial" w:hAnsi="Arial"/>
                <w:sz w:val="16"/>
                <w:szCs w:val="16"/>
                <w:color w:val="auto"/>
              </w:rPr>
              <w:t>27</w:t>
            </w:r>
          </w:p>
        </w:tc>
        <w:tc>
          <w:tcPr>
            <w:tcW w:w="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320" w:type="dxa"/>
            <w:vAlign w:val="bottom"/>
          </w:tcPr>
          <w:p>
            <w:pPr>
              <w:jc w:val="right"/>
              <w:spacing w:after="0" w:line="176" w:lineRule="exact"/>
              <w:rPr>
                <w:sz w:val="20"/>
                <w:szCs w:val="20"/>
                <w:color w:val="auto"/>
              </w:rPr>
            </w:pPr>
            <w:r>
              <w:rPr>
                <w:rFonts w:ascii="Arial" w:cs="Arial" w:eastAsia="Arial" w:hAnsi="Arial"/>
                <w:sz w:val="16"/>
                <w:szCs w:val="16"/>
                <w:color w:val="auto"/>
              </w:rPr>
              <w:t>23</w:t>
            </w:r>
          </w:p>
        </w:tc>
        <w:tc>
          <w:tcPr>
            <w:tcW w:w="0" w:type="dxa"/>
            <w:vAlign w:val="bottom"/>
          </w:tcPr>
          <w:p>
            <w:pPr>
              <w:spacing w:after="0"/>
              <w:rPr>
                <w:sz w:val="1"/>
                <w:szCs w:val="1"/>
                <w:color w:val="auto"/>
              </w:rPr>
            </w:pPr>
          </w:p>
        </w:tc>
      </w:tr>
      <w:tr>
        <w:trPr>
          <w:trHeight w:val="176"/>
        </w:trPr>
        <w:tc>
          <w:tcPr>
            <w:tcW w:w="4000" w:type="dxa"/>
            <w:vAlign w:val="bottom"/>
            <w:gridSpan w:val="2"/>
          </w:tcPr>
          <w:p>
            <w:pPr>
              <w:spacing w:after="0" w:line="176" w:lineRule="exact"/>
              <w:rPr>
                <w:sz w:val="20"/>
                <w:szCs w:val="20"/>
                <w:color w:val="auto"/>
              </w:rPr>
            </w:pPr>
            <w:r>
              <w:rPr>
                <w:rFonts w:ascii="Arial" w:cs="Arial" w:eastAsia="Arial" w:hAnsi="Arial"/>
                <w:sz w:val="16"/>
                <w:szCs w:val="16"/>
                <w:color w:val="auto"/>
              </w:rPr>
              <w:t>Expected return on assets</w:t>
            </w:r>
          </w:p>
        </w:tc>
        <w:tc>
          <w:tcPr>
            <w:tcW w:w="4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420" w:type="dxa"/>
            <w:vAlign w:val="bottom"/>
          </w:tcPr>
          <w:p>
            <w:pPr>
              <w:jc w:val="right"/>
              <w:spacing w:after="0" w:line="176" w:lineRule="exact"/>
              <w:rPr>
                <w:sz w:val="20"/>
                <w:szCs w:val="20"/>
                <w:color w:val="auto"/>
              </w:rPr>
            </w:pPr>
            <w:r>
              <w:rPr>
                <w:rFonts w:ascii="Arial" w:cs="Arial" w:eastAsia="Arial" w:hAnsi="Arial"/>
                <w:sz w:val="16"/>
                <w:szCs w:val="16"/>
                <w:color w:val="auto"/>
              </w:rPr>
              <w:t>(43)</w:t>
            </w:r>
          </w:p>
        </w:tc>
        <w:tc>
          <w:tcPr>
            <w:tcW w:w="2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560" w:type="dxa"/>
            <w:vAlign w:val="bottom"/>
            <w:gridSpan w:val="2"/>
          </w:tcPr>
          <w:p>
            <w:pPr>
              <w:jc w:val="right"/>
              <w:ind w:right="39"/>
              <w:spacing w:after="0" w:line="176" w:lineRule="exact"/>
              <w:rPr>
                <w:sz w:val="20"/>
                <w:szCs w:val="20"/>
                <w:color w:val="auto"/>
              </w:rPr>
            </w:pPr>
            <w:r>
              <w:rPr>
                <w:rFonts w:ascii="Arial" w:cs="Arial" w:eastAsia="Arial" w:hAnsi="Arial"/>
                <w:sz w:val="16"/>
                <w:szCs w:val="16"/>
                <w:color w:val="auto"/>
              </w:rPr>
              <w:t>(45)</w:t>
            </w:r>
          </w:p>
        </w:tc>
        <w:tc>
          <w:tcPr>
            <w:tcW w:w="320" w:type="dxa"/>
            <w:vAlign w:val="bottom"/>
          </w:tcPr>
          <w:p>
            <w:pPr>
              <w:spacing w:after="0"/>
              <w:rPr>
                <w:sz w:val="15"/>
                <w:szCs w:val="15"/>
                <w:color w:val="auto"/>
              </w:rPr>
            </w:pPr>
          </w:p>
        </w:tc>
        <w:tc>
          <w:tcPr>
            <w:tcW w:w="1300" w:type="dxa"/>
            <w:vAlign w:val="bottom"/>
          </w:tcPr>
          <w:p>
            <w:pPr>
              <w:jc w:val="right"/>
              <w:spacing w:after="0" w:line="176" w:lineRule="exact"/>
              <w:rPr>
                <w:sz w:val="20"/>
                <w:szCs w:val="20"/>
                <w:color w:val="auto"/>
              </w:rPr>
            </w:pPr>
            <w:r>
              <w:rPr>
                <w:rFonts w:ascii="Arial" w:cs="Arial" w:eastAsia="Arial" w:hAnsi="Arial"/>
                <w:sz w:val="16"/>
                <w:szCs w:val="16"/>
                <w:color w:val="auto"/>
              </w:rPr>
              <w:t>(20)</w:t>
            </w:r>
          </w:p>
        </w:tc>
        <w:tc>
          <w:tcPr>
            <w:tcW w:w="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320" w:type="dxa"/>
            <w:vAlign w:val="bottom"/>
          </w:tcPr>
          <w:p>
            <w:pPr>
              <w:jc w:val="right"/>
              <w:spacing w:after="0" w:line="176" w:lineRule="exact"/>
              <w:rPr>
                <w:sz w:val="20"/>
                <w:szCs w:val="20"/>
                <w:color w:val="auto"/>
              </w:rPr>
            </w:pPr>
            <w:r>
              <w:rPr>
                <w:rFonts w:ascii="Arial" w:cs="Arial" w:eastAsia="Arial" w:hAnsi="Arial"/>
                <w:sz w:val="16"/>
                <w:szCs w:val="16"/>
                <w:color w:val="auto"/>
              </w:rPr>
              <w:t>(20)</w:t>
            </w:r>
          </w:p>
        </w:tc>
        <w:tc>
          <w:tcPr>
            <w:tcW w:w="0" w:type="dxa"/>
            <w:vAlign w:val="bottom"/>
          </w:tcPr>
          <w:p>
            <w:pPr>
              <w:spacing w:after="0"/>
              <w:rPr>
                <w:sz w:val="1"/>
                <w:szCs w:val="1"/>
                <w:color w:val="auto"/>
              </w:rPr>
            </w:pPr>
          </w:p>
        </w:tc>
      </w:tr>
      <w:tr>
        <w:trPr>
          <w:trHeight w:val="195"/>
        </w:trPr>
        <w:tc>
          <w:tcPr>
            <w:tcW w:w="4000" w:type="dxa"/>
            <w:vAlign w:val="bottom"/>
            <w:gridSpan w:val="2"/>
          </w:tcPr>
          <w:p>
            <w:pPr>
              <w:spacing w:after="0"/>
              <w:rPr>
                <w:sz w:val="20"/>
                <w:szCs w:val="20"/>
                <w:color w:val="auto"/>
              </w:rPr>
            </w:pPr>
            <w:r>
              <w:rPr>
                <w:rFonts w:ascii="Arial" w:cs="Arial" w:eastAsia="Arial" w:hAnsi="Arial"/>
                <w:sz w:val="16"/>
                <w:szCs w:val="16"/>
                <w:color w:val="auto"/>
              </w:rPr>
              <w:t>Amortization of:</w:t>
            </w:r>
          </w:p>
        </w:tc>
        <w:tc>
          <w:tcPr>
            <w:tcW w:w="4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368" w:right="239" w:bottom="0" w:gutter="0" w:footer="0" w:header="0"/>
        </w:sectPr>
      </w:pPr>
    </w:p>
    <w:bookmarkStart w:id="26" w:name="page27"/>
    <w:bookmarkEnd w:id="2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480" w:type="dxa"/>
            <w:vAlign w:val="bottom"/>
          </w:tcPr>
          <w:p>
            <w:pPr>
              <w:ind w:left="180"/>
              <w:spacing w:after="0"/>
              <w:rPr>
                <w:sz w:val="20"/>
                <w:szCs w:val="20"/>
                <w:color w:val="auto"/>
              </w:rPr>
            </w:pPr>
            <w:r>
              <w:rPr>
                <w:rFonts w:ascii="Arial" w:cs="Arial" w:eastAsia="Arial" w:hAnsi="Arial"/>
                <w:sz w:val="16"/>
                <w:szCs w:val="16"/>
                <w:color w:val="auto"/>
              </w:rPr>
              <w:t>Prior service cost (credit)</w:t>
            </w:r>
          </w:p>
        </w:tc>
        <w:tc>
          <w:tcPr>
            <w:tcW w:w="76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w:t>
            </w:r>
          </w:p>
        </w:tc>
        <w:tc>
          <w:tcPr>
            <w:tcW w:w="76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w:t>
            </w:r>
          </w:p>
        </w:tc>
        <w:tc>
          <w:tcPr>
            <w:tcW w:w="80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w:t>
            </w:r>
          </w:p>
        </w:tc>
        <w:tc>
          <w:tcPr>
            <w:tcW w:w="80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w:t>
            </w:r>
          </w:p>
        </w:tc>
      </w:tr>
      <w:tr>
        <w:trPr>
          <w:trHeight w:val="176"/>
        </w:trPr>
        <w:tc>
          <w:tcPr>
            <w:tcW w:w="4480" w:type="dxa"/>
            <w:vAlign w:val="bottom"/>
          </w:tcPr>
          <w:p>
            <w:pPr>
              <w:ind w:left="180"/>
              <w:spacing w:after="0" w:line="176" w:lineRule="exact"/>
              <w:rPr>
                <w:sz w:val="20"/>
                <w:szCs w:val="20"/>
                <w:color w:val="auto"/>
              </w:rPr>
            </w:pPr>
            <w:r>
              <w:rPr>
                <w:rFonts w:ascii="Arial" w:cs="Arial" w:eastAsia="Arial" w:hAnsi="Arial"/>
                <w:sz w:val="16"/>
                <w:szCs w:val="16"/>
                <w:color w:val="auto"/>
              </w:rPr>
              <w:t>Actuarial loss</w:t>
            </w:r>
          </w:p>
        </w:tc>
        <w:tc>
          <w:tcPr>
            <w:tcW w:w="760" w:type="dxa"/>
            <w:vAlign w:val="bottom"/>
          </w:tcPr>
          <w:p>
            <w:pPr>
              <w:spacing w:after="0"/>
              <w:rPr>
                <w:sz w:val="15"/>
                <w:szCs w:val="15"/>
                <w:color w:val="auto"/>
              </w:rPr>
            </w:pPr>
          </w:p>
        </w:tc>
        <w:tc>
          <w:tcPr>
            <w:tcW w:w="960" w:type="dxa"/>
            <w:vAlign w:val="bottom"/>
          </w:tcPr>
          <w:p>
            <w:pPr>
              <w:jc w:val="right"/>
              <w:spacing w:after="0" w:line="176" w:lineRule="exact"/>
              <w:rPr>
                <w:sz w:val="20"/>
                <w:szCs w:val="20"/>
                <w:color w:val="auto"/>
              </w:rPr>
            </w:pPr>
            <w:r>
              <w:rPr>
                <w:rFonts w:ascii="Arial" w:cs="Arial" w:eastAsia="Arial" w:hAnsi="Arial"/>
                <w:sz w:val="16"/>
                <w:szCs w:val="16"/>
                <w:color w:val="auto"/>
              </w:rPr>
              <w:t>8</w:t>
            </w:r>
          </w:p>
        </w:tc>
        <w:tc>
          <w:tcPr>
            <w:tcW w:w="760" w:type="dxa"/>
            <w:vAlign w:val="bottom"/>
          </w:tcPr>
          <w:p>
            <w:pPr>
              <w:spacing w:after="0"/>
              <w:rPr>
                <w:sz w:val="15"/>
                <w:szCs w:val="15"/>
                <w:color w:val="auto"/>
              </w:rPr>
            </w:pPr>
          </w:p>
        </w:tc>
        <w:tc>
          <w:tcPr>
            <w:tcW w:w="980" w:type="dxa"/>
            <w:vAlign w:val="bottom"/>
          </w:tcPr>
          <w:p>
            <w:pPr>
              <w:jc w:val="right"/>
              <w:spacing w:after="0" w:line="176" w:lineRule="exact"/>
              <w:rPr>
                <w:sz w:val="20"/>
                <w:szCs w:val="20"/>
                <w:color w:val="auto"/>
              </w:rPr>
            </w:pPr>
            <w:r>
              <w:rPr>
                <w:rFonts w:ascii="Arial" w:cs="Arial" w:eastAsia="Arial" w:hAnsi="Arial"/>
                <w:sz w:val="16"/>
                <w:szCs w:val="16"/>
                <w:color w:val="auto"/>
              </w:rPr>
              <w:t>5</w:t>
            </w:r>
          </w:p>
        </w:tc>
        <w:tc>
          <w:tcPr>
            <w:tcW w:w="800" w:type="dxa"/>
            <w:vAlign w:val="bottom"/>
          </w:tcPr>
          <w:p>
            <w:pPr>
              <w:spacing w:after="0"/>
              <w:rPr>
                <w:sz w:val="15"/>
                <w:szCs w:val="15"/>
                <w:color w:val="auto"/>
              </w:rPr>
            </w:pPr>
          </w:p>
        </w:tc>
        <w:tc>
          <w:tcPr>
            <w:tcW w:w="940" w:type="dxa"/>
            <w:vAlign w:val="bottom"/>
          </w:tcPr>
          <w:p>
            <w:pPr>
              <w:jc w:val="right"/>
              <w:spacing w:after="0" w:line="176" w:lineRule="exact"/>
              <w:rPr>
                <w:sz w:val="20"/>
                <w:szCs w:val="20"/>
                <w:color w:val="auto"/>
              </w:rPr>
            </w:pPr>
            <w:r>
              <w:rPr>
                <w:rFonts w:ascii="Arial" w:cs="Arial" w:eastAsia="Arial" w:hAnsi="Arial"/>
                <w:sz w:val="16"/>
                <w:szCs w:val="16"/>
                <w:color w:val="auto"/>
              </w:rPr>
              <w:t>9</w:t>
            </w:r>
          </w:p>
        </w:tc>
        <w:tc>
          <w:tcPr>
            <w:tcW w:w="800" w:type="dxa"/>
            <w:vAlign w:val="bottom"/>
          </w:tcPr>
          <w:p>
            <w:pPr>
              <w:spacing w:after="0"/>
              <w:rPr>
                <w:sz w:val="15"/>
                <w:szCs w:val="15"/>
                <w:color w:val="auto"/>
              </w:rPr>
            </w:pPr>
          </w:p>
        </w:tc>
        <w:tc>
          <w:tcPr>
            <w:tcW w:w="940" w:type="dxa"/>
            <w:vAlign w:val="bottom"/>
          </w:tcPr>
          <w:p>
            <w:pPr>
              <w:jc w:val="right"/>
              <w:spacing w:after="0" w:line="176" w:lineRule="exact"/>
              <w:rPr>
                <w:sz w:val="20"/>
                <w:szCs w:val="20"/>
                <w:color w:val="auto"/>
              </w:rPr>
            </w:pPr>
            <w:r>
              <w:rPr>
                <w:rFonts w:ascii="Arial" w:cs="Arial" w:eastAsia="Arial" w:hAnsi="Arial"/>
                <w:sz w:val="16"/>
                <w:szCs w:val="16"/>
                <w:color w:val="auto"/>
              </w:rPr>
              <w:t>4</w:t>
            </w:r>
          </w:p>
        </w:tc>
      </w:tr>
      <w:tr>
        <w:trPr>
          <w:trHeight w:val="176"/>
        </w:trPr>
        <w:tc>
          <w:tcPr>
            <w:tcW w:w="4480" w:type="dxa"/>
            <w:vAlign w:val="bottom"/>
          </w:tcPr>
          <w:p>
            <w:pPr>
              <w:spacing w:after="0" w:line="176" w:lineRule="exact"/>
              <w:rPr>
                <w:sz w:val="20"/>
                <w:szCs w:val="20"/>
                <w:color w:val="auto"/>
              </w:rPr>
            </w:pPr>
            <w:r>
              <w:rPr>
                <w:rFonts w:ascii="Arial" w:cs="Arial" w:eastAsia="Arial" w:hAnsi="Arial"/>
                <w:sz w:val="16"/>
                <w:szCs w:val="16"/>
                <w:color w:val="auto"/>
              </w:rPr>
              <w:t>Settlement</w:t>
            </w:r>
          </w:p>
        </w:tc>
        <w:tc>
          <w:tcPr>
            <w:tcW w:w="760" w:type="dxa"/>
            <w:vAlign w:val="bottom"/>
          </w:tcPr>
          <w:p>
            <w:pPr>
              <w:spacing w:after="0"/>
              <w:rPr>
                <w:sz w:val="15"/>
                <w:szCs w:val="15"/>
                <w:color w:val="auto"/>
              </w:rPr>
            </w:pPr>
          </w:p>
        </w:tc>
        <w:tc>
          <w:tcPr>
            <w:tcW w:w="960" w:type="dxa"/>
            <w:vAlign w:val="bottom"/>
          </w:tcPr>
          <w:p>
            <w:pPr>
              <w:jc w:val="right"/>
              <w:spacing w:after="0" w:line="176" w:lineRule="exact"/>
              <w:rPr>
                <w:sz w:val="20"/>
                <w:szCs w:val="20"/>
                <w:color w:val="auto"/>
              </w:rPr>
            </w:pPr>
            <w:r>
              <w:rPr>
                <w:rFonts w:ascii="Arial" w:cs="Arial" w:eastAsia="Arial" w:hAnsi="Arial"/>
                <w:sz w:val="16"/>
                <w:szCs w:val="16"/>
                <w:color w:val="auto"/>
              </w:rPr>
              <w:t>1</w:t>
            </w:r>
          </w:p>
        </w:tc>
        <w:tc>
          <w:tcPr>
            <w:tcW w:w="760" w:type="dxa"/>
            <w:vAlign w:val="bottom"/>
          </w:tcPr>
          <w:p>
            <w:pPr>
              <w:spacing w:after="0"/>
              <w:rPr>
                <w:sz w:val="15"/>
                <w:szCs w:val="15"/>
                <w:color w:val="auto"/>
              </w:rPr>
            </w:pPr>
          </w:p>
        </w:tc>
        <w:tc>
          <w:tcPr>
            <w:tcW w:w="980" w:type="dxa"/>
            <w:vAlign w:val="bottom"/>
          </w:tcPr>
          <w:p>
            <w:pPr>
              <w:jc w:val="right"/>
              <w:spacing w:after="0" w:line="176" w:lineRule="exact"/>
              <w:rPr>
                <w:sz w:val="20"/>
                <w:szCs w:val="20"/>
                <w:color w:val="auto"/>
              </w:rPr>
            </w:pPr>
            <w:r>
              <w:rPr>
                <w:rFonts w:ascii="Arial" w:cs="Arial" w:eastAsia="Arial" w:hAnsi="Arial"/>
                <w:sz w:val="16"/>
                <w:szCs w:val="16"/>
                <w:color w:val="auto"/>
              </w:rPr>
              <w:t>―</w:t>
            </w:r>
          </w:p>
        </w:tc>
        <w:tc>
          <w:tcPr>
            <w:tcW w:w="800" w:type="dxa"/>
            <w:vAlign w:val="bottom"/>
          </w:tcPr>
          <w:p>
            <w:pPr>
              <w:spacing w:after="0"/>
              <w:rPr>
                <w:sz w:val="15"/>
                <w:szCs w:val="15"/>
                <w:color w:val="auto"/>
              </w:rPr>
            </w:pPr>
          </w:p>
        </w:tc>
        <w:tc>
          <w:tcPr>
            <w:tcW w:w="940" w:type="dxa"/>
            <w:vAlign w:val="bottom"/>
          </w:tcPr>
          <w:p>
            <w:pPr>
              <w:jc w:val="right"/>
              <w:spacing w:after="0" w:line="176" w:lineRule="exact"/>
              <w:rPr>
                <w:sz w:val="20"/>
                <w:szCs w:val="20"/>
                <w:color w:val="auto"/>
              </w:rPr>
            </w:pPr>
            <w:r>
              <w:rPr>
                <w:rFonts w:ascii="Arial" w:cs="Arial" w:eastAsia="Arial" w:hAnsi="Arial"/>
                <w:sz w:val="16"/>
                <w:szCs w:val="16"/>
                <w:color w:val="auto"/>
              </w:rPr>
              <w:t>―</w:t>
            </w:r>
          </w:p>
        </w:tc>
        <w:tc>
          <w:tcPr>
            <w:tcW w:w="800" w:type="dxa"/>
            <w:vAlign w:val="bottom"/>
          </w:tcPr>
          <w:p>
            <w:pPr>
              <w:spacing w:after="0"/>
              <w:rPr>
                <w:sz w:val="15"/>
                <w:szCs w:val="15"/>
                <w:color w:val="auto"/>
              </w:rPr>
            </w:pPr>
          </w:p>
        </w:tc>
        <w:tc>
          <w:tcPr>
            <w:tcW w:w="940" w:type="dxa"/>
            <w:vAlign w:val="bottom"/>
          </w:tcPr>
          <w:p>
            <w:pPr>
              <w:jc w:val="right"/>
              <w:spacing w:after="0" w:line="176" w:lineRule="exact"/>
              <w:rPr>
                <w:sz w:val="20"/>
                <w:szCs w:val="20"/>
                <w:color w:val="auto"/>
              </w:rPr>
            </w:pPr>
            <w:r>
              <w:rPr>
                <w:rFonts w:ascii="Arial" w:cs="Arial" w:eastAsia="Arial" w:hAnsi="Arial"/>
                <w:sz w:val="16"/>
                <w:szCs w:val="16"/>
                <w:color w:val="auto"/>
              </w:rPr>
              <w:t>―</w:t>
            </w:r>
          </w:p>
        </w:tc>
      </w:tr>
      <w:tr>
        <w:trPr>
          <w:trHeight w:val="194"/>
        </w:trPr>
        <w:tc>
          <w:tcPr>
            <w:tcW w:w="4480" w:type="dxa"/>
            <w:vAlign w:val="bottom"/>
          </w:tcPr>
          <w:p>
            <w:pPr>
              <w:spacing w:after="0"/>
              <w:rPr>
                <w:sz w:val="20"/>
                <w:szCs w:val="20"/>
                <w:color w:val="auto"/>
              </w:rPr>
            </w:pPr>
            <w:r>
              <w:rPr>
                <w:rFonts w:ascii="Arial" w:cs="Arial" w:eastAsia="Arial" w:hAnsi="Arial"/>
                <w:sz w:val="16"/>
                <w:szCs w:val="16"/>
                <w:color w:val="auto"/>
              </w:rPr>
              <w:t>Regulatory adjustment</w:t>
            </w:r>
          </w:p>
        </w:tc>
        <w:tc>
          <w:tcPr>
            <w:tcW w:w="7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w:t>
            </w:r>
          </w:p>
        </w:tc>
        <w:tc>
          <w:tcPr>
            <w:tcW w:w="7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w:t>
            </w:r>
          </w:p>
        </w:tc>
        <w:tc>
          <w:tcPr>
            <w:tcW w:w="8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w:t>
            </w:r>
          </w:p>
        </w:tc>
        <w:tc>
          <w:tcPr>
            <w:tcW w:w="8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w:t>
            </w:r>
          </w:p>
        </w:tc>
      </w:tr>
      <w:tr>
        <w:trPr>
          <w:trHeight w:val="183"/>
        </w:trPr>
        <w:tc>
          <w:tcPr>
            <w:tcW w:w="4480" w:type="dxa"/>
            <w:vAlign w:val="bottom"/>
            <w:tcBorders>
              <w:bottom w:val="single" w:sz="8" w:color="auto"/>
            </w:tcBorders>
          </w:tcPr>
          <w:p>
            <w:pPr>
              <w:spacing w:after="0" w:line="176" w:lineRule="exact"/>
              <w:rPr>
                <w:sz w:val="20"/>
                <w:szCs w:val="20"/>
                <w:color w:val="auto"/>
              </w:rPr>
            </w:pPr>
            <w:r>
              <w:rPr>
                <w:rFonts w:ascii="Arial" w:cs="Arial" w:eastAsia="Arial" w:hAnsi="Arial"/>
                <w:sz w:val="16"/>
                <w:szCs w:val="16"/>
                <w:color w:val="auto"/>
              </w:rPr>
              <w:t>Total net periodic benefit cost</w:t>
            </w:r>
          </w:p>
        </w:tc>
        <w:tc>
          <w:tcPr>
            <w:tcW w:w="760" w:type="dxa"/>
            <w:vAlign w:val="bottom"/>
            <w:tcBorders>
              <w:bottom w:val="single" w:sz="8" w:color="auto"/>
            </w:tcBorders>
          </w:tcPr>
          <w:p>
            <w:pPr>
              <w:jc w:val="right"/>
              <w:ind w:right="604"/>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6"/>
                <w:szCs w:val="16"/>
                <w:color w:val="auto"/>
              </w:rPr>
              <w:t>18</w:t>
            </w:r>
          </w:p>
        </w:tc>
        <w:tc>
          <w:tcPr>
            <w:tcW w:w="760" w:type="dxa"/>
            <w:vAlign w:val="bottom"/>
            <w:tcBorders>
              <w:bottom w:val="single" w:sz="8" w:color="auto"/>
            </w:tcBorders>
          </w:tcPr>
          <w:p>
            <w:pPr>
              <w:jc w:val="right"/>
              <w:ind w:right="604"/>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6"/>
                <w:szCs w:val="16"/>
                <w:color w:val="auto"/>
              </w:rPr>
              <w:t>19</w:t>
            </w:r>
          </w:p>
        </w:tc>
        <w:tc>
          <w:tcPr>
            <w:tcW w:w="800" w:type="dxa"/>
            <w:vAlign w:val="bottom"/>
            <w:tcBorders>
              <w:bottom w:val="single" w:sz="8" w:color="auto"/>
            </w:tcBorders>
          </w:tcPr>
          <w:p>
            <w:pPr>
              <w:jc w:val="right"/>
              <w:ind w:right="644"/>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6"/>
                <w:szCs w:val="16"/>
                <w:color w:val="auto"/>
              </w:rPr>
              <w:t>27</w:t>
            </w:r>
          </w:p>
        </w:tc>
        <w:tc>
          <w:tcPr>
            <w:tcW w:w="800" w:type="dxa"/>
            <w:vAlign w:val="bottom"/>
            <w:tcBorders>
              <w:bottom w:val="single" w:sz="8" w:color="auto"/>
            </w:tcBorders>
          </w:tcPr>
          <w:p>
            <w:pPr>
              <w:jc w:val="right"/>
              <w:ind w:right="644"/>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6"/>
                <w:szCs w:val="16"/>
                <w:color w:val="auto"/>
              </w:rPr>
              <w:t>18</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Benefit Plan Contributions</w:t>
      </w:r>
    </w:p>
    <w:p>
      <w:pPr>
        <w:spacing w:after="0" w:line="205"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shows our year-to-date contributions to pension and other postretirement benefit plans and the amounts we expect to contribute in 2011:</w:t>
      </w:r>
    </w:p>
    <w:p>
      <w:pPr>
        <w:spacing w:after="0" w:line="200" w:lineRule="exact"/>
        <w:rPr>
          <w:sz w:val="20"/>
          <w:szCs w:val="20"/>
          <w:color w:val="auto"/>
        </w:rPr>
      </w:pP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980" w:type="dxa"/>
            <w:vAlign w:val="bottom"/>
            <w:vMerge w:val="restart"/>
          </w:tcPr>
          <w:p>
            <w:pPr>
              <w:spacing w:after="0"/>
              <w:rPr>
                <w:sz w:val="20"/>
                <w:szCs w:val="20"/>
                <w:color w:val="auto"/>
              </w:rPr>
            </w:pPr>
            <w:r>
              <w:rPr>
                <w:rFonts w:ascii="Arial" w:cs="Arial" w:eastAsia="Arial" w:hAnsi="Arial"/>
                <w:sz w:val="14"/>
                <w:szCs w:val="14"/>
                <w:i w:val="1"/>
                <w:iCs w:val="1"/>
                <w:color w:val="auto"/>
              </w:rPr>
              <w:t>(Dollars in millions)</w:t>
            </w:r>
          </w:p>
        </w:tc>
        <w:tc>
          <w:tcPr>
            <w:tcW w:w="2920" w:type="dxa"/>
            <w:vAlign w:val="bottom"/>
          </w:tcPr>
          <w:p>
            <w:pPr>
              <w:jc w:val="right"/>
              <w:ind w:right="23"/>
              <w:spacing w:after="0"/>
              <w:rPr>
                <w:sz w:val="20"/>
                <w:szCs w:val="20"/>
                <w:color w:val="auto"/>
              </w:rPr>
            </w:pPr>
            <w:r>
              <w:rPr>
                <w:rFonts w:ascii="Arial" w:cs="Arial" w:eastAsia="Arial" w:hAnsi="Arial"/>
                <w:sz w:val="14"/>
                <w:szCs w:val="14"/>
                <w:color w:val="auto"/>
              </w:rPr>
              <w:t>Sempra Energy</w:t>
            </w:r>
          </w:p>
        </w:tc>
        <w:tc>
          <w:tcPr>
            <w:tcW w:w="4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3980" w:type="dxa"/>
            <w:vAlign w:val="bottom"/>
            <w:tcBorders>
              <w:bottom w:val="single" w:sz="8" w:color="auto"/>
            </w:tcBorders>
            <w:vMerge w:val="continue"/>
          </w:tcPr>
          <w:p>
            <w:pPr>
              <w:spacing w:after="0"/>
              <w:rPr>
                <w:sz w:val="14"/>
                <w:szCs w:val="14"/>
                <w:color w:val="auto"/>
              </w:rPr>
            </w:pPr>
          </w:p>
        </w:tc>
        <w:tc>
          <w:tcPr>
            <w:tcW w:w="2920" w:type="dxa"/>
            <w:vAlign w:val="bottom"/>
            <w:tcBorders>
              <w:bottom w:val="single" w:sz="8" w:color="auto"/>
            </w:tcBorders>
          </w:tcPr>
          <w:p>
            <w:pPr>
              <w:jc w:val="right"/>
              <w:ind w:right="103"/>
              <w:spacing w:after="0" w:line="157" w:lineRule="exact"/>
              <w:rPr>
                <w:sz w:val="20"/>
                <w:szCs w:val="20"/>
                <w:color w:val="auto"/>
              </w:rPr>
            </w:pPr>
            <w:r>
              <w:rPr>
                <w:rFonts w:ascii="Arial" w:cs="Arial" w:eastAsia="Arial" w:hAnsi="Arial"/>
                <w:sz w:val="14"/>
                <w:szCs w:val="14"/>
                <w:color w:val="auto"/>
              </w:rPr>
              <w:t>Consolidated</w:t>
            </w:r>
          </w:p>
        </w:tc>
        <w:tc>
          <w:tcPr>
            <w:tcW w:w="40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tcPr>
          <w:p>
            <w:pPr>
              <w:jc w:val="right"/>
              <w:ind w:right="202"/>
              <w:spacing w:after="0" w:line="157" w:lineRule="exact"/>
              <w:rPr>
                <w:sz w:val="20"/>
                <w:szCs w:val="20"/>
                <w:color w:val="auto"/>
              </w:rPr>
            </w:pPr>
            <w:r>
              <w:rPr>
                <w:rFonts w:ascii="Arial" w:cs="Arial" w:eastAsia="Arial" w:hAnsi="Arial"/>
                <w:sz w:val="14"/>
                <w:szCs w:val="14"/>
                <w:color w:val="auto"/>
              </w:rPr>
              <w:t>SDG&amp;E</w:t>
            </w:r>
          </w:p>
        </w:tc>
        <w:tc>
          <w:tcPr>
            <w:tcW w:w="48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660" w:type="dxa"/>
            <w:vAlign w:val="bottom"/>
            <w:tcBorders>
              <w:bottom w:val="single" w:sz="8" w:color="auto"/>
            </w:tcBorders>
          </w:tcPr>
          <w:p>
            <w:pPr>
              <w:jc w:val="right"/>
              <w:ind w:right="621"/>
              <w:spacing w:after="0" w:line="157" w:lineRule="exact"/>
              <w:rPr>
                <w:sz w:val="20"/>
                <w:szCs w:val="20"/>
                <w:color w:val="auto"/>
              </w:rPr>
            </w:pPr>
            <w:r>
              <w:rPr>
                <w:rFonts w:ascii="Arial" w:cs="Arial" w:eastAsia="Arial" w:hAnsi="Arial"/>
                <w:sz w:val="14"/>
                <w:szCs w:val="14"/>
                <w:color w:val="auto"/>
              </w:rPr>
              <w:t>SoCalGas</w:t>
            </w:r>
          </w:p>
        </w:tc>
        <w:tc>
          <w:tcPr>
            <w:tcW w:w="0" w:type="dxa"/>
            <w:vAlign w:val="bottom"/>
          </w:tcPr>
          <w:p>
            <w:pPr>
              <w:spacing w:after="0"/>
              <w:rPr>
                <w:sz w:val="1"/>
                <w:szCs w:val="1"/>
                <w:color w:val="auto"/>
              </w:rPr>
            </w:pPr>
          </w:p>
        </w:tc>
      </w:tr>
      <w:tr>
        <w:trPr>
          <w:trHeight w:val="164"/>
        </w:trPr>
        <w:tc>
          <w:tcPr>
            <w:tcW w:w="3980" w:type="dxa"/>
            <w:vAlign w:val="bottom"/>
          </w:tcPr>
          <w:p>
            <w:pPr>
              <w:spacing w:after="0" w:line="164" w:lineRule="exact"/>
              <w:rPr>
                <w:sz w:val="20"/>
                <w:szCs w:val="20"/>
                <w:color w:val="auto"/>
              </w:rPr>
            </w:pPr>
            <w:r>
              <w:rPr>
                <w:rFonts w:ascii="Arial" w:cs="Arial" w:eastAsia="Arial" w:hAnsi="Arial"/>
                <w:sz w:val="16"/>
                <w:szCs w:val="16"/>
                <w:color w:val="auto"/>
              </w:rPr>
              <w:t>Contributions through June 30, 2011:</w:t>
            </w:r>
          </w:p>
        </w:tc>
        <w:tc>
          <w:tcPr>
            <w:tcW w:w="29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3980" w:type="dxa"/>
            <w:vAlign w:val="bottom"/>
          </w:tcPr>
          <w:p>
            <w:pPr>
              <w:ind w:left="180"/>
              <w:spacing w:after="0" w:line="176" w:lineRule="exact"/>
              <w:rPr>
                <w:sz w:val="20"/>
                <w:szCs w:val="20"/>
                <w:color w:val="auto"/>
              </w:rPr>
            </w:pPr>
            <w:r>
              <w:rPr>
                <w:rFonts w:ascii="Arial" w:cs="Arial" w:eastAsia="Arial" w:hAnsi="Arial"/>
                <w:sz w:val="16"/>
                <w:szCs w:val="16"/>
                <w:color w:val="auto"/>
              </w:rPr>
              <w:t>Pension plans</w:t>
            </w:r>
          </w:p>
        </w:tc>
        <w:tc>
          <w:tcPr>
            <w:tcW w:w="2920" w:type="dxa"/>
            <w:vAlign w:val="bottom"/>
          </w:tcPr>
          <w:p>
            <w:pPr>
              <w:jc w:val="right"/>
              <w:ind w:right="1443"/>
              <w:spacing w:after="0" w:line="176" w:lineRule="exact"/>
              <w:rPr>
                <w:sz w:val="20"/>
                <w:szCs w:val="20"/>
                <w:color w:val="auto"/>
              </w:rPr>
            </w:pPr>
            <w:r>
              <w:rPr>
                <w:rFonts w:ascii="Arial" w:cs="Arial" w:eastAsia="Arial" w:hAnsi="Arial"/>
                <w:sz w:val="16"/>
                <w:szCs w:val="16"/>
                <w:color w:val="auto"/>
              </w:rPr>
              <w:t>$</w:t>
            </w:r>
          </w:p>
        </w:tc>
        <w:tc>
          <w:tcPr>
            <w:tcW w:w="400" w:type="dxa"/>
            <w:vAlign w:val="bottom"/>
          </w:tcPr>
          <w:p>
            <w:pPr>
              <w:jc w:val="right"/>
              <w:spacing w:after="0" w:line="176" w:lineRule="exact"/>
              <w:rPr>
                <w:sz w:val="20"/>
                <w:szCs w:val="20"/>
                <w:color w:val="auto"/>
              </w:rPr>
            </w:pPr>
            <w:r>
              <w:rPr>
                <w:rFonts w:ascii="Arial" w:cs="Arial" w:eastAsia="Arial" w:hAnsi="Arial"/>
                <w:sz w:val="16"/>
                <w:szCs w:val="16"/>
                <w:color w:val="auto"/>
              </w:rPr>
              <w:t>70</w:t>
            </w:r>
          </w:p>
        </w:tc>
        <w:tc>
          <w:tcPr>
            <w:tcW w:w="1560" w:type="dxa"/>
            <w:vAlign w:val="bottom"/>
          </w:tcPr>
          <w:p>
            <w:pPr>
              <w:jc w:val="right"/>
              <w:ind w:right="1382"/>
              <w:spacing w:after="0" w:line="176" w:lineRule="exact"/>
              <w:rPr>
                <w:sz w:val="20"/>
                <w:szCs w:val="20"/>
                <w:color w:val="auto"/>
              </w:rPr>
            </w:pPr>
            <w:r>
              <w:rPr>
                <w:rFonts w:ascii="Arial" w:cs="Arial" w:eastAsia="Arial" w:hAnsi="Arial"/>
                <w:sz w:val="16"/>
                <w:szCs w:val="16"/>
                <w:color w:val="auto"/>
                <w:w w:val="89"/>
              </w:rPr>
              <w:t>$</w:t>
            </w:r>
          </w:p>
        </w:tc>
        <w:tc>
          <w:tcPr>
            <w:tcW w:w="480" w:type="dxa"/>
            <w:vAlign w:val="bottom"/>
          </w:tcPr>
          <w:p>
            <w:pPr>
              <w:jc w:val="right"/>
              <w:spacing w:after="0" w:line="176" w:lineRule="exact"/>
              <w:rPr>
                <w:sz w:val="20"/>
                <w:szCs w:val="20"/>
                <w:color w:val="auto"/>
              </w:rPr>
            </w:pPr>
            <w:r>
              <w:rPr>
                <w:rFonts w:ascii="Arial" w:cs="Arial" w:eastAsia="Arial" w:hAnsi="Arial"/>
                <w:sz w:val="16"/>
                <w:szCs w:val="16"/>
                <w:color w:val="auto"/>
              </w:rPr>
              <w:t>17</w:t>
            </w:r>
          </w:p>
        </w:tc>
        <w:tc>
          <w:tcPr>
            <w:tcW w:w="420" w:type="dxa"/>
            <w:vAlign w:val="bottom"/>
          </w:tcPr>
          <w:p>
            <w:pPr>
              <w:jc w:val="right"/>
              <w:ind w:right="239"/>
              <w:spacing w:after="0" w:line="176" w:lineRule="exact"/>
              <w:rPr>
                <w:sz w:val="20"/>
                <w:szCs w:val="20"/>
                <w:color w:val="auto"/>
              </w:rPr>
            </w:pPr>
            <w:r>
              <w:rPr>
                <w:rFonts w:ascii="Arial" w:cs="Arial" w:eastAsia="Arial" w:hAnsi="Arial"/>
                <w:sz w:val="16"/>
                <w:szCs w:val="16"/>
                <w:color w:val="auto"/>
                <w:w w:val="89"/>
              </w:rPr>
              <w:t>$</w:t>
            </w:r>
          </w:p>
        </w:tc>
        <w:tc>
          <w:tcPr>
            <w:tcW w:w="1660" w:type="dxa"/>
            <w:vAlign w:val="bottom"/>
          </w:tcPr>
          <w:p>
            <w:pPr>
              <w:jc w:val="right"/>
              <w:spacing w:after="0" w:line="176" w:lineRule="exact"/>
              <w:rPr>
                <w:sz w:val="20"/>
                <w:szCs w:val="20"/>
                <w:color w:val="auto"/>
              </w:rPr>
            </w:pPr>
            <w:r>
              <w:rPr>
                <w:rFonts w:ascii="Arial" w:cs="Arial" w:eastAsia="Arial" w:hAnsi="Arial"/>
                <w:sz w:val="16"/>
                <w:szCs w:val="16"/>
                <w:color w:val="auto"/>
              </w:rPr>
              <w:t>22</w:t>
            </w:r>
          </w:p>
        </w:tc>
        <w:tc>
          <w:tcPr>
            <w:tcW w:w="0" w:type="dxa"/>
            <w:vAlign w:val="bottom"/>
          </w:tcPr>
          <w:p>
            <w:pPr>
              <w:spacing w:after="0"/>
              <w:rPr>
                <w:sz w:val="1"/>
                <w:szCs w:val="1"/>
                <w:color w:val="auto"/>
              </w:rPr>
            </w:pPr>
          </w:p>
        </w:tc>
      </w:tr>
      <w:tr>
        <w:trPr>
          <w:trHeight w:val="176"/>
        </w:trPr>
        <w:tc>
          <w:tcPr>
            <w:tcW w:w="3980" w:type="dxa"/>
            <w:vAlign w:val="bottom"/>
          </w:tcPr>
          <w:p>
            <w:pPr>
              <w:ind w:left="180"/>
              <w:spacing w:after="0" w:line="176" w:lineRule="exact"/>
              <w:rPr>
                <w:sz w:val="20"/>
                <w:szCs w:val="20"/>
                <w:color w:val="auto"/>
              </w:rPr>
            </w:pPr>
            <w:r>
              <w:rPr>
                <w:rFonts w:ascii="Arial" w:cs="Arial" w:eastAsia="Arial" w:hAnsi="Arial"/>
                <w:sz w:val="16"/>
                <w:szCs w:val="16"/>
                <w:color w:val="auto"/>
              </w:rPr>
              <w:t>Other postretirement benefit plans</w:t>
            </w:r>
          </w:p>
        </w:tc>
        <w:tc>
          <w:tcPr>
            <w:tcW w:w="2920" w:type="dxa"/>
            <w:vAlign w:val="bottom"/>
          </w:tcPr>
          <w:p>
            <w:pPr>
              <w:spacing w:after="0"/>
              <w:rPr>
                <w:sz w:val="15"/>
                <w:szCs w:val="15"/>
                <w:color w:val="auto"/>
              </w:rPr>
            </w:pPr>
          </w:p>
        </w:tc>
        <w:tc>
          <w:tcPr>
            <w:tcW w:w="400" w:type="dxa"/>
            <w:vAlign w:val="bottom"/>
          </w:tcPr>
          <w:p>
            <w:pPr>
              <w:jc w:val="right"/>
              <w:spacing w:after="0" w:line="176" w:lineRule="exact"/>
              <w:rPr>
                <w:sz w:val="20"/>
                <w:szCs w:val="20"/>
                <w:color w:val="auto"/>
              </w:rPr>
            </w:pPr>
            <w:r>
              <w:rPr>
                <w:rFonts w:ascii="Arial" w:cs="Arial" w:eastAsia="Arial" w:hAnsi="Arial"/>
                <w:sz w:val="16"/>
                <w:szCs w:val="16"/>
                <w:color w:val="auto"/>
              </w:rPr>
              <w:t>37</w:t>
            </w:r>
          </w:p>
        </w:tc>
        <w:tc>
          <w:tcPr>
            <w:tcW w:w="1560" w:type="dxa"/>
            <w:vAlign w:val="bottom"/>
          </w:tcPr>
          <w:p>
            <w:pPr>
              <w:spacing w:after="0"/>
              <w:rPr>
                <w:sz w:val="15"/>
                <w:szCs w:val="15"/>
                <w:color w:val="auto"/>
              </w:rPr>
            </w:pPr>
          </w:p>
        </w:tc>
        <w:tc>
          <w:tcPr>
            <w:tcW w:w="480" w:type="dxa"/>
            <w:vAlign w:val="bottom"/>
          </w:tcPr>
          <w:p>
            <w:pPr>
              <w:jc w:val="right"/>
              <w:spacing w:after="0" w:line="176" w:lineRule="exact"/>
              <w:rPr>
                <w:sz w:val="20"/>
                <w:szCs w:val="20"/>
                <w:color w:val="auto"/>
              </w:rPr>
            </w:pPr>
            <w:r>
              <w:rPr>
                <w:rFonts w:ascii="Arial" w:cs="Arial" w:eastAsia="Arial" w:hAnsi="Arial"/>
                <w:sz w:val="16"/>
                <w:szCs w:val="16"/>
                <w:color w:val="auto"/>
              </w:rPr>
              <w:t>8</w:t>
            </w:r>
          </w:p>
        </w:tc>
        <w:tc>
          <w:tcPr>
            <w:tcW w:w="420" w:type="dxa"/>
            <w:vAlign w:val="bottom"/>
          </w:tcPr>
          <w:p>
            <w:pPr>
              <w:spacing w:after="0"/>
              <w:rPr>
                <w:sz w:val="15"/>
                <w:szCs w:val="15"/>
                <w:color w:val="auto"/>
              </w:rPr>
            </w:pPr>
          </w:p>
        </w:tc>
        <w:tc>
          <w:tcPr>
            <w:tcW w:w="1660" w:type="dxa"/>
            <w:vAlign w:val="bottom"/>
          </w:tcPr>
          <w:p>
            <w:pPr>
              <w:jc w:val="right"/>
              <w:spacing w:after="0" w:line="176" w:lineRule="exact"/>
              <w:rPr>
                <w:sz w:val="20"/>
                <w:szCs w:val="20"/>
                <w:color w:val="auto"/>
              </w:rPr>
            </w:pPr>
            <w:r>
              <w:rPr>
                <w:rFonts w:ascii="Arial" w:cs="Arial" w:eastAsia="Arial" w:hAnsi="Arial"/>
                <w:sz w:val="16"/>
                <w:szCs w:val="16"/>
                <w:color w:val="auto"/>
              </w:rPr>
              <w:t>28</w:t>
            </w:r>
          </w:p>
        </w:tc>
        <w:tc>
          <w:tcPr>
            <w:tcW w:w="0" w:type="dxa"/>
            <w:vAlign w:val="bottom"/>
          </w:tcPr>
          <w:p>
            <w:pPr>
              <w:spacing w:after="0"/>
              <w:rPr>
                <w:sz w:val="1"/>
                <w:szCs w:val="1"/>
                <w:color w:val="auto"/>
              </w:rPr>
            </w:pPr>
          </w:p>
        </w:tc>
      </w:tr>
      <w:tr>
        <w:trPr>
          <w:trHeight w:val="176"/>
        </w:trPr>
        <w:tc>
          <w:tcPr>
            <w:tcW w:w="3980" w:type="dxa"/>
            <w:vAlign w:val="bottom"/>
          </w:tcPr>
          <w:p>
            <w:pPr>
              <w:spacing w:after="0" w:line="176" w:lineRule="exact"/>
              <w:rPr>
                <w:sz w:val="20"/>
                <w:szCs w:val="20"/>
                <w:color w:val="auto"/>
              </w:rPr>
            </w:pPr>
            <w:r>
              <w:rPr>
                <w:rFonts w:ascii="Arial" w:cs="Arial" w:eastAsia="Arial" w:hAnsi="Arial"/>
                <w:sz w:val="16"/>
                <w:szCs w:val="16"/>
                <w:color w:val="auto"/>
              </w:rPr>
              <w:t>Total expected contributions in 2011:</w:t>
            </w:r>
          </w:p>
        </w:tc>
        <w:tc>
          <w:tcPr>
            <w:tcW w:w="29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980" w:type="dxa"/>
            <w:vAlign w:val="bottom"/>
          </w:tcPr>
          <w:p>
            <w:pPr>
              <w:ind w:left="180"/>
              <w:spacing w:after="0" w:line="176" w:lineRule="exact"/>
              <w:rPr>
                <w:sz w:val="20"/>
                <w:szCs w:val="20"/>
                <w:color w:val="auto"/>
              </w:rPr>
            </w:pPr>
            <w:r>
              <w:rPr>
                <w:rFonts w:ascii="Arial" w:cs="Arial" w:eastAsia="Arial" w:hAnsi="Arial"/>
                <w:sz w:val="16"/>
                <w:szCs w:val="16"/>
                <w:color w:val="auto"/>
              </w:rPr>
              <w:t>Pension plans</w:t>
            </w:r>
          </w:p>
        </w:tc>
        <w:tc>
          <w:tcPr>
            <w:tcW w:w="2920" w:type="dxa"/>
            <w:vAlign w:val="bottom"/>
          </w:tcPr>
          <w:p>
            <w:pPr>
              <w:jc w:val="right"/>
              <w:ind w:right="1443"/>
              <w:spacing w:after="0" w:line="176" w:lineRule="exact"/>
              <w:rPr>
                <w:sz w:val="20"/>
                <w:szCs w:val="20"/>
                <w:color w:val="auto"/>
              </w:rPr>
            </w:pPr>
            <w:r>
              <w:rPr>
                <w:rFonts w:ascii="Arial" w:cs="Arial" w:eastAsia="Arial" w:hAnsi="Arial"/>
                <w:sz w:val="16"/>
                <w:szCs w:val="16"/>
                <w:color w:val="auto"/>
              </w:rPr>
              <w:t>$</w:t>
            </w:r>
          </w:p>
        </w:tc>
        <w:tc>
          <w:tcPr>
            <w:tcW w:w="400" w:type="dxa"/>
            <w:vAlign w:val="bottom"/>
          </w:tcPr>
          <w:p>
            <w:pPr>
              <w:jc w:val="right"/>
              <w:spacing w:after="0" w:line="176" w:lineRule="exact"/>
              <w:rPr>
                <w:sz w:val="20"/>
                <w:szCs w:val="20"/>
                <w:color w:val="auto"/>
              </w:rPr>
            </w:pPr>
            <w:r>
              <w:rPr>
                <w:rFonts w:ascii="Arial" w:cs="Arial" w:eastAsia="Arial" w:hAnsi="Arial"/>
                <w:sz w:val="16"/>
                <w:szCs w:val="16"/>
                <w:color w:val="auto"/>
              </w:rPr>
              <w:t>249</w:t>
            </w:r>
          </w:p>
        </w:tc>
        <w:tc>
          <w:tcPr>
            <w:tcW w:w="1560" w:type="dxa"/>
            <w:vAlign w:val="bottom"/>
          </w:tcPr>
          <w:p>
            <w:pPr>
              <w:jc w:val="right"/>
              <w:ind w:right="1382"/>
              <w:spacing w:after="0" w:line="176" w:lineRule="exact"/>
              <w:rPr>
                <w:sz w:val="20"/>
                <w:szCs w:val="20"/>
                <w:color w:val="auto"/>
              </w:rPr>
            </w:pPr>
            <w:r>
              <w:rPr>
                <w:rFonts w:ascii="Arial" w:cs="Arial" w:eastAsia="Arial" w:hAnsi="Arial"/>
                <w:sz w:val="16"/>
                <w:szCs w:val="16"/>
                <w:color w:val="auto"/>
                <w:w w:val="89"/>
              </w:rPr>
              <w:t>$</w:t>
            </w:r>
          </w:p>
        </w:tc>
        <w:tc>
          <w:tcPr>
            <w:tcW w:w="480" w:type="dxa"/>
            <w:vAlign w:val="bottom"/>
          </w:tcPr>
          <w:p>
            <w:pPr>
              <w:jc w:val="right"/>
              <w:spacing w:after="0" w:line="176" w:lineRule="exact"/>
              <w:rPr>
                <w:sz w:val="20"/>
                <w:szCs w:val="20"/>
                <w:color w:val="auto"/>
              </w:rPr>
            </w:pPr>
            <w:r>
              <w:rPr>
                <w:rFonts w:ascii="Arial" w:cs="Arial" w:eastAsia="Arial" w:hAnsi="Arial"/>
                <w:sz w:val="16"/>
                <w:szCs w:val="16"/>
                <w:color w:val="auto"/>
              </w:rPr>
              <w:t>81</w:t>
            </w:r>
          </w:p>
        </w:tc>
        <w:tc>
          <w:tcPr>
            <w:tcW w:w="420" w:type="dxa"/>
            <w:vAlign w:val="bottom"/>
          </w:tcPr>
          <w:p>
            <w:pPr>
              <w:jc w:val="right"/>
              <w:ind w:right="239"/>
              <w:spacing w:after="0" w:line="176" w:lineRule="exact"/>
              <w:rPr>
                <w:sz w:val="20"/>
                <w:szCs w:val="20"/>
                <w:color w:val="auto"/>
              </w:rPr>
            </w:pPr>
            <w:r>
              <w:rPr>
                <w:rFonts w:ascii="Arial" w:cs="Arial" w:eastAsia="Arial" w:hAnsi="Arial"/>
                <w:sz w:val="16"/>
                <w:szCs w:val="16"/>
                <w:color w:val="auto"/>
                <w:w w:val="89"/>
              </w:rPr>
              <w:t>$</w:t>
            </w:r>
          </w:p>
        </w:tc>
        <w:tc>
          <w:tcPr>
            <w:tcW w:w="1660" w:type="dxa"/>
            <w:vAlign w:val="bottom"/>
          </w:tcPr>
          <w:p>
            <w:pPr>
              <w:jc w:val="right"/>
              <w:spacing w:after="0" w:line="176" w:lineRule="exact"/>
              <w:rPr>
                <w:sz w:val="20"/>
                <w:szCs w:val="20"/>
                <w:color w:val="auto"/>
              </w:rPr>
            </w:pPr>
            <w:r>
              <w:rPr>
                <w:rFonts w:ascii="Arial" w:cs="Arial" w:eastAsia="Arial" w:hAnsi="Arial"/>
                <w:sz w:val="16"/>
                <w:szCs w:val="16"/>
                <w:color w:val="auto"/>
              </w:rPr>
              <w:t>120</w:t>
            </w:r>
          </w:p>
        </w:tc>
        <w:tc>
          <w:tcPr>
            <w:tcW w:w="0" w:type="dxa"/>
            <w:vAlign w:val="bottom"/>
          </w:tcPr>
          <w:p>
            <w:pPr>
              <w:spacing w:after="0"/>
              <w:rPr>
                <w:sz w:val="1"/>
                <w:szCs w:val="1"/>
                <w:color w:val="auto"/>
              </w:rPr>
            </w:pPr>
          </w:p>
        </w:tc>
      </w:tr>
      <w:tr>
        <w:trPr>
          <w:trHeight w:val="194"/>
        </w:trPr>
        <w:tc>
          <w:tcPr>
            <w:tcW w:w="3980" w:type="dxa"/>
            <w:vAlign w:val="bottom"/>
            <w:tcBorders>
              <w:bottom w:val="single" w:sz="8" w:color="auto"/>
            </w:tcBorders>
          </w:tcPr>
          <w:p>
            <w:pPr>
              <w:ind w:left="180"/>
              <w:spacing w:after="0"/>
              <w:rPr>
                <w:sz w:val="20"/>
                <w:szCs w:val="20"/>
                <w:color w:val="auto"/>
              </w:rPr>
            </w:pPr>
            <w:r>
              <w:rPr>
                <w:rFonts w:ascii="Arial" w:cs="Arial" w:eastAsia="Arial" w:hAnsi="Arial"/>
                <w:sz w:val="16"/>
                <w:szCs w:val="16"/>
                <w:color w:val="auto"/>
              </w:rPr>
              <w:t>Other postretirement benefit plans</w:t>
            </w:r>
          </w:p>
        </w:tc>
        <w:tc>
          <w:tcPr>
            <w:tcW w:w="292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76</w:t>
            </w:r>
          </w:p>
        </w:tc>
        <w:tc>
          <w:tcPr>
            <w:tcW w:w="156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w:t>
            </w:r>
          </w:p>
        </w:tc>
        <w:tc>
          <w:tcPr>
            <w:tcW w:w="42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55</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EARNINGS PER SHARE</w:t>
      </w:r>
    </w:p>
    <w:p>
      <w:pPr>
        <w:spacing w:after="0" w:line="234"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The following table provides the per share computations for our earnings for the three months and six months ended June 30, 2011 and 2010. Basic earnings per common share (EPS) is calculated by dividing earnings attributable to common stock by the weighted-average number of common shares outstanding for the period. Diluted EPS includes the potential dilution of common stock equivalent shares that could occur if securities or other contracts to issue common stock were exercised or converted into common stock.</w:t>
      </w: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EARNINGS PER SHARE COMPUTATIONS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-104775</wp:posOffset>
            </wp:positionV>
            <wp:extent cx="7246620" cy="22288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6620" cy="222885"/>
                    </a:xfrm>
                    <a:prstGeom prst="rect">
                      <a:avLst/>
                    </a:prstGeom>
                    <a:noFill/>
                  </pic:spPr>
                </pic:pic>
              </a:graphicData>
            </a:graphic>
          </wp:anchor>
        </w:drawing>
      </w: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60" w:type="dxa"/>
            <w:vAlign w:val="bottom"/>
            <w:gridSpan w:val="2"/>
          </w:tcPr>
          <w:p>
            <w:pPr>
              <w:spacing w:after="0"/>
              <w:rPr>
                <w:sz w:val="20"/>
                <w:szCs w:val="20"/>
                <w:color w:val="auto"/>
              </w:rPr>
            </w:pPr>
            <w:r>
              <w:rPr>
                <w:rFonts w:ascii="Arial" w:cs="Arial" w:eastAsia="Arial" w:hAnsi="Arial"/>
                <w:sz w:val="14"/>
                <w:szCs w:val="14"/>
                <w:i w:val="1"/>
                <w:iCs w:val="1"/>
                <w:color w:val="auto"/>
              </w:rPr>
              <w:t>(Dollars in millions, except per share amounts; shares in thousands)</w:t>
            </w:r>
          </w:p>
        </w:tc>
        <w:tc>
          <w:tcPr>
            <w:tcW w:w="340" w:type="dxa"/>
            <w:vAlign w:val="bottom"/>
          </w:tcPr>
          <w:p>
            <w:pPr>
              <w:spacing w:after="0"/>
              <w:rPr>
                <w:sz w:val="14"/>
                <w:szCs w:val="14"/>
                <w:color w:val="auto"/>
              </w:rPr>
            </w:pPr>
          </w:p>
        </w:tc>
        <w:tc>
          <w:tcPr>
            <w:tcW w:w="2700" w:type="dxa"/>
            <w:vAlign w:val="bottom"/>
            <w:gridSpan w:val="3"/>
            <w:vMerge w:val="restart"/>
          </w:tcPr>
          <w:p>
            <w:pPr>
              <w:jc w:val="right"/>
              <w:ind w:right="460"/>
              <w:spacing w:after="0"/>
              <w:rPr>
                <w:sz w:val="20"/>
                <w:szCs w:val="20"/>
                <w:color w:val="auto"/>
              </w:rPr>
            </w:pPr>
            <w:r>
              <w:rPr>
                <w:rFonts w:ascii="Arial" w:cs="Arial" w:eastAsia="Arial" w:hAnsi="Arial"/>
                <w:sz w:val="14"/>
                <w:szCs w:val="14"/>
                <w:color w:val="auto"/>
              </w:rPr>
              <w:t>Three months ended June 30,</w:t>
            </w:r>
          </w:p>
        </w:tc>
        <w:tc>
          <w:tcPr>
            <w:tcW w:w="20" w:type="dxa"/>
            <w:vAlign w:val="bottom"/>
          </w:tcPr>
          <w:p>
            <w:pPr>
              <w:spacing w:after="0"/>
              <w:rPr>
                <w:sz w:val="14"/>
                <w:szCs w:val="14"/>
                <w:color w:val="auto"/>
              </w:rPr>
            </w:pPr>
          </w:p>
        </w:tc>
        <w:tc>
          <w:tcPr>
            <w:tcW w:w="340" w:type="dxa"/>
            <w:vAlign w:val="bottom"/>
            <w:shd w:val="clear" w:color="auto" w:fill="C0C0C0"/>
          </w:tcPr>
          <w:p>
            <w:pPr>
              <w:spacing w:after="0"/>
              <w:rPr>
                <w:sz w:val="14"/>
                <w:szCs w:val="14"/>
                <w:color w:val="auto"/>
              </w:rPr>
            </w:pPr>
          </w:p>
        </w:tc>
        <w:tc>
          <w:tcPr>
            <w:tcW w:w="1180" w:type="dxa"/>
            <w:vAlign w:val="bottom"/>
            <w:shd w:val="clear" w:color="auto" w:fill="C0C0C0"/>
          </w:tcPr>
          <w:p>
            <w:pPr>
              <w:spacing w:after="0"/>
              <w:rPr>
                <w:sz w:val="14"/>
                <w:szCs w:val="14"/>
                <w:color w:val="auto"/>
              </w:rPr>
            </w:pPr>
          </w:p>
        </w:tc>
        <w:tc>
          <w:tcPr>
            <w:tcW w:w="380" w:type="dxa"/>
            <w:vAlign w:val="bottom"/>
            <w:shd w:val="clear" w:color="auto" w:fill="C0C0C0"/>
          </w:tcPr>
          <w:p>
            <w:pPr>
              <w:spacing w:after="0"/>
              <w:rPr>
                <w:sz w:val="14"/>
                <w:szCs w:val="14"/>
                <w:color w:val="auto"/>
              </w:rPr>
            </w:pPr>
          </w:p>
        </w:tc>
        <w:tc>
          <w:tcPr>
            <w:tcW w:w="1200" w:type="dxa"/>
            <w:vAlign w:val="bottom"/>
            <w:shd w:val="clear" w:color="auto" w:fill="C0C0C0"/>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524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2700" w:type="dxa"/>
            <w:vAlign w:val="bottom"/>
            <w:tcBorders>
              <w:bottom w:val="single" w:sz="8" w:color="auto"/>
            </w:tcBorders>
            <w:gridSpan w:val="3"/>
            <w:vMerge w:val="continue"/>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2760" w:type="dxa"/>
            <w:vAlign w:val="bottom"/>
            <w:tcBorders>
              <w:bottom w:val="single" w:sz="8" w:color="auto"/>
            </w:tcBorders>
            <w:gridSpan w:val="3"/>
          </w:tcPr>
          <w:p>
            <w:pPr>
              <w:jc w:val="right"/>
              <w:ind w:right="600"/>
              <w:spacing w:after="0"/>
              <w:rPr>
                <w:sz w:val="20"/>
                <w:szCs w:val="20"/>
                <w:color w:val="auto"/>
              </w:rPr>
            </w:pPr>
            <w:r>
              <w:rPr>
                <w:rFonts w:ascii="Arial" w:cs="Arial" w:eastAsia="Arial" w:hAnsi="Arial"/>
                <w:sz w:val="14"/>
                <w:szCs w:val="14"/>
                <w:color w:val="auto"/>
              </w:rPr>
              <w:t>Six months ended June 30,</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524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521"/>
              <w:spacing w:after="0"/>
              <w:rPr>
                <w:sz w:val="20"/>
                <w:szCs w:val="20"/>
                <w:color w:val="auto"/>
              </w:rPr>
            </w:pPr>
            <w:r>
              <w:rPr>
                <w:rFonts w:ascii="Arial" w:cs="Arial" w:eastAsia="Arial" w:hAnsi="Arial"/>
                <w:sz w:val="14"/>
                <w:szCs w:val="14"/>
                <w:color w:val="auto"/>
              </w:rPr>
              <w:t>2011</w:t>
            </w:r>
          </w:p>
        </w:tc>
        <w:tc>
          <w:tcPr>
            <w:tcW w:w="36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520"/>
              <w:spacing w:after="0"/>
              <w:rPr>
                <w:sz w:val="20"/>
                <w:szCs w:val="20"/>
                <w:color w:val="auto"/>
              </w:rPr>
            </w:pPr>
            <w:r>
              <w:rPr>
                <w:rFonts w:ascii="Arial" w:cs="Arial" w:eastAsia="Arial" w:hAnsi="Arial"/>
                <w:sz w:val="14"/>
                <w:szCs w:val="14"/>
                <w:color w:val="auto"/>
              </w:rPr>
              <w:t>2010</w:t>
            </w:r>
          </w:p>
        </w:tc>
        <w:tc>
          <w:tcPr>
            <w:tcW w:w="2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521"/>
              <w:spacing w:after="0"/>
              <w:rPr>
                <w:sz w:val="20"/>
                <w:szCs w:val="20"/>
                <w:color w:val="auto"/>
              </w:rPr>
            </w:pPr>
            <w:r>
              <w:rPr>
                <w:rFonts w:ascii="Arial" w:cs="Arial" w:eastAsia="Arial" w:hAnsi="Arial"/>
                <w:sz w:val="14"/>
                <w:szCs w:val="14"/>
                <w:color w:val="auto"/>
              </w:rPr>
              <w:t>2011</w:t>
            </w:r>
          </w:p>
        </w:tc>
        <w:tc>
          <w:tcPr>
            <w:tcW w:w="38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560"/>
              <w:spacing w:after="0"/>
              <w:rPr>
                <w:sz w:val="20"/>
                <w:szCs w:val="20"/>
                <w:color w:val="auto"/>
              </w:rPr>
            </w:pPr>
            <w:r>
              <w:rPr>
                <w:rFonts w:ascii="Arial" w:cs="Arial" w:eastAsia="Arial" w:hAnsi="Arial"/>
                <w:sz w:val="14"/>
                <w:szCs w:val="14"/>
                <w:color w:val="auto"/>
              </w:rPr>
              <w:t>2010</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5240" w:type="dxa"/>
            <w:vAlign w:val="bottom"/>
          </w:tcPr>
          <w:p>
            <w:pPr>
              <w:spacing w:after="0" w:line="164" w:lineRule="exact"/>
              <w:rPr>
                <w:sz w:val="20"/>
                <w:szCs w:val="20"/>
                <w:color w:val="auto"/>
              </w:rPr>
            </w:pPr>
            <w:r>
              <w:rPr>
                <w:rFonts w:ascii="Arial" w:cs="Arial" w:eastAsia="Arial" w:hAnsi="Arial"/>
                <w:sz w:val="16"/>
                <w:szCs w:val="16"/>
                <w:color w:val="auto"/>
              </w:rPr>
              <w:t>Numerator:</w:t>
            </w:r>
          </w:p>
        </w:tc>
        <w:tc>
          <w:tcPr>
            <w:tcW w:w="3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5240" w:type="dxa"/>
            <w:vAlign w:val="bottom"/>
          </w:tcPr>
          <w:p>
            <w:pPr>
              <w:ind w:left="160"/>
              <w:spacing w:after="0"/>
              <w:rPr>
                <w:sz w:val="20"/>
                <w:szCs w:val="20"/>
                <w:color w:val="auto"/>
              </w:rPr>
            </w:pPr>
            <w:r>
              <w:rPr>
                <w:rFonts w:ascii="Arial" w:cs="Arial" w:eastAsia="Arial" w:hAnsi="Arial"/>
                <w:sz w:val="16"/>
                <w:szCs w:val="16"/>
                <w:color w:val="auto"/>
              </w:rPr>
              <w:t>Earnings/Income attributable to common shareholders</w:t>
            </w: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511</w:t>
            </w:r>
          </w:p>
        </w:tc>
        <w:tc>
          <w:tcPr>
            <w:tcW w:w="3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222</w:t>
            </w:r>
          </w:p>
        </w:tc>
        <w:tc>
          <w:tcPr>
            <w:tcW w:w="3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769</w:t>
            </w:r>
          </w:p>
        </w:tc>
        <w:tc>
          <w:tcPr>
            <w:tcW w:w="38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328</w:t>
            </w:r>
          </w:p>
        </w:tc>
        <w:tc>
          <w:tcPr>
            <w:tcW w:w="0" w:type="dxa"/>
            <w:vAlign w:val="bottom"/>
          </w:tcPr>
          <w:p>
            <w:pPr>
              <w:spacing w:after="0"/>
              <w:rPr>
                <w:sz w:val="1"/>
                <w:szCs w:val="1"/>
                <w:color w:val="auto"/>
              </w:rPr>
            </w:pPr>
          </w:p>
        </w:tc>
      </w:tr>
      <w:tr>
        <w:trPr>
          <w:trHeight w:val="332"/>
        </w:trPr>
        <w:tc>
          <w:tcPr>
            <w:tcW w:w="5260" w:type="dxa"/>
            <w:vAlign w:val="bottom"/>
            <w:gridSpan w:val="2"/>
          </w:tcPr>
          <w:p>
            <w:pPr>
              <w:spacing w:after="0"/>
              <w:rPr>
                <w:sz w:val="20"/>
                <w:szCs w:val="20"/>
                <w:color w:val="auto"/>
              </w:rPr>
            </w:pPr>
            <w:r>
              <w:rPr>
                <w:rFonts w:ascii="Arial" w:cs="Arial" w:eastAsia="Arial" w:hAnsi="Arial"/>
                <w:sz w:val="16"/>
                <w:szCs w:val="16"/>
                <w:color w:val="auto"/>
              </w:rPr>
              <w:t>Denominator:</w:t>
            </w: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5240" w:type="dxa"/>
            <w:vAlign w:val="bottom"/>
          </w:tcPr>
          <w:p>
            <w:pPr>
              <w:ind w:left="160"/>
              <w:spacing w:after="0" w:line="176" w:lineRule="exact"/>
              <w:rPr>
                <w:sz w:val="20"/>
                <w:szCs w:val="20"/>
                <w:color w:val="auto"/>
              </w:rPr>
            </w:pPr>
            <w:r>
              <w:rPr>
                <w:rFonts w:ascii="Arial" w:cs="Arial" w:eastAsia="Arial" w:hAnsi="Arial"/>
                <w:sz w:val="16"/>
                <w:szCs w:val="16"/>
                <w:color w:val="auto"/>
              </w:rPr>
              <w:t>Weighted-average common shares</w:t>
            </w:r>
          </w:p>
        </w:tc>
        <w:tc>
          <w:tcPr>
            <w:tcW w:w="3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5240" w:type="dxa"/>
            <w:vAlign w:val="bottom"/>
          </w:tcPr>
          <w:p>
            <w:pPr>
              <w:ind w:left="340"/>
              <w:spacing w:after="0" w:line="176" w:lineRule="exact"/>
              <w:rPr>
                <w:sz w:val="20"/>
                <w:szCs w:val="20"/>
                <w:color w:val="auto"/>
              </w:rPr>
            </w:pPr>
            <w:r>
              <w:rPr>
                <w:rFonts w:ascii="Arial" w:cs="Arial" w:eastAsia="Arial" w:hAnsi="Arial"/>
                <w:sz w:val="16"/>
                <w:szCs w:val="16"/>
                <w:color w:val="auto"/>
              </w:rPr>
              <w:t>outstanding for basic EPS</w:t>
            </w:r>
          </w:p>
        </w:tc>
        <w:tc>
          <w:tcPr>
            <w:tcW w:w="340" w:type="dxa"/>
            <w:vAlign w:val="bottom"/>
          </w:tcPr>
          <w:p>
            <w:pPr>
              <w:spacing w:after="0"/>
              <w:rPr>
                <w:sz w:val="15"/>
                <w:szCs w:val="15"/>
                <w:color w:val="auto"/>
              </w:rPr>
            </w:pPr>
          </w:p>
        </w:tc>
        <w:tc>
          <w:tcPr>
            <w:tcW w:w="1160" w:type="dxa"/>
            <w:vAlign w:val="bottom"/>
          </w:tcPr>
          <w:p>
            <w:pPr>
              <w:jc w:val="right"/>
              <w:spacing w:after="0" w:line="176" w:lineRule="exact"/>
              <w:rPr>
                <w:sz w:val="20"/>
                <w:szCs w:val="20"/>
                <w:color w:val="auto"/>
              </w:rPr>
            </w:pPr>
            <w:r>
              <w:rPr>
                <w:rFonts w:ascii="Arial" w:cs="Arial" w:eastAsia="Arial" w:hAnsi="Arial"/>
                <w:sz w:val="16"/>
                <w:szCs w:val="16"/>
                <w:color w:val="auto"/>
              </w:rPr>
              <w:t>239,415</w:t>
            </w:r>
          </w:p>
        </w:tc>
        <w:tc>
          <w:tcPr>
            <w:tcW w:w="360" w:type="dxa"/>
            <w:vAlign w:val="bottom"/>
          </w:tcPr>
          <w:p>
            <w:pPr>
              <w:spacing w:after="0"/>
              <w:rPr>
                <w:sz w:val="15"/>
                <w:szCs w:val="15"/>
                <w:color w:val="auto"/>
              </w:rPr>
            </w:pPr>
          </w:p>
        </w:tc>
        <w:tc>
          <w:tcPr>
            <w:tcW w:w="1180" w:type="dxa"/>
            <w:vAlign w:val="bottom"/>
          </w:tcPr>
          <w:p>
            <w:pPr>
              <w:jc w:val="right"/>
              <w:spacing w:after="0" w:line="176" w:lineRule="exact"/>
              <w:rPr>
                <w:sz w:val="20"/>
                <w:szCs w:val="20"/>
                <w:color w:val="auto"/>
              </w:rPr>
            </w:pPr>
            <w:r>
              <w:rPr>
                <w:rFonts w:ascii="Arial" w:cs="Arial" w:eastAsia="Arial" w:hAnsi="Arial"/>
                <w:sz w:val="16"/>
                <w:szCs w:val="16"/>
                <w:color w:val="auto"/>
              </w:rPr>
              <w:t>246,784</w:t>
            </w:r>
          </w:p>
        </w:tc>
        <w:tc>
          <w:tcPr>
            <w:tcW w:w="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80" w:type="dxa"/>
            <w:vAlign w:val="bottom"/>
          </w:tcPr>
          <w:p>
            <w:pPr>
              <w:jc w:val="right"/>
              <w:spacing w:after="0" w:line="176" w:lineRule="exact"/>
              <w:rPr>
                <w:sz w:val="20"/>
                <w:szCs w:val="20"/>
                <w:color w:val="auto"/>
              </w:rPr>
            </w:pPr>
            <w:r>
              <w:rPr>
                <w:rFonts w:ascii="Arial" w:cs="Arial" w:eastAsia="Arial" w:hAnsi="Arial"/>
                <w:sz w:val="16"/>
                <w:szCs w:val="16"/>
                <w:color w:val="auto"/>
              </w:rPr>
              <w:t>239,769</w:t>
            </w:r>
          </w:p>
        </w:tc>
        <w:tc>
          <w:tcPr>
            <w:tcW w:w="380" w:type="dxa"/>
            <w:vAlign w:val="bottom"/>
          </w:tcPr>
          <w:p>
            <w:pPr>
              <w:spacing w:after="0"/>
              <w:rPr>
                <w:sz w:val="15"/>
                <w:szCs w:val="15"/>
                <w:color w:val="auto"/>
              </w:rPr>
            </w:pPr>
          </w:p>
        </w:tc>
        <w:tc>
          <w:tcPr>
            <w:tcW w:w="1200" w:type="dxa"/>
            <w:vAlign w:val="bottom"/>
          </w:tcPr>
          <w:p>
            <w:pPr>
              <w:jc w:val="right"/>
              <w:spacing w:after="0" w:line="176" w:lineRule="exact"/>
              <w:rPr>
                <w:sz w:val="20"/>
                <w:szCs w:val="20"/>
                <w:color w:val="auto"/>
              </w:rPr>
            </w:pPr>
            <w:r>
              <w:rPr>
                <w:rFonts w:ascii="Arial" w:cs="Arial" w:eastAsia="Arial" w:hAnsi="Arial"/>
                <w:sz w:val="16"/>
                <w:szCs w:val="16"/>
                <w:color w:val="auto"/>
              </w:rPr>
              <w:t>246,435</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5240" w:type="dxa"/>
            <w:vAlign w:val="bottom"/>
          </w:tcPr>
          <w:p>
            <w:pPr>
              <w:ind w:left="160"/>
              <w:spacing w:after="0" w:line="176" w:lineRule="exact"/>
              <w:rPr>
                <w:sz w:val="20"/>
                <w:szCs w:val="20"/>
                <w:color w:val="auto"/>
              </w:rPr>
            </w:pPr>
            <w:r>
              <w:rPr>
                <w:rFonts w:ascii="Arial" w:cs="Arial" w:eastAsia="Arial" w:hAnsi="Arial"/>
                <w:sz w:val="16"/>
                <w:szCs w:val="16"/>
                <w:color w:val="auto"/>
              </w:rPr>
              <w:t>Dilutive effect of stock options, restricted</w:t>
            </w:r>
          </w:p>
        </w:tc>
        <w:tc>
          <w:tcPr>
            <w:tcW w:w="3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5240" w:type="dxa"/>
            <w:vAlign w:val="bottom"/>
          </w:tcPr>
          <w:p>
            <w:pPr>
              <w:ind w:left="340"/>
              <w:spacing w:after="0" w:line="176" w:lineRule="exact"/>
              <w:rPr>
                <w:sz w:val="20"/>
                <w:szCs w:val="20"/>
                <w:color w:val="auto"/>
              </w:rPr>
            </w:pPr>
            <w:r>
              <w:rPr>
                <w:rFonts w:ascii="Arial" w:cs="Arial" w:eastAsia="Arial" w:hAnsi="Arial"/>
                <w:sz w:val="16"/>
                <w:szCs w:val="16"/>
                <w:color w:val="auto"/>
              </w:rPr>
              <w:t>stock awards and restricted stock units</w:t>
            </w:r>
          </w:p>
        </w:tc>
        <w:tc>
          <w:tcPr>
            <w:tcW w:w="340" w:type="dxa"/>
            <w:vAlign w:val="bottom"/>
          </w:tcPr>
          <w:p>
            <w:pPr>
              <w:spacing w:after="0"/>
              <w:rPr>
                <w:sz w:val="15"/>
                <w:szCs w:val="15"/>
                <w:color w:val="auto"/>
              </w:rPr>
            </w:pPr>
          </w:p>
        </w:tc>
        <w:tc>
          <w:tcPr>
            <w:tcW w:w="1160" w:type="dxa"/>
            <w:vAlign w:val="bottom"/>
          </w:tcPr>
          <w:p>
            <w:pPr>
              <w:jc w:val="right"/>
              <w:spacing w:after="0" w:line="176" w:lineRule="exact"/>
              <w:rPr>
                <w:sz w:val="20"/>
                <w:szCs w:val="20"/>
                <w:color w:val="auto"/>
              </w:rPr>
            </w:pPr>
            <w:r>
              <w:rPr>
                <w:rFonts w:ascii="Arial" w:cs="Arial" w:eastAsia="Arial" w:hAnsi="Arial"/>
                <w:sz w:val="16"/>
                <w:szCs w:val="16"/>
                <w:color w:val="auto"/>
              </w:rPr>
              <w:t>1,346</w:t>
            </w:r>
          </w:p>
        </w:tc>
        <w:tc>
          <w:tcPr>
            <w:tcW w:w="360" w:type="dxa"/>
            <w:vAlign w:val="bottom"/>
          </w:tcPr>
          <w:p>
            <w:pPr>
              <w:spacing w:after="0"/>
              <w:rPr>
                <w:sz w:val="15"/>
                <w:szCs w:val="15"/>
                <w:color w:val="auto"/>
              </w:rPr>
            </w:pPr>
          </w:p>
        </w:tc>
        <w:tc>
          <w:tcPr>
            <w:tcW w:w="1180" w:type="dxa"/>
            <w:vAlign w:val="bottom"/>
          </w:tcPr>
          <w:p>
            <w:pPr>
              <w:jc w:val="right"/>
              <w:spacing w:after="0" w:line="176" w:lineRule="exact"/>
              <w:rPr>
                <w:sz w:val="20"/>
                <w:szCs w:val="20"/>
                <w:color w:val="auto"/>
              </w:rPr>
            </w:pPr>
            <w:r>
              <w:rPr>
                <w:rFonts w:ascii="Arial" w:cs="Arial" w:eastAsia="Arial" w:hAnsi="Arial"/>
                <w:sz w:val="16"/>
                <w:szCs w:val="16"/>
                <w:color w:val="auto"/>
              </w:rPr>
              <w:t>2,943</w:t>
            </w:r>
          </w:p>
        </w:tc>
        <w:tc>
          <w:tcPr>
            <w:tcW w:w="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80" w:type="dxa"/>
            <w:vAlign w:val="bottom"/>
          </w:tcPr>
          <w:p>
            <w:pPr>
              <w:jc w:val="right"/>
              <w:spacing w:after="0" w:line="176" w:lineRule="exact"/>
              <w:rPr>
                <w:sz w:val="20"/>
                <w:szCs w:val="20"/>
                <w:color w:val="auto"/>
              </w:rPr>
            </w:pPr>
            <w:r>
              <w:rPr>
                <w:rFonts w:ascii="Arial" w:cs="Arial" w:eastAsia="Arial" w:hAnsi="Arial"/>
                <w:sz w:val="16"/>
                <w:szCs w:val="16"/>
                <w:color w:val="auto"/>
              </w:rPr>
              <w:t>1,385</w:t>
            </w:r>
          </w:p>
        </w:tc>
        <w:tc>
          <w:tcPr>
            <w:tcW w:w="380" w:type="dxa"/>
            <w:vAlign w:val="bottom"/>
          </w:tcPr>
          <w:p>
            <w:pPr>
              <w:spacing w:after="0"/>
              <w:rPr>
                <w:sz w:val="15"/>
                <w:szCs w:val="15"/>
                <w:color w:val="auto"/>
              </w:rPr>
            </w:pPr>
          </w:p>
        </w:tc>
        <w:tc>
          <w:tcPr>
            <w:tcW w:w="1200" w:type="dxa"/>
            <w:vAlign w:val="bottom"/>
          </w:tcPr>
          <w:p>
            <w:pPr>
              <w:jc w:val="right"/>
              <w:spacing w:after="0" w:line="176" w:lineRule="exact"/>
              <w:rPr>
                <w:sz w:val="20"/>
                <w:szCs w:val="20"/>
                <w:color w:val="auto"/>
              </w:rPr>
            </w:pPr>
            <w:r>
              <w:rPr>
                <w:rFonts w:ascii="Arial" w:cs="Arial" w:eastAsia="Arial" w:hAnsi="Arial"/>
                <w:sz w:val="16"/>
                <w:szCs w:val="16"/>
                <w:color w:val="auto"/>
              </w:rPr>
              <w:t>3,400</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5240" w:type="dxa"/>
            <w:vAlign w:val="bottom"/>
          </w:tcPr>
          <w:p>
            <w:pPr>
              <w:ind w:left="160"/>
              <w:spacing w:after="0" w:line="176" w:lineRule="exact"/>
              <w:rPr>
                <w:sz w:val="20"/>
                <w:szCs w:val="20"/>
                <w:color w:val="auto"/>
              </w:rPr>
            </w:pPr>
            <w:r>
              <w:rPr>
                <w:rFonts w:ascii="Arial" w:cs="Arial" w:eastAsia="Arial" w:hAnsi="Arial"/>
                <w:sz w:val="16"/>
                <w:szCs w:val="16"/>
                <w:color w:val="auto"/>
              </w:rPr>
              <w:t>Weighted-average common shares</w:t>
            </w:r>
          </w:p>
        </w:tc>
        <w:tc>
          <w:tcPr>
            <w:tcW w:w="3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5240" w:type="dxa"/>
            <w:vAlign w:val="bottom"/>
          </w:tcPr>
          <w:p>
            <w:pPr>
              <w:ind w:left="340"/>
              <w:spacing w:after="0"/>
              <w:rPr>
                <w:sz w:val="20"/>
                <w:szCs w:val="20"/>
                <w:color w:val="auto"/>
              </w:rPr>
            </w:pPr>
            <w:r>
              <w:rPr>
                <w:rFonts w:ascii="Arial" w:cs="Arial" w:eastAsia="Arial" w:hAnsi="Arial"/>
                <w:sz w:val="16"/>
                <w:szCs w:val="16"/>
                <w:color w:val="auto"/>
              </w:rPr>
              <w:t>outstanding for diluted EPS</w:t>
            </w:r>
          </w:p>
        </w:tc>
        <w:tc>
          <w:tcPr>
            <w:tcW w:w="34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240,761</w:t>
            </w:r>
          </w:p>
        </w:tc>
        <w:tc>
          <w:tcPr>
            <w:tcW w:w="36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249,727</w:t>
            </w:r>
          </w:p>
        </w:tc>
        <w:tc>
          <w:tcPr>
            <w:tcW w:w="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241,154</w:t>
            </w:r>
          </w:p>
        </w:tc>
        <w:tc>
          <w:tcPr>
            <w:tcW w:w="38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249,835</w:t>
            </w:r>
          </w:p>
        </w:tc>
        <w:tc>
          <w:tcPr>
            <w:tcW w:w="0" w:type="dxa"/>
            <w:vAlign w:val="bottom"/>
          </w:tcPr>
          <w:p>
            <w:pPr>
              <w:spacing w:after="0"/>
              <w:rPr>
                <w:sz w:val="1"/>
                <w:szCs w:val="1"/>
                <w:color w:val="auto"/>
              </w:rPr>
            </w:pPr>
          </w:p>
        </w:tc>
      </w:tr>
      <w:tr>
        <w:trPr>
          <w:trHeight w:val="359"/>
        </w:trPr>
        <w:tc>
          <w:tcPr>
            <w:tcW w:w="5260" w:type="dxa"/>
            <w:vAlign w:val="bottom"/>
            <w:gridSpan w:val="2"/>
          </w:tcPr>
          <w:p>
            <w:pPr>
              <w:spacing w:after="0"/>
              <w:rPr>
                <w:sz w:val="20"/>
                <w:szCs w:val="20"/>
                <w:color w:val="auto"/>
              </w:rPr>
            </w:pPr>
            <w:r>
              <w:rPr>
                <w:rFonts w:ascii="Arial" w:cs="Arial" w:eastAsia="Arial" w:hAnsi="Arial"/>
                <w:sz w:val="16"/>
                <w:szCs w:val="16"/>
                <w:color w:val="auto"/>
              </w:rPr>
              <w:t>Earnings per share:</w:t>
            </w: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5240" w:type="dxa"/>
            <w:vAlign w:val="bottom"/>
          </w:tcPr>
          <w:p>
            <w:pPr>
              <w:ind w:left="160"/>
              <w:spacing w:after="0" w:line="176" w:lineRule="exact"/>
              <w:rPr>
                <w:sz w:val="20"/>
                <w:szCs w:val="20"/>
                <w:color w:val="auto"/>
              </w:rPr>
            </w:pPr>
            <w:r>
              <w:rPr>
                <w:rFonts w:ascii="Arial" w:cs="Arial" w:eastAsia="Arial" w:hAnsi="Arial"/>
                <w:sz w:val="16"/>
                <w:szCs w:val="16"/>
                <w:color w:val="auto"/>
              </w:rPr>
              <w:t>Basic</w:t>
            </w:r>
          </w:p>
        </w:tc>
        <w:tc>
          <w:tcPr>
            <w:tcW w:w="340" w:type="dxa"/>
            <w:vAlign w:val="bottom"/>
          </w:tcPr>
          <w:p>
            <w:pPr>
              <w:jc w:val="right"/>
              <w:ind w:right="159"/>
              <w:spacing w:after="0" w:line="176" w:lineRule="exact"/>
              <w:rPr>
                <w:sz w:val="20"/>
                <w:szCs w:val="20"/>
                <w:color w:val="auto"/>
              </w:rPr>
            </w:pPr>
            <w:r>
              <w:rPr>
                <w:rFonts w:ascii="Arial" w:cs="Arial" w:eastAsia="Arial" w:hAnsi="Arial"/>
                <w:sz w:val="16"/>
                <w:szCs w:val="16"/>
                <w:color w:val="auto"/>
                <w:w w:val="89"/>
              </w:rPr>
              <w:t>$</w:t>
            </w:r>
          </w:p>
        </w:tc>
        <w:tc>
          <w:tcPr>
            <w:tcW w:w="1160" w:type="dxa"/>
            <w:vAlign w:val="bottom"/>
          </w:tcPr>
          <w:p>
            <w:pPr>
              <w:jc w:val="right"/>
              <w:spacing w:after="0" w:line="176" w:lineRule="exact"/>
              <w:rPr>
                <w:sz w:val="20"/>
                <w:szCs w:val="20"/>
                <w:color w:val="auto"/>
              </w:rPr>
            </w:pPr>
            <w:r>
              <w:rPr>
                <w:rFonts w:ascii="Arial" w:cs="Arial" w:eastAsia="Arial" w:hAnsi="Arial"/>
                <w:sz w:val="16"/>
                <w:szCs w:val="16"/>
                <w:color w:val="auto"/>
              </w:rPr>
              <w:t>2.14</w:t>
            </w:r>
          </w:p>
        </w:tc>
        <w:tc>
          <w:tcPr>
            <w:tcW w:w="360" w:type="dxa"/>
            <w:vAlign w:val="bottom"/>
          </w:tcPr>
          <w:p>
            <w:pPr>
              <w:jc w:val="right"/>
              <w:ind w:right="159"/>
              <w:spacing w:after="0" w:line="176" w:lineRule="exact"/>
              <w:rPr>
                <w:sz w:val="20"/>
                <w:szCs w:val="20"/>
                <w:color w:val="auto"/>
              </w:rPr>
            </w:pPr>
            <w:r>
              <w:rPr>
                <w:rFonts w:ascii="Arial" w:cs="Arial" w:eastAsia="Arial" w:hAnsi="Arial"/>
                <w:sz w:val="16"/>
                <w:szCs w:val="16"/>
                <w:color w:val="auto"/>
              </w:rPr>
              <w:t>$</w:t>
            </w:r>
          </w:p>
        </w:tc>
        <w:tc>
          <w:tcPr>
            <w:tcW w:w="1180" w:type="dxa"/>
            <w:vAlign w:val="bottom"/>
          </w:tcPr>
          <w:p>
            <w:pPr>
              <w:jc w:val="right"/>
              <w:spacing w:after="0" w:line="176" w:lineRule="exact"/>
              <w:rPr>
                <w:sz w:val="20"/>
                <w:szCs w:val="20"/>
                <w:color w:val="auto"/>
              </w:rPr>
            </w:pPr>
            <w:r>
              <w:rPr>
                <w:rFonts w:ascii="Arial" w:cs="Arial" w:eastAsia="Arial" w:hAnsi="Arial"/>
                <w:sz w:val="16"/>
                <w:szCs w:val="16"/>
                <w:color w:val="auto"/>
              </w:rPr>
              <w:t>0.90</w:t>
            </w:r>
          </w:p>
        </w:tc>
        <w:tc>
          <w:tcPr>
            <w:tcW w:w="360" w:type="dxa"/>
            <w:vAlign w:val="bottom"/>
            <w:gridSpan w:val="2"/>
          </w:tcPr>
          <w:p>
            <w:pPr>
              <w:jc w:val="right"/>
              <w:ind w:right="240"/>
              <w:spacing w:after="0" w:line="176" w:lineRule="exact"/>
              <w:rPr>
                <w:sz w:val="20"/>
                <w:szCs w:val="20"/>
                <w:color w:val="auto"/>
              </w:rPr>
            </w:pPr>
            <w:r>
              <w:rPr>
                <w:rFonts w:ascii="Arial" w:cs="Arial" w:eastAsia="Arial" w:hAnsi="Arial"/>
                <w:sz w:val="16"/>
                <w:szCs w:val="16"/>
                <w:color w:val="auto"/>
              </w:rPr>
              <w:t>$</w:t>
            </w:r>
          </w:p>
        </w:tc>
        <w:tc>
          <w:tcPr>
            <w:tcW w:w="1180" w:type="dxa"/>
            <w:vAlign w:val="bottom"/>
          </w:tcPr>
          <w:p>
            <w:pPr>
              <w:jc w:val="right"/>
              <w:spacing w:after="0" w:line="176" w:lineRule="exact"/>
              <w:rPr>
                <w:sz w:val="20"/>
                <w:szCs w:val="20"/>
                <w:color w:val="auto"/>
              </w:rPr>
            </w:pPr>
            <w:r>
              <w:rPr>
                <w:rFonts w:ascii="Arial" w:cs="Arial" w:eastAsia="Arial" w:hAnsi="Arial"/>
                <w:sz w:val="16"/>
                <w:szCs w:val="16"/>
                <w:color w:val="auto"/>
              </w:rPr>
              <w:t>3.21</w:t>
            </w:r>
          </w:p>
        </w:tc>
        <w:tc>
          <w:tcPr>
            <w:tcW w:w="380" w:type="dxa"/>
            <w:vAlign w:val="bottom"/>
          </w:tcPr>
          <w:p>
            <w:pPr>
              <w:jc w:val="right"/>
              <w:ind w:right="179"/>
              <w:spacing w:after="0" w:line="176" w:lineRule="exact"/>
              <w:rPr>
                <w:sz w:val="20"/>
                <w:szCs w:val="20"/>
                <w:color w:val="auto"/>
              </w:rPr>
            </w:pPr>
            <w:r>
              <w:rPr>
                <w:rFonts w:ascii="Arial" w:cs="Arial" w:eastAsia="Arial" w:hAnsi="Arial"/>
                <w:sz w:val="16"/>
                <w:szCs w:val="16"/>
                <w:color w:val="auto"/>
              </w:rPr>
              <w:t>$</w:t>
            </w:r>
          </w:p>
        </w:tc>
        <w:tc>
          <w:tcPr>
            <w:tcW w:w="1200" w:type="dxa"/>
            <w:vAlign w:val="bottom"/>
          </w:tcPr>
          <w:p>
            <w:pPr>
              <w:jc w:val="right"/>
              <w:spacing w:after="0" w:line="176" w:lineRule="exact"/>
              <w:rPr>
                <w:sz w:val="20"/>
                <w:szCs w:val="20"/>
                <w:color w:val="auto"/>
              </w:rPr>
            </w:pPr>
            <w:r>
              <w:rPr>
                <w:rFonts w:ascii="Arial" w:cs="Arial" w:eastAsia="Arial" w:hAnsi="Arial"/>
                <w:sz w:val="16"/>
                <w:szCs w:val="16"/>
                <w:color w:val="auto"/>
              </w:rPr>
              <w:t>1.33</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5240" w:type="dxa"/>
            <w:vAlign w:val="bottom"/>
            <w:tcBorders>
              <w:bottom w:val="single" w:sz="8" w:color="auto"/>
            </w:tcBorders>
          </w:tcPr>
          <w:p>
            <w:pPr>
              <w:ind w:left="160"/>
              <w:spacing w:after="0"/>
              <w:rPr>
                <w:sz w:val="20"/>
                <w:szCs w:val="20"/>
                <w:color w:val="auto"/>
              </w:rPr>
            </w:pPr>
            <w:r>
              <w:rPr>
                <w:rFonts w:ascii="Arial" w:cs="Arial" w:eastAsia="Arial" w:hAnsi="Arial"/>
                <w:sz w:val="16"/>
                <w:szCs w:val="16"/>
                <w:color w:val="auto"/>
              </w:rPr>
              <w:t>Diluted</w:t>
            </w:r>
          </w:p>
        </w:tc>
        <w:tc>
          <w:tcPr>
            <w:tcW w:w="3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2.12</w:t>
            </w:r>
          </w:p>
        </w:tc>
        <w:tc>
          <w:tcPr>
            <w:tcW w:w="36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0.89</w:t>
            </w:r>
          </w:p>
        </w:tc>
        <w:tc>
          <w:tcPr>
            <w:tcW w:w="360" w:type="dxa"/>
            <w:vAlign w:val="bottom"/>
            <w:tcBorders>
              <w:bottom w:val="single" w:sz="8" w:color="auto"/>
            </w:tcBorders>
            <w:gridSpan w:val="2"/>
          </w:tcPr>
          <w:p>
            <w:pPr>
              <w:jc w:val="right"/>
              <w:ind w:right="240"/>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3.19</w:t>
            </w:r>
          </w:p>
        </w:tc>
        <w:tc>
          <w:tcPr>
            <w:tcW w:w="38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1.31</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right="180"/>
        <w:spacing w:after="0" w:line="254" w:lineRule="auto"/>
        <w:rPr>
          <w:sz w:val="20"/>
          <w:szCs w:val="20"/>
          <w:color w:val="auto"/>
        </w:rPr>
      </w:pPr>
      <w:r>
        <w:rPr>
          <w:rFonts w:ascii="Arial" w:cs="Arial" w:eastAsia="Arial" w:hAnsi="Arial"/>
          <w:sz w:val="18"/>
          <w:szCs w:val="18"/>
          <w:color w:val="auto"/>
        </w:rPr>
        <w:t>The dilution from common stock options is based on the treasury stock method. Under this method, proceeds based on the exercise price plus unearned compensation and windfall tax benefits and minus tax shortfalls are assumed to be used to repurchase shares on the open market at the average market price for the period. The windfall tax benefits are tax deductions we would receive upon the assumed exercise of stock options in excess of the deferred income taxes we recorded related to the compensation expense on the stock options. Tax shortfalls occur when the assumed tax deductions are less than recorded deferred income taxes. The calculation excludes options for which the exercise price on common stock was greater than the average market price during the period (out-of-the-money options). We had 2,118,042 and 2,119,677 such stock options outstanding during the three months and six months ended June 30, 2011, respectively. We had 2,177,855 and 2,171,016 such stock options outstanding during the three months and six months ended June 30, 2010, respectively.</w:t>
      </w:r>
    </w:p>
    <w:p>
      <w:pPr>
        <w:spacing w:after="0" w:line="192"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We had 900 stock options outstanding during both the three months and six months ended June 30, 2011 that were antidilutive because of the unearned compensation and windfall tax benefits included in the assumed proceeds under the treasury stock method. We had no such antidilutive stock options during the three months or six months ended June 30, 2010.</w:t>
      </w:r>
    </w:p>
    <w:p>
      <w:pPr>
        <w:spacing w:after="0" w:line="181"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The dilution from unvested restricted stock awards (RSAs) and restricted stock units (RSUs) is also based on the treasury stock method. Assumed proceeds equal to the unearned compensation and windfall tax benefits and minus tax shortfalls related to the awards and units are assumed to be used to repurchase shares on the open market at the average market price for the period. The windfall tax benefits or tax shortfalls are the difference between tax deductions we would receive upon the assumed vesting of RSAs or RSUs and the deferred income taxes we recorded related to the compensation expense on such awards and units.</w:t>
      </w:r>
    </w:p>
    <w:p>
      <w:pPr>
        <w:spacing w:after="0" w:line="188"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Each performance based restricted stock unit represents the right to receive between zero and 1.5 shares of Sempra Energy common stock based on Sempra Energy’s four-year cumulative total shareholder return compared to the S&amp;P 500 Utilities Index, as follows:</w:t>
      </w:r>
    </w:p>
    <w:p>
      <w:pPr>
        <w:sectPr>
          <w:pgSz w:w="11900" w:h="16838" w:orient="portrait"/>
          <w:cols w:equalWidth="0" w:num="1">
            <w:col w:w="11420"/>
          </w:cols>
          <w:pgMar w:left="240" w:top="119" w:right="239" w:bottom="19" w:gutter="0" w:footer="0" w:header="0"/>
        </w:sectPr>
      </w:pPr>
    </w:p>
    <w:p>
      <w:pPr>
        <w:spacing w:after="0" w:line="200" w:lineRule="exact"/>
        <w:rPr>
          <w:sz w:val="20"/>
          <w:szCs w:val="20"/>
          <w:color w:val="auto"/>
        </w:rPr>
      </w:pPr>
    </w:p>
    <w:p>
      <w:pPr>
        <w:spacing w:after="0" w:line="391" w:lineRule="exact"/>
        <w:rPr>
          <w:sz w:val="20"/>
          <w:szCs w:val="20"/>
          <w:color w:val="auto"/>
        </w:rPr>
      </w:pPr>
    </w:p>
    <w:p>
      <w:pPr>
        <w:spacing w:after="0"/>
        <w:rPr>
          <w:sz w:val="20"/>
          <w:szCs w:val="20"/>
          <w:color w:val="auto"/>
        </w:rPr>
      </w:pPr>
      <w:r>
        <w:rPr>
          <w:rFonts w:ascii="Arial" w:cs="Arial" w:eastAsia="Arial" w:hAnsi="Arial"/>
          <w:sz w:val="14"/>
          <w:szCs w:val="14"/>
          <w:color w:val="auto"/>
        </w:rPr>
        <w:t>Four-Year Cumulative Total Shareholder Return Ranking versus S&amp;P 500 Utilities Index(1)</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3" w:lineRule="exact"/>
        <w:rPr>
          <w:sz w:val="20"/>
          <w:szCs w:val="20"/>
          <w:color w:val="auto"/>
        </w:rPr>
      </w:pPr>
    </w:p>
    <w:p>
      <w:pPr>
        <w:ind w:right="380"/>
        <w:spacing w:after="0" w:line="238" w:lineRule="auto"/>
        <w:rPr>
          <w:sz w:val="20"/>
          <w:szCs w:val="20"/>
          <w:color w:val="auto"/>
        </w:rPr>
      </w:pPr>
      <w:r>
        <w:rPr>
          <w:rFonts w:ascii="Arial" w:cs="Arial" w:eastAsia="Arial" w:hAnsi="Arial"/>
          <w:sz w:val="14"/>
          <w:szCs w:val="14"/>
          <w:color w:val="auto"/>
        </w:rPr>
        <w:t>Number of Sempra Energy Common Shares Received for Each Restricted Stock Unit</w:t>
      </w:r>
    </w:p>
    <w:p>
      <w:pPr>
        <w:spacing w:after="0" w:line="1" w:lineRule="exact"/>
        <w:rPr>
          <w:sz w:val="20"/>
          <w:szCs w:val="20"/>
          <w:color w:val="auto"/>
        </w:rPr>
      </w:pPr>
    </w:p>
    <w:p>
      <w:pPr>
        <w:sectPr>
          <w:pgSz w:w="11900" w:h="16838" w:orient="portrait"/>
          <w:cols w:equalWidth="0" w:num="2">
            <w:col w:w="5760" w:space="540"/>
            <w:col w:w="5120"/>
          </w:cols>
          <w:pgMar w:left="240" w:top="119" w:right="239" w:bottom="19" w:gutter="0" w:footer="0" w:header="0"/>
          <w:type w:val="continuous"/>
        </w:sectPr>
      </w:pPr>
    </w:p>
    <w:tbl>
      <w:tblPr>
        <w:tblLayout w:type="fixed"/>
        <w:tblInd w:w="0" w:type="dxa"/>
        <w:tblCellMar>
          <w:top w:w="0" w:type="dxa"/>
          <w:left w:w="0" w:type="dxa"/>
          <w:bottom w:w="0" w:type="dxa"/>
          <w:right w:w="0" w:type="dxa"/>
        </w:tblCellMar>
      </w:tblPr>
      <w:tr>
        <w:trPr>
          <w:trHeight w:val="171"/>
        </w:trPr>
        <w:tc>
          <w:tcPr>
            <w:tcW w:w="5260" w:type="dxa"/>
            <w:vAlign w:val="bottom"/>
            <w:tcBorders>
              <w:top w:val="single" w:sz="8" w:color="auto"/>
            </w:tcBorders>
          </w:tcPr>
          <w:p>
            <w:pPr>
              <w:spacing w:after="0" w:line="171" w:lineRule="exact"/>
              <w:rPr>
                <w:sz w:val="20"/>
                <w:szCs w:val="20"/>
                <w:color w:val="auto"/>
              </w:rPr>
            </w:pPr>
            <w:r>
              <w:rPr>
                <w:rFonts w:ascii="Arial" w:cs="Arial" w:eastAsia="Arial" w:hAnsi="Arial"/>
                <w:sz w:val="16"/>
                <w:szCs w:val="16"/>
                <w:color w:val="auto"/>
              </w:rPr>
              <w:t>75th Percentile or Above</w:t>
            </w:r>
          </w:p>
        </w:tc>
        <w:tc>
          <w:tcPr>
            <w:tcW w:w="6160" w:type="dxa"/>
            <w:vAlign w:val="bottom"/>
            <w:tcBorders>
              <w:top w:val="single" w:sz="8" w:color="auto"/>
            </w:tcBorders>
          </w:tcPr>
          <w:p>
            <w:pPr>
              <w:jc w:val="right"/>
              <w:ind w:right="2379"/>
              <w:spacing w:after="0" w:line="171" w:lineRule="exact"/>
              <w:rPr>
                <w:sz w:val="20"/>
                <w:szCs w:val="20"/>
                <w:color w:val="auto"/>
              </w:rPr>
            </w:pPr>
            <w:r>
              <w:rPr>
                <w:rFonts w:ascii="Arial" w:cs="Arial" w:eastAsia="Arial" w:hAnsi="Arial"/>
                <w:sz w:val="16"/>
                <w:szCs w:val="16"/>
                <w:color w:val="auto"/>
              </w:rPr>
              <w:t>1.5</w:t>
            </w:r>
          </w:p>
        </w:tc>
      </w:tr>
      <w:tr>
        <w:trPr>
          <w:trHeight w:val="176"/>
        </w:trPr>
        <w:tc>
          <w:tcPr>
            <w:tcW w:w="5260" w:type="dxa"/>
            <w:vAlign w:val="bottom"/>
          </w:tcPr>
          <w:p>
            <w:pPr>
              <w:spacing w:after="0" w:line="176" w:lineRule="exact"/>
              <w:rPr>
                <w:sz w:val="20"/>
                <w:szCs w:val="20"/>
                <w:color w:val="auto"/>
              </w:rPr>
            </w:pPr>
            <w:r>
              <w:rPr>
                <w:rFonts w:ascii="Arial" w:cs="Arial" w:eastAsia="Arial" w:hAnsi="Arial"/>
                <w:sz w:val="16"/>
                <w:szCs w:val="16"/>
                <w:color w:val="auto"/>
              </w:rPr>
              <w:t>50th Percentile</w:t>
            </w:r>
          </w:p>
        </w:tc>
        <w:tc>
          <w:tcPr>
            <w:tcW w:w="6160" w:type="dxa"/>
            <w:vAlign w:val="bottom"/>
          </w:tcPr>
          <w:p>
            <w:pPr>
              <w:jc w:val="right"/>
              <w:ind w:right="2459"/>
              <w:spacing w:after="0" w:line="176" w:lineRule="exact"/>
              <w:rPr>
                <w:sz w:val="20"/>
                <w:szCs w:val="20"/>
                <w:color w:val="auto"/>
              </w:rPr>
            </w:pPr>
            <w:r>
              <w:rPr>
                <w:rFonts w:ascii="Arial" w:cs="Arial" w:eastAsia="Arial" w:hAnsi="Arial"/>
                <w:sz w:val="16"/>
                <w:szCs w:val="16"/>
                <w:color w:val="auto"/>
              </w:rPr>
              <w:t>1</w:t>
            </w:r>
          </w:p>
        </w:tc>
      </w:tr>
      <w:tr>
        <w:trPr>
          <w:trHeight w:val="195"/>
        </w:trPr>
        <w:tc>
          <w:tcPr>
            <w:tcW w:w="5260" w:type="dxa"/>
            <w:vAlign w:val="bottom"/>
          </w:tcPr>
          <w:p>
            <w:pPr>
              <w:spacing w:after="0"/>
              <w:rPr>
                <w:sz w:val="20"/>
                <w:szCs w:val="20"/>
                <w:color w:val="auto"/>
              </w:rPr>
            </w:pPr>
            <w:r>
              <w:rPr>
                <w:rFonts w:ascii="Arial" w:cs="Arial" w:eastAsia="Arial" w:hAnsi="Arial"/>
                <w:sz w:val="16"/>
                <w:szCs w:val="16"/>
                <w:color w:val="auto"/>
              </w:rPr>
              <w:t>35th Percentile or Below</w:t>
            </w:r>
          </w:p>
        </w:tc>
        <w:tc>
          <w:tcPr>
            <w:tcW w:w="6160" w:type="dxa"/>
            <w:vAlign w:val="bottom"/>
          </w:tcPr>
          <w:p>
            <w:pPr>
              <w:ind w:left="3520"/>
              <w:spacing w:after="0"/>
              <w:rPr>
                <w:sz w:val="20"/>
                <w:szCs w:val="20"/>
                <w:color w:val="auto"/>
              </w:rPr>
            </w:pPr>
            <w:r>
              <w:rPr>
                <w:rFonts w:ascii="Arial" w:cs="Arial" w:eastAsia="Arial" w:hAnsi="Arial"/>
                <w:sz w:val="16"/>
                <w:szCs w:val="16"/>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wp:posOffset>
            </wp:positionV>
            <wp:extent cx="72466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rPr>
          <w:sz w:val="20"/>
          <w:szCs w:val="20"/>
          <w:color w:val="auto"/>
        </w:rPr>
      </w:pPr>
      <w:r>
        <w:rPr>
          <w:rFonts w:ascii="Arial" w:cs="Arial" w:eastAsia="Arial" w:hAnsi="Arial"/>
          <w:sz w:val="14"/>
          <w:szCs w:val="14"/>
          <w:i w:val="1"/>
          <w:iCs w:val="1"/>
          <w:color w:val="auto"/>
        </w:rPr>
        <w:t>(1) If Sempra Energy ranks at or above the 50th percentile compared to the S&amp;P 500 Utilities Index, participants will receive a maximum of 1.0 share for each restricted stock unit.</w:t>
      </w:r>
    </w:p>
    <w:p>
      <w:pPr>
        <w:sectPr>
          <w:pgSz w:w="11900" w:h="16838" w:orient="portrait"/>
          <w:cols w:equalWidth="0" w:num="1">
            <w:col w:w="11420"/>
          </w:cols>
          <w:pgMar w:left="240" w:top="119" w:right="239" w:bottom="19" w:gutter="0" w:footer="0" w:header="0"/>
          <w:type w:val="continuous"/>
        </w:sectPr>
      </w:pPr>
    </w:p>
    <w:bookmarkStart w:id="27" w:name="page28"/>
    <w:bookmarkEnd w:id="27"/>
    <w:p>
      <w:pPr>
        <w:spacing w:after="0" w:line="66"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RSAs have a maximum potential of 100% vesting. We include our performance based RSAs and RSUs in potential dilutive shares at zero to 100 percent and zero to 150 percent, respectively, to the extent that they currently meet the performance requirements for vesting, subject to the application of the treasury stock method. Due to market fluctuations of both our company stock and the comparative index, dilutive RSA and RSU shares may vary widely from period-to-period. We include our RSAs, which are service based, in potential dilutive shares at 100 percent.</w:t>
      </w:r>
    </w:p>
    <w:p>
      <w:pPr>
        <w:spacing w:after="0" w:line="171" w:lineRule="exact"/>
        <w:rPr>
          <w:sz w:val="20"/>
          <w:szCs w:val="20"/>
          <w:color w:val="auto"/>
        </w:rPr>
      </w:pPr>
    </w:p>
    <w:p>
      <w:pPr>
        <w:ind w:right="280"/>
        <w:spacing w:after="0" w:line="259" w:lineRule="auto"/>
        <w:rPr>
          <w:sz w:val="20"/>
          <w:szCs w:val="20"/>
          <w:color w:val="auto"/>
        </w:rPr>
      </w:pPr>
      <w:r>
        <w:rPr>
          <w:rFonts w:ascii="Arial" w:cs="Arial" w:eastAsia="Arial" w:hAnsi="Arial"/>
          <w:sz w:val="18"/>
          <w:szCs w:val="18"/>
          <w:color w:val="auto"/>
        </w:rPr>
        <w:t>RSUs and RSAs may be excluded from potential dilutive shares by the application of unearned compensation in the treasury stock method or because performance goals are currently not met. The maximum excluded RSUs and RSAs, assuming performance goals were met at maximum levels, were 4,434,795 and 4,450,495 for the three months and six months ended June 30, 2011, respectively, and 2,203,973 and 1,801,758 for the three months and six months ended June 30, 2010, respectively.</w:t>
      </w:r>
    </w:p>
    <w:p>
      <w:pPr>
        <w:spacing w:after="0" w:line="3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 REPURCHASE PROGRAM</w:t>
      </w:r>
    </w:p>
    <w:p>
      <w:pPr>
        <w:spacing w:after="0" w:line="234"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color w:val="auto"/>
        </w:rPr>
        <w:t>In September 2010, we entered into a share repurchase program under which we prepaid $500 million to repurchase shares of our common stock in a share forward transaction. The program was completed in March 2011 with a total of 9,574,435 shares repurchased at an average price of $52.22 per share. Our outstanding shares used to calculate earnings per share were reduced by the number of shares repurchased when they were delivered to us, and the $500 million purchase price was recorded as a reduction in shareholders’ equity upon its prepayment. We received 5,670,006 shares during the quarter ended September 30, 2010; 2,407,994 shares on October 4, 2010 and 1,496,435 shares on March 22, 2011. We discuss the repurchase program further in Note 13 of the Notes to Consolidated Financial Statements in the Annual Report.</w:t>
      </w:r>
    </w:p>
    <w:p>
      <w:pPr>
        <w:spacing w:after="0" w:line="3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PREFERRED STOCK OF SUBSIDIARY</w:t>
      </w:r>
    </w:p>
    <w:p>
      <w:pPr>
        <w:spacing w:after="0" w:line="234" w:lineRule="exact"/>
        <w:rPr>
          <w:sz w:val="20"/>
          <w:szCs w:val="20"/>
          <w:color w:val="auto"/>
        </w:rPr>
      </w:pPr>
    </w:p>
    <w:p>
      <w:pPr>
        <w:ind w:right="180"/>
        <w:spacing w:after="0" w:line="302" w:lineRule="auto"/>
        <w:rPr>
          <w:sz w:val="20"/>
          <w:szCs w:val="20"/>
          <w:color w:val="auto"/>
        </w:rPr>
      </w:pPr>
      <w:r>
        <w:rPr>
          <w:rFonts w:ascii="Arial" w:cs="Arial" w:eastAsia="Arial" w:hAnsi="Arial"/>
          <w:sz w:val="16"/>
          <w:szCs w:val="16"/>
          <w:color w:val="auto"/>
        </w:rPr>
        <w:t>On June 30, 2011, PE redeemed all five series of its outstanding preferred stock for $81 million. Each series was redeemed for cash at redemption prices ranging from $100 to $101.50 per share, plus accrued dividends up to the redemption date of an aggregate of $1 million. The redeemed shares are no longer outstanding and represent only the right to receive the applicable redemption price, to the extent the shares have not yet been presented for payment. We provide more detail concerning PE’s preferred stock in Note 12 of the Notes to Consolidated Financial Statements in the Annual Report.</w:t>
      </w:r>
    </w:p>
    <w:p>
      <w:pPr>
        <w:spacing w:after="0" w:line="3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SHARE-BASED COMPENSATION</w:t>
      </w:r>
    </w:p>
    <w:p>
      <w:pPr>
        <w:spacing w:after="0" w:line="234"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We discuss our share-based compensation plans in Note 9 of the Notes to Consolidated Financial Statements in the Annual Report. We recorded share-based compensation expense, net of income taxes, of $7 million and $6 million for the three months ended June 30, 2011 and 2010, respectively, and $13 million for both the six months ended June 30, 2011 and 2010. Pursuant to our share-based compensation plans, we granted 1,045,821 RSUs and 11,876 RSAs during the six months ended June 30, 2011, primarily in January.</w:t>
      </w:r>
    </w:p>
    <w:p>
      <w:pPr>
        <w:spacing w:after="0" w:line="3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CAPITALIZED FINANCING COSTS</w:t>
      </w:r>
    </w:p>
    <w:p>
      <w:pPr>
        <w:spacing w:after="0" w:line="234"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Capitalized financing costs include capitalized interest costs and, at the Sempra Utilities, an allowance for funds used during construction (AFUDC) related to both debt and equity financing of construction projects. The following table shows capitalized financing costs for the three months and six months ended June 30, 2011 and 2010.</w:t>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CAPITALIZED FINANCING COSTS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-104775</wp:posOffset>
            </wp:positionV>
            <wp:extent cx="7246620" cy="22288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6620" cy="222885"/>
                    </a:xfrm>
                    <a:prstGeom prst="rect">
                      <a:avLst/>
                    </a:prstGeom>
                    <a:noFill/>
                  </pic:spPr>
                </pic:pic>
              </a:graphicData>
            </a:graphic>
          </wp:anchor>
        </w:drawing>
      </w: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40" w:type="dxa"/>
            <w:vAlign w:val="bottom"/>
            <w:gridSpan w:val="2"/>
          </w:tcPr>
          <w:p>
            <w:pPr>
              <w:spacing w:after="0"/>
              <w:rPr>
                <w:sz w:val="20"/>
                <w:szCs w:val="20"/>
                <w:color w:val="auto"/>
              </w:rPr>
            </w:pPr>
            <w:r>
              <w:rPr>
                <w:rFonts w:ascii="Arial" w:cs="Arial" w:eastAsia="Arial" w:hAnsi="Arial"/>
                <w:sz w:val="14"/>
                <w:szCs w:val="14"/>
                <w:i w:val="1"/>
                <w:iCs w:val="1"/>
                <w:color w:val="auto"/>
              </w:rPr>
              <w:t>(Dollars in millions)</w:t>
            </w:r>
          </w:p>
        </w:tc>
        <w:tc>
          <w:tcPr>
            <w:tcW w:w="980" w:type="dxa"/>
            <w:vAlign w:val="bottom"/>
          </w:tcPr>
          <w:p>
            <w:pPr>
              <w:spacing w:after="0"/>
              <w:rPr>
                <w:sz w:val="14"/>
                <w:szCs w:val="14"/>
                <w:color w:val="auto"/>
              </w:rPr>
            </w:pPr>
          </w:p>
        </w:tc>
        <w:tc>
          <w:tcPr>
            <w:tcW w:w="2820" w:type="dxa"/>
            <w:vAlign w:val="bottom"/>
            <w:gridSpan w:val="3"/>
            <w:vMerge w:val="restart"/>
          </w:tcPr>
          <w:p>
            <w:pPr>
              <w:jc w:val="right"/>
              <w:ind w:right="140"/>
              <w:spacing w:after="0"/>
              <w:rPr>
                <w:sz w:val="20"/>
                <w:szCs w:val="20"/>
                <w:color w:val="auto"/>
              </w:rPr>
            </w:pPr>
            <w:r>
              <w:rPr>
                <w:rFonts w:ascii="Arial" w:cs="Arial" w:eastAsia="Arial" w:hAnsi="Arial"/>
                <w:sz w:val="14"/>
                <w:szCs w:val="14"/>
                <w:color w:val="auto"/>
              </w:rPr>
              <w:t>Three months ended June 30,</w:t>
            </w:r>
          </w:p>
        </w:tc>
        <w:tc>
          <w:tcPr>
            <w:tcW w:w="4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60" w:type="dxa"/>
            <w:vAlign w:val="bottom"/>
            <w:shd w:val="clear" w:color="auto" w:fill="C0C0C0"/>
          </w:tcPr>
          <w:p>
            <w:pPr>
              <w:spacing w:after="0"/>
              <w:rPr>
                <w:sz w:val="14"/>
                <w:szCs w:val="14"/>
                <w:color w:val="auto"/>
              </w:rPr>
            </w:pPr>
          </w:p>
        </w:tc>
        <w:tc>
          <w:tcPr>
            <w:tcW w:w="1280" w:type="dxa"/>
            <w:vAlign w:val="bottom"/>
            <w:shd w:val="clear" w:color="auto" w:fill="C0C0C0"/>
          </w:tcPr>
          <w:p>
            <w:pPr>
              <w:spacing w:after="0"/>
              <w:rPr>
                <w:sz w:val="14"/>
                <w:szCs w:val="14"/>
                <w:color w:val="auto"/>
              </w:rPr>
            </w:pPr>
          </w:p>
        </w:tc>
        <w:tc>
          <w:tcPr>
            <w:tcW w:w="380" w:type="dxa"/>
            <w:vAlign w:val="bottom"/>
            <w:shd w:val="clear" w:color="auto" w:fill="C0C0C0"/>
          </w:tcPr>
          <w:p>
            <w:pPr>
              <w:spacing w:after="0"/>
              <w:rPr>
                <w:sz w:val="14"/>
                <w:szCs w:val="14"/>
                <w:color w:val="auto"/>
              </w:rPr>
            </w:pPr>
          </w:p>
        </w:tc>
        <w:tc>
          <w:tcPr>
            <w:tcW w:w="1300" w:type="dxa"/>
            <w:vAlign w:val="bottom"/>
            <w:shd w:val="clear" w:color="auto" w:fill="C0C0C0"/>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38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820" w:type="dxa"/>
            <w:vAlign w:val="bottom"/>
            <w:tcBorders>
              <w:bottom w:val="single" w:sz="8" w:color="auto"/>
            </w:tcBorders>
            <w:gridSpan w:val="3"/>
            <w:vMerge w:val="continue"/>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2960" w:type="dxa"/>
            <w:vAlign w:val="bottom"/>
            <w:tcBorders>
              <w:bottom w:val="single" w:sz="8" w:color="auto"/>
            </w:tcBorders>
            <w:gridSpan w:val="3"/>
          </w:tcPr>
          <w:p>
            <w:pPr>
              <w:jc w:val="right"/>
              <w:ind w:right="700"/>
              <w:spacing w:after="0"/>
              <w:rPr>
                <w:sz w:val="20"/>
                <w:szCs w:val="20"/>
                <w:color w:val="auto"/>
              </w:rPr>
            </w:pPr>
            <w:r>
              <w:rPr>
                <w:rFonts w:ascii="Arial" w:cs="Arial" w:eastAsia="Arial" w:hAnsi="Arial"/>
                <w:sz w:val="14"/>
                <w:szCs w:val="14"/>
                <w:color w:val="auto"/>
              </w:rPr>
              <w:t>Six months ended June 30,</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3820" w:type="dxa"/>
            <w:vAlign w:val="bottom"/>
            <w:tcBorders>
              <w:bottom w:val="single" w:sz="8" w:color="auto"/>
            </w:tcBorders>
          </w:tcPr>
          <w:p>
            <w:pPr>
              <w:spacing w:after="0"/>
              <w:rPr>
                <w:sz w:val="15"/>
                <w:szCs w:val="15"/>
                <w:color w:val="auto"/>
              </w:rPr>
            </w:pPr>
          </w:p>
        </w:tc>
        <w:tc>
          <w:tcPr>
            <w:tcW w:w="2180" w:type="dxa"/>
            <w:vAlign w:val="bottom"/>
            <w:tcBorders>
              <w:bottom w:val="single" w:sz="8" w:color="auto"/>
            </w:tcBorders>
            <w:gridSpan w:val="2"/>
          </w:tcPr>
          <w:p>
            <w:pPr>
              <w:jc w:val="right"/>
              <w:ind w:right="161"/>
              <w:spacing w:after="0"/>
              <w:rPr>
                <w:sz w:val="20"/>
                <w:szCs w:val="20"/>
                <w:color w:val="auto"/>
              </w:rPr>
            </w:pPr>
            <w:r>
              <w:rPr>
                <w:rFonts w:ascii="Arial" w:cs="Arial" w:eastAsia="Arial" w:hAnsi="Arial"/>
                <w:sz w:val="14"/>
                <w:szCs w:val="14"/>
                <w:color w:val="auto"/>
              </w:rPr>
              <w:t>2011</w:t>
            </w:r>
          </w:p>
        </w:tc>
        <w:tc>
          <w:tcPr>
            <w:tcW w:w="42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140"/>
              <w:spacing w:after="0"/>
              <w:rPr>
                <w:sz w:val="20"/>
                <w:szCs w:val="20"/>
                <w:color w:val="auto"/>
              </w:rPr>
            </w:pPr>
            <w:r>
              <w:rPr>
                <w:rFonts w:ascii="Arial" w:cs="Arial" w:eastAsia="Arial" w:hAnsi="Arial"/>
                <w:sz w:val="14"/>
                <w:szCs w:val="14"/>
                <w:color w:val="auto"/>
              </w:rPr>
              <w:t>2010</w:t>
            </w:r>
          </w:p>
        </w:tc>
        <w:tc>
          <w:tcPr>
            <w:tcW w:w="44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ind w:right="600"/>
              <w:spacing w:after="0"/>
              <w:rPr>
                <w:sz w:val="20"/>
                <w:szCs w:val="20"/>
                <w:color w:val="auto"/>
              </w:rPr>
            </w:pPr>
            <w:r>
              <w:rPr>
                <w:rFonts w:ascii="Arial" w:cs="Arial" w:eastAsia="Arial" w:hAnsi="Arial"/>
                <w:sz w:val="14"/>
                <w:szCs w:val="14"/>
                <w:color w:val="auto"/>
              </w:rPr>
              <w:t>2011</w:t>
            </w:r>
          </w:p>
        </w:tc>
        <w:tc>
          <w:tcPr>
            <w:tcW w:w="38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ind w:right="620"/>
              <w:spacing w:after="0"/>
              <w:rPr>
                <w:sz w:val="20"/>
                <w:szCs w:val="20"/>
                <w:color w:val="auto"/>
              </w:rPr>
            </w:pPr>
            <w:r>
              <w:rPr>
                <w:rFonts w:ascii="Arial" w:cs="Arial" w:eastAsia="Arial" w:hAnsi="Arial"/>
                <w:sz w:val="14"/>
                <w:szCs w:val="14"/>
                <w:color w:val="auto"/>
              </w:rPr>
              <w:t>2010</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3820" w:type="dxa"/>
            <w:vAlign w:val="bottom"/>
          </w:tcPr>
          <w:p>
            <w:pPr>
              <w:spacing w:after="0" w:line="164" w:lineRule="exact"/>
              <w:rPr>
                <w:sz w:val="20"/>
                <w:szCs w:val="20"/>
                <w:color w:val="auto"/>
              </w:rPr>
            </w:pPr>
            <w:r>
              <w:rPr>
                <w:rFonts w:ascii="Arial" w:cs="Arial" w:eastAsia="Arial" w:hAnsi="Arial"/>
                <w:sz w:val="16"/>
                <w:szCs w:val="16"/>
                <w:b w:val="1"/>
                <w:bCs w:val="1"/>
                <w:color w:val="auto"/>
              </w:rPr>
              <w:t>Sempra Energy Consolidated:</w:t>
            </w:r>
          </w:p>
        </w:tc>
        <w:tc>
          <w:tcPr>
            <w:tcW w:w="9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820" w:type="dxa"/>
            <w:vAlign w:val="bottom"/>
          </w:tcPr>
          <w:p>
            <w:pPr>
              <w:ind w:left="160"/>
              <w:spacing w:after="0" w:line="176" w:lineRule="exact"/>
              <w:rPr>
                <w:sz w:val="20"/>
                <w:szCs w:val="20"/>
                <w:color w:val="auto"/>
              </w:rPr>
            </w:pPr>
            <w:r>
              <w:rPr>
                <w:rFonts w:ascii="Arial" w:cs="Arial" w:eastAsia="Arial" w:hAnsi="Arial"/>
                <w:sz w:val="16"/>
                <w:szCs w:val="16"/>
                <w:color w:val="auto"/>
              </w:rPr>
              <w:t>AFUDC related to debt</w:t>
            </w:r>
          </w:p>
        </w:tc>
        <w:tc>
          <w:tcPr>
            <w:tcW w:w="2180" w:type="dxa"/>
            <w:vAlign w:val="bottom"/>
            <w:gridSpan w:val="2"/>
          </w:tcPr>
          <w:p>
            <w:pPr>
              <w:jc w:val="right"/>
              <w:ind w:right="1021"/>
              <w:spacing w:after="0" w:line="176" w:lineRule="exact"/>
              <w:rPr>
                <w:sz w:val="20"/>
                <w:szCs w:val="20"/>
                <w:color w:val="auto"/>
              </w:rPr>
            </w:pPr>
            <w:r>
              <w:rPr>
                <w:rFonts w:ascii="Arial" w:cs="Arial" w:eastAsia="Arial" w:hAnsi="Arial"/>
                <w:sz w:val="16"/>
                <w:szCs w:val="16"/>
                <w:color w:val="auto"/>
              </w:rPr>
              <w:t>$</w:t>
            </w:r>
          </w:p>
        </w:tc>
        <w:tc>
          <w:tcPr>
            <w:tcW w:w="420" w:type="dxa"/>
            <w:vAlign w:val="bottom"/>
          </w:tcPr>
          <w:p>
            <w:pPr>
              <w:jc w:val="right"/>
              <w:spacing w:after="0" w:line="176" w:lineRule="exact"/>
              <w:rPr>
                <w:sz w:val="20"/>
                <w:szCs w:val="20"/>
                <w:color w:val="auto"/>
              </w:rPr>
            </w:pPr>
            <w:r>
              <w:rPr>
                <w:rFonts w:ascii="Arial" w:cs="Arial" w:eastAsia="Arial" w:hAnsi="Arial"/>
                <w:sz w:val="16"/>
                <w:szCs w:val="16"/>
                <w:color w:val="auto"/>
              </w:rPr>
              <w:t>9</w:t>
            </w:r>
          </w:p>
        </w:tc>
        <w:tc>
          <w:tcPr>
            <w:tcW w:w="1200" w:type="dxa"/>
            <w:vAlign w:val="bottom"/>
          </w:tcPr>
          <w:p>
            <w:pPr>
              <w:jc w:val="right"/>
              <w:ind w:right="1000"/>
              <w:spacing w:after="0" w:line="176" w:lineRule="exact"/>
              <w:rPr>
                <w:sz w:val="20"/>
                <w:szCs w:val="20"/>
                <w:color w:val="auto"/>
              </w:rPr>
            </w:pPr>
            <w:r>
              <w:rPr>
                <w:rFonts w:ascii="Arial" w:cs="Arial" w:eastAsia="Arial" w:hAnsi="Arial"/>
                <w:sz w:val="16"/>
                <w:szCs w:val="16"/>
                <w:color w:val="auto"/>
              </w:rPr>
              <w:t>$</w:t>
            </w:r>
          </w:p>
        </w:tc>
        <w:tc>
          <w:tcPr>
            <w:tcW w:w="440" w:type="dxa"/>
            <w:vAlign w:val="bottom"/>
          </w:tcPr>
          <w:p>
            <w:pPr>
              <w:jc w:val="right"/>
              <w:spacing w:after="0" w:line="176" w:lineRule="exact"/>
              <w:rPr>
                <w:sz w:val="20"/>
                <w:szCs w:val="20"/>
                <w:color w:val="auto"/>
              </w:rPr>
            </w:pPr>
            <w:r>
              <w:rPr>
                <w:rFonts w:ascii="Arial" w:cs="Arial" w:eastAsia="Arial" w:hAnsi="Arial"/>
                <w:sz w:val="16"/>
                <w:szCs w:val="16"/>
                <w:color w:val="auto"/>
              </w:rPr>
              <w:t>5</w:t>
            </w:r>
          </w:p>
        </w:tc>
        <w:tc>
          <w:tcPr>
            <w:tcW w:w="380" w:type="dxa"/>
            <w:vAlign w:val="bottom"/>
            <w:gridSpan w:val="2"/>
          </w:tcPr>
          <w:p>
            <w:pPr>
              <w:jc w:val="right"/>
              <w:ind w:right="280"/>
              <w:spacing w:after="0" w:line="176" w:lineRule="exact"/>
              <w:rPr>
                <w:sz w:val="20"/>
                <w:szCs w:val="20"/>
                <w:color w:val="auto"/>
              </w:rPr>
            </w:pPr>
            <w:r>
              <w:rPr>
                <w:rFonts w:ascii="Arial" w:cs="Arial" w:eastAsia="Arial" w:hAnsi="Arial"/>
                <w:sz w:val="16"/>
                <w:szCs w:val="16"/>
                <w:color w:val="auto"/>
                <w:w w:val="89"/>
              </w:rPr>
              <w:t>$</w:t>
            </w:r>
          </w:p>
        </w:tc>
        <w:tc>
          <w:tcPr>
            <w:tcW w:w="1280" w:type="dxa"/>
            <w:vAlign w:val="bottom"/>
          </w:tcPr>
          <w:p>
            <w:pPr>
              <w:jc w:val="right"/>
              <w:spacing w:after="0" w:line="176" w:lineRule="exact"/>
              <w:rPr>
                <w:sz w:val="20"/>
                <w:szCs w:val="20"/>
                <w:color w:val="auto"/>
              </w:rPr>
            </w:pPr>
            <w:r>
              <w:rPr>
                <w:rFonts w:ascii="Arial" w:cs="Arial" w:eastAsia="Arial" w:hAnsi="Arial"/>
                <w:sz w:val="16"/>
                <w:szCs w:val="16"/>
                <w:color w:val="auto"/>
              </w:rPr>
              <w:t>17</w:t>
            </w:r>
          </w:p>
        </w:tc>
        <w:tc>
          <w:tcPr>
            <w:tcW w:w="380" w:type="dxa"/>
            <w:vAlign w:val="bottom"/>
          </w:tcPr>
          <w:p>
            <w:pPr>
              <w:jc w:val="right"/>
              <w:ind w:right="199"/>
              <w:spacing w:after="0" w:line="176" w:lineRule="exact"/>
              <w:rPr>
                <w:sz w:val="20"/>
                <w:szCs w:val="20"/>
                <w:color w:val="auto"/>
              </w:rPr>
            </w:pPr>
            <w:r>
              <w:rPr>
                <w:rFonts w:ascii="Arial" w:cs="Arial" w:eastAsia="Arial" w:hAnsi="Arial"/>
                <w:sz w:val="16"/>
                <w:szCs w:val="16"/>
                <w:color w:val="auto"/>
                <w:w w:val="89"/>
              </w:rPr>
              <w:t>$</w:t>
            </w:r>
          </w:p>
        </w:tc>
        <w:tc>
          <w:tcPr>
            <w:tcW w:w="1300" w:type="dxa"/>
            <w:vAlign w:val="bottom"/>
          </w:tcPr>
          <w:p>
            <w:pPr>
              <w:jc w:val="right"/>
              <w:spacing w:after="0" w:line="176" w:lineRule="exact"/>
              <w:rPr>
                <w:sz w:val="20"/>
                <w:szCs w:val="20"/>
                <w:color w:val="auto"/>
              </w:rPr>
            </w:pPr>
            <w:r>
              <w:rPr>
                <w:rFonts w:ascii="Arial" w:cs="Arial" w:eastAsia="Arial" w:hAnsi="Arial"/>
                <w:sz w:val="16"/>
                <w:szCs w:val="16"/>
                <w:color w:val="auto"/>
              </w:rPr>
              <w:t>10</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820" w:type="dxa"/>
            <w:vAlign w:val="bottom"/>
          </w:tcPr>
          <w:p>
            <w:pPr>
              <w:ind w:left="160"/>
              <w:spacing w:after="0" w:line="176" w:lineRule="exact"/>
              <w:rPr>
                <w:sz w:val="20"/>
                <w:szCs w:val="20"/>
                <w:color w:val="auto"/>
              </w:rPr>
            </w:pPr>
            <w:r>
              <w:rPr>
                <w:rFonts w:ascii="Arial" w:cs="Arial" w:eastAsia="Arial" w:hAnsi="Arial"/>
                <w:sz w:val="16"/>
                <w:szCs w:val="16"/>
                <w:color w:val="auto"/>
              </w:rPr>
              <w:t>AFUDC related to equity</w:t>
            </w:r>
          </w:p>
        </w:tc>
        <w:tc>
          <w:tcPr>
            <w:tcW w:w="9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420" w:type="dxa"/>
            <w:vAlign w:val="bottom"/>
          </w:tcPr>
          <w:p>
            <w:pPr>
              <w:jc w:val="right"/>
              <w:spacing w:after="0" w:line="176" w:lineRule="exact"/>
              <w:rPr>
                <w:sz w:val="20"/>
                <w:szCs w:val="20"/>
                <w:color w:val="auto"/>
              </w:rPr>
            </w:pPr>
            <w:r>
              <w:rPr>
                <w:rFonts w:ascii="Arial" w:cs="Arial" w:eastAsia="Arial" w:hAnsi="Arial"/>
                <w:sz w:val="16"/>
                <w:szCs w:val="16"/>
                <w:color w:val="auto"/>
              </w:rPr>
              <w:t>22</w:t>
            </w:r>
          </w:p>
        </w:tc>
        <w:tc>
          <w:tcPr>
            <w:tcW w:w="1200" w:type="dxa"/>
            <w:vAlign w:val="bottom"/>
          </w:tcPr>
          <w:p>
            <w:pPr>
              <w:spacing w:after="0"/>
              <w:rPr>
                <w:sz w:val="15"/>
                <w:szCs w:val="15"/>
                <w:color w:val="auto"/>
              </w:rPr>
            </w:pPr>
          </w:p>
        </w:tc>
        <w:tc>
          <w:tcPr>
            <w:tcW w:w="440" w:type="dxa"/>
            <w:vAlign w:val="bottom"/>
          </w:tcPr>
          <w:p>
            <w:pPr>
              <w:jc w:val="right"/>
              <w:spacing w:after="0" w:line="176" w:lineRule="exact"/>
              <w:rPr>
                <w:sz w:val="20"/>
                <w:szCs w:val="20"/>
                <w:color w:val="auto"/>
              </w:rPr>
            </w:pPr>
            <w:r>
              <w:rPr>
                <w:rFonts w:ascii="Arial" w:cs="Arial" w:eastAsia="Arial" w:hAnsi="Arial"/>
                <w:sz w:val="16"/>
                <w:szCs w:val="16"/>
                <w:color w:val="auto"/>
              </w:rPr>
              <w:t>14</w:t>
            </w:r>
          </w:p>
        </w:tc>
        <w:tc>
          <w:tcPr>
            <w:tcW w:w="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80" w:type="dxa"/>
            <w:vAlign w:val="bottom"/>
          </w:tcPr>
          <w:p>
            <w:pPr>
              <w:jc w:val="right"/>
              <w:spacing w:after="0" w:line="176" w:lineRule="exact"/>
              <w:rPr>
                <w:sz w:val="20"/>
                <w:szCs w:val="20"/>
                <w:color w:val="auto"/>
              </w:rPr>
            </w:pPr>
            <w:r>
              <w:rPr>
                <w:rFonts w:ascii="Arial" w:cs="Arial" w:eastAsia="Arial" w:hAnsi="Arial"/>
                <w:sz w:val="16"/>
                <w:szCs w:val="16"/>
                <w:color w:val="auto"/>
              </w:rPr>
              <w:t>41</w:t>
            </w:r>
          </w:p>
        </w:tc>
        <w:tc>
          <w:tcPr>
            <w:tcW w:w="380" w:type="dxa"/>
            <w:vAlign w:val="bottom"/>
          </w:tcPr>
          <w:p>
            <w:pPr>
              <w:spacing w:after="0"/>
              <w:rPr>
                <w:sz w:val="15"/>
                <w:szCs w:val="15"/>
                <w:color w:val="auto"/>
              </w:rPr>
            </w:pPr>
          </w:p>
        </w:tc>
        <w:tc>
          <w:tcPr>
            <w:tcW w:w="1300" w:type="dxa"/>
            <w:vAlign w:val="bottom"/>
          </w:tcPr>
          <w:p>
            <w:pPr>
              <w:jc w:val="right"/>
              <w:spacing w:after="0" w:line="176" w:lineRule="exact"/>
              <w:rPr>
                <w:sz w:val="20"/>
                <w:szCs w:val="20"/>
                <w:color w:val="auto"/>
              </w:rPr>
            </w:pPr>
            <w:r>
              <w:rPr>
                <w:rFonts w:ascii="Arial" w:cs="Arial" w:eastAsia="Arial" w:hAnsi="Arial"/>
                <w:sz w:val="16"/>
                <w:szCs w:val="16"/>
                <w:color w:val="auto"/>
              </w:rPr>
              <w:t>27</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3820" w:type="dxa"/>
            <w:vAlign w:val="bottom"/>
          </w:tcPr>
          <w:p>
            <w:pPr>
              <w:ind w:left="160"/>
              <w:spacing w:after="0"/>
              <w:rPr>
                <w:sz w:val="20"/>
                <w:szCs w:val="20"/>
                <w:color w:val="auto"/>
              </w:rPr>
            </w:pPr>
            <w:r>
              <w:rPr>
                <w:rFonts w:ascii="Arial" w:cs="Arial" w:eastAsia="Arial" w:hAnsi="Arial"/>
                <w:sz w:val="16"/>
                <w:szCs w:val="16"/>
                <w:color w:val="auto"/>
              </w:rPr>
              <w:t>Other capitalized financing costs</w:t>
            </w:r>
          </w:p>
        </w:tc>
        <w:tc>
          <w:tcPr>
            <w:tcW w:w="980" w:type="dxa"/>
            <w:vAlign w:val="bottom"/>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w:t>
            </w:r>
          </w:p>
        </w:tc>
        <w:tc>
          <w:tcPr>
            <w:tcW w:w="120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w:t>
            </w:r>
          </w:p>
        </w:tc>
        <w:tc>
          <w:tcPr>
            <w:tcW w:w="2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w:t>
            </w:r>
          </w:p>
        </w:tc>
        <w:tc>
          <w:tcPr>
            <w:tcW w:w="38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3820" w:type="dxa"/>
            <w:vAlign w:val="bottom"/>
            <w:tcBorders>
              <w:bottom w:val="single" w:sz="8" w:color="auto"/>
            </w:tcBorders>
          </w:tcPr>
          <w:p>
            <w:pPr>
              <w:ind w:left="340"/>
              <w:spacing w:after="0" w:line="176" w:lineRule="exact"/>
              <w:rPr>
                <w:sz w:val="20"/>
                <w:szCs w:val="20"/>
                <w:color w:val="auto"/>
              </w:rPr>
            </w:pPr>
            <w:r>
              <w:rPr>
                <w:rFonts w:ascii="Arial" w:cs="Arial" w:eastAsia="Arial" w:hAnsi="Arial"/>
                <w:sz w:val="16"/>
                <w:szCs w:val="16"/>
                <w:color w:val="auto"/>
              </w:rPr>
              <w:t>Total Sempra Energy Consolidated</w:t>
            </w:r>
          </w:p>
        </w:tc>
        <w:tc>
          <w:tcPr>
            <w:tcW w:w="98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1021"/>
              <w:spacing w:after="0" w:line="176" w:lineRule="exact"/>
              <w:rPr>
                <w:sz w:val="20"/>
                <w:szCs w:val="20"/>
                <w:color w:val="auto"/>
              </w:rPr>
            </w:pPr>
            <w:r>
              <w:rPr>
                <w:rFonts w:ascii="Arial" w:cs="Arial" w:eastAsia="Arial" w:hAnsi="Arial"/>
                <w:sz w:val="16"/>
                <w:szCs w:val="16"/>
                <w:color w:val="auto"/>
                <w:w w:val="89"/>
              </w:rPr>
              <w:t>$</w:t>
            </w:r>
          </w:p>
        </w:tc>
        <w:tc>
          <w:tcPr>
            <w:tcW w:w="42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6"/>
                <w:szCs w:val="16"/>
                <w:color w:val="auto"/>
              </w:rPr>
              <w:t>39</w:t>
            </w:r>
          </w:p>
        </w:tc>
        <w:tc>
          <w:tcPr>
            <w:tcW w:w="1200" w:type="dxa"/>
            <w:vAlign w:val="bottom"/>
            <w:tcBorders>
              <w:bottom w:val="single" w:sz="8" w:color="auto"/>
            </w:tcBorders>
          </w:tcPr>
          <w:p>
            <w:pPr>
              <w:jc w:val="right"/>
              <w:ind w:right="1000"/>
              <w:spacing w:after="0" w:line="176" w:lineRule="exact"/>
              <w:rPr>
                <w:sz w:val="20"/>
                <w:szCs w:val="20"/>
                <w:color w:val="auto"/>
              </w:rPr>
            </w:pPr>
            <w:r>
              <w:rPr>
                <w:rFonts w:ascii="Arial" w:cs="Arial" w:eastAsia="Arial" w:hAnsi="Arial"/>
                <w:sz w:val="16"/>
                <w:szCs w:val="16"/>
                <w:color w:val="auto"/>
              </w:rPr>
              <w:t>$</w:t>
            </w:r>
          </w:p>
        </w:tc>
        <w:tc>
          <w:tcPr>
            <w:tcW w:w="44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6"/>
                <w:szCs w:val="16"/>
                <w:color w:val="auto"/>
              </w:rPr>
              <w:t>30</w:t>
            </w:r>
          </w:p>
        </w:tc>
        <w:tc>
          <w:tcPr>
            <w:tcW w:w="380" w:type="dxa"/>
            <w:vAlign w:val="bottom"/>
            <w:tcBorders>
              <w:bottom w:val="single" w:sz="8" w:color="auto"/>
            </w:tcBorders>
            <w:gridSpan w:val="2"/>
          </w:tcPr>
          <w:p>
            <w:pPr>
              <w:jc w:val="right"/>
              <w:ind w:right="280"/>
              <w:spacing w:after="0" w:line="176" w:lineRule="exact"/>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6"/>
                <w:szCs w:val="16"/>
                <w:color w:val="auto"/>
              </w:rPr>
              <w:t>72</w:t>
            </w:r>
          </w:p>
        </w:tc>
        <w:tc>
          <w:tcPr>
            <w:tcW w:w="380" w:type="dxa"/>
            <w:vAlign w:val="bottom"/>
            <w:tcBorders>
              <w:bottom w:val="single" w:sz="8" w:color="auto"/>
            </w:tcBorders>
          </w:tcPr>
          <w:p>
            <w:pPr>
              <w:jc w:val="right"/>
              <w:ind w:right="199"/>
              <w:spacing w:after="0" w:line="176" w:lineRule="exact"/>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6"/>
                <w:szCs w:val="16"/>
                <w:color w:val="auto"/>
              </w:rPr>
              <w:t>55</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3820" w:type="dxa"/>
            <w:vAlign w:val="bottom"/>
          </w:tcPr>
          <w:p>
            <w:pPr>
              <w:spacing w:after="0" w:line="164" w:lineRule="exact"/>
              <w:rPr>
                <w:sz w:val="20"/>
                <w:szCs w:val="20"/>
                <w:color w:val="auto"/>
              </w:rPr>
            </w:pPr>
            <w:r>
              <w:rPr>
                <w:rFonts w:ascii="Arial" w:cs="Arial" w:eastAsia="Arial" w:hAnsi="Arial"/>
                <w:sz w:val="16"/>
                <w:szCs w:val="16"/>
                <w:b w:val="1"/>
                <w:bCs w:val="1"/>
                <w:color w:val="auto"/>
              </w:rPr>
              <w:t>SDG&amp;E:</w:t>
            </w:r>
          </w:p>
        </w:tc>
        <w:tc>
          <w:tcPr>
            <w:tcW w:w="9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820" w:type="dxa"/>
            <w:vAlign w:val="bottom"/>
          </w:tcPr>
          <w:p>
            <w:pPr>
              <w:ind w:left="160"/>
              <w:spacing w:after="0" w:line="176" w:lineRule="exact"/>
              <w:rPr>
                <w:sz w:val="20"/>
                <w:szCs w:val="20"/>
                <w:color w:val="auto"/>
              </w:rPr>
            </w:pPr>
            <w:r>
              <w:rPr>
                <w:rFonts w:ascii="Arial" w:cs="Arial" w:eastAsia="Arial" w:hAnsi="Arial"/>
                <w:sz w:val="16"/>
                <w:szCs w:val="16"/>
                <w:color w:val="auto"/>
              </w:rPr>
              <w:t>AFUDC related to debt</w:t>
            </w:r>
          </w:p>
        </w:tc>
        <w:tc>
          <w:tcPr>
            <w:tcW w:w="2180" w:type="dxa"/>
            <w:vAlign w:val="bottom"/>
            <w:gridSpan w:val="2"/>
          </w:tcPr>
          <w:p>
            <w:pPr>
              <w:jc w:val="right"/>
              <w:ind w:right="1021"/>
              <w:spacing w:after="0" w:line="176" w:lineRule="exact"/>
              <w:rPr>
                <w:sz w:val="20"/>
                <w:szCs w:val="20"/>
                <w:color w:val="auto"/>
              </w:rPr>
            </w:pPr>
            <w:r>
              <w:rPr>
                <w:rFonts w:ascii="Arial" w:cs="Arial" w:eastAsia="Arial" w:hAnsi="Arial"/>
                <w:sz w:val="16"/>
                <w:szCs w:val="16"/>
                <w:color w:val="auto"/>
              </w:rPr>
              <w:t>$</w:t>
            </w:r>
          </w:p>
        </w:tc>
        <w:tc>
          <w:tcPr>
            <w:tcW w:w="420" w:type="dxa"/>
            <w:vAlign w:val="bottom"/>
          </w:tcPr>
          <w:p>
            <w:pPr>
              <w:jc w:val="right"/>
              <w:spacing w:after="0" w:line="176" w:lineRule="exact"/>
              <w:rPr>
                <w:sz w:val="20"/>
                <w:szCs w:val="20"/>
                <w:color w:val="auto"/>
              </w:rPr>
            </w:pPr>
            <w:r>
              <w:rPr>
                <w:rFonts w:ascii="Arial" w:cs="Arial" w:eastAsia="Arial" w:hAnsi="Arial"/>
                <w:sz w:val="16"/>
                <w:szCs w:val="16"/>
                <w:color w:val="auto"/>
              </w:rPr>
              <w:t>8</w:t>
            </w:r>
          </w:p>
        </w:tc>
        <w:tc>
          <w:tcPr>
            <w:tcW w:w="1200" w:type="dxa"/>
            <w:vAlign w:val="bottom"/>
          </w:tcPr>
          <w:p>
            <w:pPr>
              <w:jc w:val="right"/>
              <w:ind w:right="1000"/>
              <w:spacing w:after="0" w:line="176" w:lineRule="exact"/>
              <w:rPr>
                <w:sz w:val="20"/>
                <w:szCs w:val="20"/>
                <w:color w:val="auto"/>
              </w:rPr>
            </w:pPr>
            <w:r>
              <w:rPr>
                <w:rFonts w:ascii="Arial" w:cs="Arial" w:eastAsia="Arial" w:hAnsi="Arial"/>
                <w:sz w:val="16"/>
                <w:szCs w:val="16"/>
                <w:color w:val="auto"/>
              </w:rPr>
              <w:t>$</w:t>
            </w:r>
          </w:p>
        </w:tc>
        <w:tc>
          <w:tcPr>
            <w:tcW w:w="440" w:type="dxa"/>
            <w:vAlign w:val="bottom"/>
          </w:tcPr>
          <w:p>
            <w:pPr>
              <w:jc w:val="right"/>
              <w:spacing w:after="0" w:line="176" w:lineRule="exact"/>
              <w:rPr>
                <w:sz w:val="20"/>
                <w:szCs w:val="20"/>
                <w:color w:val="auto"/>
              </w:rPr>
            </w:pPr>
            <w:r>
              <w:rPr>
                <w:rFonts w:ascii="Arial" w:cs="Arial" w:eastAsia="Arial" w:hAnsi="Arial"/>
                <w:sz w:val="16"/>
                <w:szCs w:val="16"/>
                <w:color w:val="auto"/>
              </w:rPr>
              <w:t>4</w:t>
            </w:r>
          </w:p>
        </w:tc>
        <w:tc>
          <w:tcPr>
            <w:tcW w:w="380" w:type="dxa"/>
            <w:vAlign w:val="bottom"/>
            <w:gridSpan w:val="2"/>
          </w:tcPr>
          <w:p>
            <w:pPr>
              <w:jc w:val="right"/>
              <w:ind w:right="280"/>
              <w:spacing w:after="0" w:line="176" w:lineRule="exact"/>
              <w:rPr>
                <w:sz w:val="20"/>
                <w:szCs w:val="20"/>
                <w:color w:val="auto"/>
              </w:rPr>
            </w:pPr>
            <w:r>
              <w:rPr>
                <w:rFonts w:ascii="Arial" w:cs="Arial" w:eastAsia="Arial" w:hAnsi="Arial"/>
                <w:sz w:val="16"/>
                <w:szCs w:val="16"/>
                <w:color w:val="auto"/>
                <w:w w:val="89"/>
              </w:rPr>
              <w:t>$</w:t>
            </w:r>
          </w:p>
        </w:tc>
        <w:tc>
          <w:tcPr>
            <w:tcW w:w="1280" w:type="dxa"/>
            <w:vAlign w:val="bottom"/>
          </w:tcPr>
          <w:p>
            <w:pPr>
              <w:jc w:val="right"/>
              <w:spacing w:after="0" w:line="176" w:lineRule="exact"/>
              <w:rPr>
                <w:sz w:val="20"/>
                <w:szCs w:val="20"/>
                <w:color w:val="auto"/>
              </w:rPr>
            </w:pPr>
            <w:r>
              <w:rPr>
                <w:rFonts w:ascii="Arial" w:cs="Arial" w:eastAsia="Arial" w:hAnsi="Arial"/>
                <w:sz w:val="16"/>
                <w:szCs w:val="16"/>
                <w:color w:val="auto"/>
              </w:rPr>
              <w:t>14</w:t>
            </w:r>
          </w:p>
        </w:tc>
        <w:tc>
          <w:tcPr>
            <w:tcW w:w="380" w:type="dxa"/>
            <w:vAlign w:val="bottom"/>
          </w:tcPr>
          <w:p>
            <w:pPr>
              <w:jc w:val="right"/>
              <w:ind w:right="199"/>
              <w:spacing w:after="0" w:line="176" w:lineRule="exact"/>
              <w:rPr>
                <w:sz w:val="20"/>
                <w:szCs w:val="20"/>
                <w:color w:val="auto"/>
              </w:rPr>
            </w:pPr>
            <w:r>
              <w:rPr>
                <w:rFonts w:ascii="Arial" w:cs="Arial" w:eastAsia="Arial" w:hAnsi="Arial"/>
                <w:sz w:val="16"/>
                <w:szCs w:val="16"/>
                <w:color w:val="auto"/>
                <w:w w:val="89"/>
              </w:rPr>
              <w:t>$</w:t>
            </w:r>
          </w:p>
        </w:tc>
        <w:tc>
          <w:tcPr>
            <w:tcW w:w="1300" w:type="dxa"/>
            <w:vAlign w:val="bottom"/>
          </w:tcPr>
          <w:p>
            <w:pPr>
              <w:jc w:val="right"/>
              <w:spacing w:after="0" w:line="176" w:lineRule="exact"/>
              <w:rPr>
                <w:sz w:val="20"/>
                <w:szCs w:val="20"/>
                <w:color w:val="auto"/>
              </w:rPr>
            </w:pPr>
            <w:r>
              <w:rPr>
                <w:rFonts w:ascii="Arial" w:cs="Arial" w:eastAsia="Arial" w:hAnsi="Arial"/>
                <w:sz w:val="16"/>
                <w:szCs w:val="16"/>
                <w:color w:val="auto"/>
              </w:rPr>
              <w:t>7</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3820" w:type="dxa"/>
            <w:vAlign w:val="bottom"/>
          </w:tcPr>
          <w:p>
            <w:pPr>
              <w:ind w:left="160"/>
              <w:spacing w:after="0"/>
              <w:rPr>
                <w:sz w:val="20"/>
                <w:szCs w:val="20"/>
                <w:color w:val="auto"/>
              </w:rPr>
            </w:pPr>
            <w:r>
              <w:rPr>
                <w:rFonts w:ascii="Arial" w:cs="Arial" w:eastAsia="Arial" w:hAnsi="Arial"/>
                <w:sz w:val="16"/>
                <w:szCs w:val="16"/>
                <w:color w:val="auto"/>
              </w:rPr>
              <w:t>AFUDC related to equity</w:t>
            </w:r>
          </w:p>
        </w:tc>
        <w:tc>
          <w:tcPr>
            <w:tcW w:w="980" w:type="dxa"/>
            <w:vAlign w:val="bottom"/>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w:t>
            </w:r>
          </w:p>
        </w:tc>
        <w:tc>
          <w:tcPr>
            <w:tcW w:w="120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w:t>
            </w:r>
          </w:p>
        </w:tc>
        <w:tc>
          <w:tcPr>
            <w:tcW w:w="2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w:t>
            </w:r>
          </w:p>
        </w:tc>
        <w:tc>
          <w:tcPr>
            <w:tcW w:w="38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3820" w:type="dxa"/>
            <w:vAlign w:val="bottom"/>
            <w:tcBorders>
              <w:bottom w:val="single" w:sz="8" w:color="auto"/>
            </w:tcBorders>
          </w:tcPr>
          <w:p>
            <w:pPr>
              <w:ind w:left="340"/>
              <w:spacing w:after="0" w:line="176" w:lineRule="exact"/>
              <w:rPr>
                <w:sz w:val="20"/>
                <w:szCs w:val="20"/>
                <w:color w:val="auto"/>
              </w:rPr>
            </w:pPr>
            <w:r>
              <w:rPr>
                <w:rFonts w:ascii="Arial" w:cs="Arial" w:eastAsia="Arial" w:hAnsi="Arial"/>
                <w:sz w:val="16"/>
                <w:szCs w:val="16"/>
                <w:color w:val="auto"/>
              </w:rPr>
              <w:t>Total SDG&amp;E</w:t>
            </w:r>
          </w:p>
        </w:tc>
        <w:tc>
          <w:tcPr>
            <w:tcW w:w="98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1021"/>
              <w:spacing w:after="0" w:line="176" w:lineRule="exact"/>
              <w:rPr>
                <w:sz w:val="20"/>
                <w:szCs w:val="20"/>
                <w:color w:val="auto"/>
              </w:rPr>
            </w:pPr>
            <w:r>
              <w:rPr>
                <w:rFonts w:ascii="Arial" w:cs="Arial" w:eastAsia="Arial" w:hAnsi="Arial"/>
                <w:sz w:val="16"/>
                <w:szCs w:val="16"/>
                <w:color w:val="auto"/>
                <w:w w:val="89"/>
              </w:rPr>
              <w:t>$</w:t>
            </w:r>
          </w:p>
        </w:tc>
        <w:tc>
          <w:tcPr>
            <w:tcW w:w="42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6"/>
                <w:szCs w:val="16"/>
                <w:color w:val="auto"/>
              </w:rPr>
              <w:t>26</w:t>
            </w:r>
          </w:p>
        </w:tc>
        <w:tc>
          <w:tcPr>
            <w:tcW w:w="1200" w:type="dxa"/>
            <w:vAlign w:val="bottom"/>
            <w:tcBorders>
              <w:bottom w:val="single" w:sz="8" w:color="auto"/>
            </w:tcBorders>
          </w:tcPr>
          <w:p>
            <w:pPr>
              <w:jc w:val="right"/>
              <w:ind w:right="1000"/>
              <w:spacing w:after="0" w:line="176" w:lineRule="exact"/>
              <w:rPr>
                <w:sz w:val="20"/>
                <w:szCs w:val="20"/>
                <w:color w:val="auto"/>
              </w:rPr>
            </w:pPr>
            <w:r>
              <w:rPr>
                <w:rFonts w:ascii="Arial" w:cs="Arial" w:eastAsia="Arial" w:hAnsi="Arial"/>
                <w:sz w:val="16"/>
                <w:szCs w:val="16"/>
                <w:color w:val="auto"/>
              </w:rPr>
              <w:t>$</w:t>
            </w:r>
          </w:p>
        </w:tc>
        <w:tc>
          <w:tcPr>
            <w:tcW w:w="44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6"/>
                <w:szCs w:val="16"/>
                <w:color w:val="auto"/>
              </w:rPr>
              <w:t>14</w:t>
            </w:r>
          </w:p>
        </w:tc>
        <w:tc>
          <w:tcPr>
            <w:tcW w:w="380" w:type="dxa"/>
            <w:vAlign w:val="bottom"/>
            <w:tcBorders>
              <w:bottom w:val="single" w:sz="8" w:color="auto"/>
            </w:tcBorders>
            <w:gridSpan w:val="2"/>
          </w:tcPr>
          <w:p>
            <w:pPr>
              <w:jc w:val="right"/>
              <w:ind w:right="280"/>
              <w:spacing w:after="0" w:line="176" w:lineRule="exact"/>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6"/>
                <w:szCs w:val="16"/>
                <w:color w:val="auto"/>
              </w:rPr>
              <w:t>47</w:t>
            </w:r>
          </w:p>
        </w:tc>
        <w:tc>
          <w:tcPr>
            <w:tcW w:w="380" w:type="dxa"/>
            <w:vAlign w:val="bottom"/>
            <w:tcBorders>
              <w:bottom w:val="single" w:sz="8" w:color="auto"/>
            </w:tcBorders>
          </w:tcPr>
          <w:p>
            <w:pPr>
              <w:jc w:val="right"/>
              <w:ind w:right="199"/>
              <w:spacing w:after="0" w:line="176" w:lineRule="exact"/>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6"/>
                <w:szCs w:val="16"/>
                <w:color w:val="auto"/>
              </w:rPr>
              <w:t>26</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3820" w:type="dxa"/>
            <w:vAlign w:val="bottom"/>
          </w:tcPr>
          <w:p>
            <w:pPr>
              <w:spacing w:after="0" w:line="164" w:lineRule="exact"/>
              <w:rPr>
                <w:sz w:val="20"/>
                <w:szCs w:val="20"/>
                <w:color w:val="auto"/>
              </w:rPr>
            </w:pPr>
            <w:r>
              <w:rPr>
                <w:rFonts w:ascii="Arial" w:cs="Arial" w:eastAsia="Arial" w:hAnsi="Arial"/>
                <w:sz w:val="16"/>
                <w:szCs w:val="16"/>
                <w:b w:val="1"/>
                <w:bCs w:val="1"/>
                <w:color w:val="auto"/>
              </w:rPr>
              <w:t>SoCalGas:</w:t>
            </w:r>
          </w:p>
        </w:tc>
        <w:tc>
          <w:tcPr>
            <w:tcW w:w="9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820" w:type="dxa"/>
            <w:vAlign w:val="bottom"/>
          </w:tcPr>
          <w:p>
            <w:pPr>
              <w:ind w:left="160"/>
              <w:spacing w:after="0" w:line="176" w:lineRule="exact"/>
              <w:rPr>
                <w:sz w:val="20"/>
                <w:szCs w:val="20"/>
                <w:color w:val="auto"/>
              </w:rPr>
            </w:pPr>
            <w:r>
              <w:rPr>
                <w:rFonts w:ascii="Arial" w:cs="Arial" w:eastAsia="Arial" w:hAnsi="Arial"/>
                <w:sz w:val="16"/>
                <w:szCs w:val="16"/>
                <w:color w:val="auto"/>
              </w:rPr>
              <w:t>AFUDC related to debt</w:t>
            </w:r>
          </w:p>
        </w:tc>
        <w:tc>
          <w:tcPr>
            <w:tcW w:w="2180" w:type="dxa"/>
            <w:vAlign w:val="bottom"/>
            <w:gridSpan w:val="2"/>
          </w:tcPr>
          <w:p>
            <w:pPr>
              <w:jc w:val="right"/>
              <w:ind w:right="1021"/>
              <w:spacing w:after="0" w:line="176" w:lineRule="exact"/>
              <w:rPr>
                <w:sz w:val="20"/>
                <w:szCs w:val="20"/>
                <w:color w:val="auto"/>
              </w:rPr>
            </w:pPr>
            <w:r>
              <w:rPr>
                <w:rFonts w:ascii="Arial" w:cs="Arial" w:eastAsia="Arial" w:hAnsi="Arial"/>
                <w:sz w:val="16"/>
                <w:szCs w:val="16"/>
                <w:color w:val="auto"/>
              </w:rPr>
              <w:t>$</w:t>
            </w:r>
          </w:p>
        </w:tc>
        <w:tc>
          <w:tcPr>
            <w:tcW w:w="420" w:type="dxa"/>
            <w:vAlign w:val="bottom"/>
          </w:tcPr>
          <w:p>
            <w:pPr>
              <w:jc w:val="right"/>
              <w:spacing w:after="0" w:line="176" w:lineRule="exact"/>
              <w:rPr>
                <w:sz w:val="20"/>
                <w:szCs w:val="20"/>
                <w:color w:val="auto"/>
              </w:rPr>
            </w:pPr>
            <w:r>
              <w:rPr>
                <w:rFonts w:ascii="Arial" w:cs="Arial" w:eastAsia="Arial" w:hAnsi="Arial"/>
                <w:sz w:val="16"/>
                <w:szCs w:val="16"/>
                <w:color w:val="auto"/>
              </w:rPr>
              <w:t>1</w:t>
            </w:r>
          </w:p>
        </w:tc>
        <w:tc>
          <w:tcPr>
            <w:tcW w:w="1200" w:type="dxa"/>
            <w:vAlign w:val="bottom"/>
          </w:tcPr>
          <w:p>
            <w:pPr>
              <w:jc w:val="right"/>
              <w:ind w:right="1000"/>
              <w:spacing w:after="0" w:line="176" w:lineRule="exact"/>
              <w:rPr>
                <w:sz w:val="20"/>
                <w:szCs w:val="20"/>
                <w:color w:val="auto"/>
              </w:rPr>
            </w:pPr>
            <w:r>
              <w:rPr>
                <w:rFonts w:ascii="Arial" w:cs="Arial" w:eastAsia="Arial" w:hAnsi="Arial"/>
                <w:sz w:val="16"/>
                <w:szCs w:val="16"/>
                <w:color w:val="auto"/>
              </w:rPr>
              <w:t>$</w:t>
            </w:r>
          </w:p>
        </w:tc>
        <w:tc>
          <w:tcPr>
            <w:tcW w:w="440" w:type="dxa"/>
            <w:vAlign w:val="bottom"/>
          </w:tcPr>
          <w:p>
            <w:pPr>
              <w:jc w:val="right"/>
              <w:spacing w:after="0" w:line="176" w:lineRule="exact"/>
              <w:rPr>
                <w:sz w:val="20"/>
                <w:szCs w:val="20"/>
                <w:color w:val="auto"/>
              </w:rPr>
            </w:pPr>
            <w:r>
              <w:rPr>
                <w:rFonts w:ascii="Arial" w:cs="Arial" w:eastAsia="Arial" w:hAnsi="Arial"/>
                <w:sz w:val="16"/>
                <w:szCs w:val="16"/>
                <w:color w:val="auto"/>
              </w:rPr>
              <w:t>1</w:t>
            </w:r>
          </w:p>
        </w:tc>
        <w:tc>
          <w:tcPr>
            <w:tcW w:w="380" w:type="dxa"/>
            <w:vAlign w:val="bottom"/>
            <w:gridSpan w:val="2"/>
          </w:tcPr>
          <w:p>
            <w:pPr>
              <w:jc w:val="right"/>
              <w:ind w:right="280"/>
              <w:spacing w:after="0" w:line="176" w:lineRule="exact"/>
              <w:rPr>
                <w:sz w:val="20"/>
                <w:szCs w:val="20"/>
                <w:color w:val="auto"/>
              </w:rPr>
            </w:pPr>
            <w:r>
              <w:rPr>
                <w:rFonts w:ascii="Arial" w:cs="Arial" w:eastAsia="Arial" w:hAnsi="Arial"/>
                <w:sz w:val="16"/>
                <w:szCs w:val="16"/>
                <w:color w:val="auto"/>
                <w:w w:val="89"/>
              </w:rPr>
              <w:t>$</w:t>
            </w:r>
          </w:p>
        </w:tc>
        <w:tc>
          <w:tcPr>
            <w:tcW w:w="1280" w:type="dxa"/>
            <w:vAlign w:val="bottom"/>
          </w:tcPr>
          <w:p>
            <w:pPr>
              <w:jc w:val="right"/>
              <w:spacing w:after="0" w:line="176" w:lineRule="exact"/>
              <w:rPr>
                <w:sz w:val="20"/>
                <w:szCs w:val="20"/>
                <w:color w:val="auto"/>
              </w:rPr>
            </w:pPr>
            <w:r>
              <w:rPr>
                <w:rFonts w:ascii="Arial" w:cs="Arial" w:eastAsia="Arial" w:hAnsi="Arial"/>
                <w:sz w:val="16"/>
                <w:szCs w:val="16"/>
                <w:color w:val="auto"/>
              </w:rPr>
              <w:t>3</w:t>
            </w:r>
          </w:p>
        </w:tc>
        <w:tc>
          <w:tcPr>
            <w:tcW w:w="380" w:type="dxa"/>
            <w:vAlign w:val="bottom"/>
          </w:tcPr>
          <w:p>
            <w:pPr>
              <w:jc w:val="right"/>
              <w:ind w:right="199"/>
              <w:spacing w:after="0" w:line="176" w:lineRule="exact"/>
              <w:rPr>
                <w:sz w:val="20"/>
                <w:szCs w:val="20"/>
                <w:color w:val="auto"/>
              </w:rPr>
            </w:pPr>
            <w:r>
              <w:rPr>
                <w:rFonts w:ascii="Arial" w:cs="Arial" w:eastAsia="Arial" w:hAnsi="Arial"/>
                <w:sz w:val="16"/>
                <w:szCs w:val="16"/>
                <w:color w:val="auto"/>
                <w:w w:val="89"/>
              </w:rPr>
              <w:t>$</w:t>
            </w:r>
          </w:p>
        </w:tc>
        <w:tc>
          <w:tcPr>
            <w:tcW w:w="1300" w:type="dxa"/>
            <w:vAlign w:val="bottom"/>
          </w:tcPr>
          <w:p>
            <w:pPr>
              <w:jc w:val="right"/>
              <w:spacing w:after="0" w:line="176" w:lineRule="exact"/>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3820" w:type="dxa"/>
            <w:vAlign w:val="bottom"/>
          </w:tcPr>
          <w:p>
            <w:pPr>
              <w:ind w:left="160"/>
              <w:spacing w:after="0"/>
              <w:rPr>
                <w:sz w:val="20"/>
                <w:szCs w:val="20"/>
                <w:color w:val="auto"/>
              </w:rPr>
            </w:pPr>
            <w:r>
              <w:rPr>
                <w:rFonts w:ascii="Arial" w:cs="Arial" w:eastAsia="Arial" w:hAnsi="Arial"/>
                <w:sz w:val="16"/>
                <w:szCs w:val="16"/>
                <w:color w:val="auto"/>
              </w:rPr>
              <w:t>AFUDC related to equity</w:t>
            </w:r>
          </w:p>
        </w:tc>
        <w:tc>
          <w:tcPr>
            <w:tcW w:w="980" w:type="dxa"/>
            <w:vAlign w:val="bottom"/>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w:t>
            </w:r>
          </w:p>
        </w:tc>
        <w:tc>
          <w:tcPr>
            <w:tcW w:w="120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w:t>
            </w:r>
          </w:p>
        </w:tc>
        <w:tc>
          <w:tcPr>
            <w:tcW w:w="2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w:t>
            </w:r>
          </w:p>
        </w:tc>
        <w:tc>
          <w:tcPr>
            <w:tcW w:w="38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3820" w:type="dxa"/>
            <w:vAlign w:val="bottom"/>
            <w:tcBorders>
              <w:bottom w:val="single" w:sz="8" w:color="auto"/>
            </w:tcBorders>
          </w:tcPr>
          <w:p>
            <w:pPr>
              <w:ind w:left="340"/>
              <w:spacing w:after="0" w:line="176" w:lineRule="exact"/>
              <w:rPr>
                <w:sz w:val="20"/>
                <w:szCs w:val="20"/>
                <w:color w:val="auto"/>
              </w:rPr>
            </w:pPr>
            <w:r>
              <w:rPr>
                <w:rFonts w:ascii="Arial" w:cs="Arial" w:eastAsia="Arial" w:hAnsi="Arial"/>
                <w:sz w:val="16"/>
                <w:szCs w:val="16"/>
                <w:color w:val="auto"/>
              </w:rPr>
              <w:t>Total SoCalGas</w:t>
            </w:r>
          </w:p>
        </w:tc>
        <w:tc>
          <w:tcPr>
            <w:tcW w:w="98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1021"/>
              <w:spacing w:after="0" w:line="176" w:lineRule="exact"/>
              <w:rPr>
                <w:sz w:val="20"/>
                <w:szCs w:val="20"/>
                <w:color w:val="auto"/>
              </w:rPr>
            </w:pPr>
            <w:r>
              <w:rPr>
                <w:rFonts w:ascii="Arial" w:cs="Arial" w:eastAsia="Arial" w:hAnsi="Arial"/>
                <w:sz w:val="16"/>
                <w:szCs w:val="16"/>
                <w:color w:val="auto"/>
                <w:w w:val="89"/>
              </w:rPr>
              <w:t>$</w:t>
            </w:r>
          </w:p>
        </w:tc>
        <w:tc>
          <w:tcPr>
            <w:tcW w:w="42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6"/>
                <w:szCs w:val="16"/>
                <w:color w:val="auto"/>
              </w:rPr>
              <w:t>5</w:t>
            </w:r>
          </w:p>
        </w:tc>
        <w:tc>
          <w:tcPr>
            <w:tcW w:w="1200" w:type="dxa"/>
            <w:vAlign w:val="bottom"/>
            <w:tcBorders>
              <w:bottom w:val="single" w:sz="8" w:color="auto"/>
            </w:tcBorders>
          </w:tcPr>
          <w:p>
            <w:pPr>
              <w:jc w:val="right"/>
              <w:ind w:right="1000"/>
              <w:spacing w:after="0" w:line="176" w:lineRule="exact"/>
              <w:rPr>
                <w:sz w:val="20"/>
                <w:szCs w:val="20"/>
                <w:color w:val="auto"/>
              </w:rPr>
            </w:pPr>
            <w:r>
              <w:rPr>
                <w:rFonts w:ascii="Arial" w:cs="Arial" w:eastAsia="Arial" w:hAnsi="Arial"/>
                <w:sz w:val="16"/>
                <w:szCs w:val="16"/>
                <w:color w:val="auto"/>
              </w:rPr>
              <w:t>$</w:t>
            </w:r>
          </w:p>
        </w:tc>
        <w:tc>
          <w:tcPr>
            <w:tcW w:w="44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6"/>
                <w:szCs w:val="16"/>
                <w:color w:val="auto"/>
              </w:rPr>
              <w:t>5</w:t>
            </w:r>
          </w:p>
        </w:tc>
        <w:tc>
          <w:tcPr>
            <w:tcW w:w="380" w:type="dxa"/>
            <w:vAlign w:val="bottom"/>
            <w:tcBorders>
              <w:bottom w:val="single" w:sz="8" w:color="auto"/>
            </w:tcBorders>
            <w:gridSpan w:val="2"/>
          </w:tcPr>
          <w:p>
            <w:pPr>
              <w:jc w:val="right"/>
              <w:ind w:right="280"/>
              <w:spacing w:after="0" w:line="176" w:lineRule="exact"/>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6"/>
                <w:szCs w:val="16"/>
                <w:color w:val="auto"/>
              </w:rPr>
              <w:t>11</w:t>
            </w:r>
          </w:p>
        </w:tc>
        <w:tc>
          <w:tcPr>
            <w:tcW w:w="380" w:type="dxa"/>
            <w:vAlign w:val="bottom"/>
            <w:tcBorders>
              <w:bottom w:val="single" w:sz="8" w:color="auto"/>
            </w:tcBorders>
          </w:tcPr>
          <w:p>
            <w:pPr>
              <w:jc w:val="right"/>
              <w:ind w:right="199"/>
              <w:spacing w:after="0" w:line="176" w:lineRule="exact"/>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6"/>
                <w:szCs w:val="16"/>
                <w:color w:val="auto"/>
              </w:rPr>
              <w:t>11</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COMPREHENSIVE INCOME</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provide a reconciliation of net income to comprehensive income.</w:t>
      </w: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COMPREHENSIVE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-104775</wp:posOffset>
            </wp:positionV>
            <wp:extent cx="7246620" cy="22288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46620" cy="222885"/>
                    </a:xfrm>
                    <a:prstGeom prst="rect">
                      <a:avLst/>
                    </a:prstGeom>
                    <a:noFill/>
                  </pic:spPr>
                </pic:pic>
              </a:graphicData>
            </a:graphic>
          </wp:anchor>
        </w:drawing>
      </w:r>
    </w:p>
    <w:p>
      <w:pPr>
        <w:spacing w:after="0" w:line="8"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(Dollars in millions)</w:t>
      </w:r>
    </w:p>
    <w:p>
      <w:pPr>
        <w:ind w:left="6600"/>
        <w:spacing w:after="0" w:line="236" w:lineRule="auto"/>
        <w:rPr>
          <w:sz w:val="20"/>
          <w:szCs w:val="20"/>
          <w:color w:val="auto"/>
        </w:rPr>
      </w:pPr>
      <w:r>
        <w:rPr>
          <w:rFonts w:ascii="Arial" w:cs="Arial" w:eastAsia="Arial" w:hAnsi="Arial"/>
          <w:sz w:val="14"/>
          <w:szCs w:val="14"/>
          <w:color w:val="auto"/>
        </w:rPr>
        <w:t>Three months ended June 30,</w:t>
      </w:r>
    </w:p>
    <w:tbl>
      <w:tblPr>
        <w:tblLayout w:type="fixed"/>
        <w:tblInd w:w="0" w:type="dxa"/>
        <w:tblCellMar>
          <w:top w:w="0" w:type="dxa"/>
          <w:left w:w="0" w:type="dxa"/>
          <w:bottom w:w="0" w:type="dxa"/>
          <w:right w:w="0" w:type="dxa"/>
        </w:tblCellMar>
      </w:tblPr>
      <w:tr>
        <w:trPr>
          <w:trHeight w:val="176"/>
        </w:trPr>
        <w:tc>
          <w:tcPr>
            <w:tcW w:w="20" w:type="dxa"/>
            <w:vAlign w:val="bottom"/>
          </w:tcPr>
          <w:p>
            <w:pPr>
              <w:spacing w:after="0"/>
              <w:rPr>
                <w:sz w:val="15"/>
                <w:szCs w:val="15"/>
                <w:color w:val="auto"/>
              </w:rPr>
            </w:pPr>
          </w:p>
        </w:tc>
        <w:tc>
          <w:tcPr>
            <w:tcW w:w="32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900" w:type="dxa"/>
            <w:vAlign w:val="bottom"/>
            <w:tcBorders>
              <w:top w:val="single" w:sz="8" w:color="auto"/>
              <w:bottom w:val="single" w:sz="8" w:color="auto"/>
            </w:tcBorders>
          </w:tcPr>
          <w:p>
            <w:pPr>
              <w:spacing w:after="0"/>
              <w:rPr>
                <w:sz w:val="15"/>
                <w:szCs w:val="15"/>
                <w:color w:val="auto"/>
              </w:rPr>
            </w:pPr>
          </w:p>
        </w:tc>
        <w:tc>
          <w:tcPr>
            <w:tcW w:w="300" w:type="dxa"/>
            <w:vAlign w:val="bottom"/>
            <w:tcBorders>
              <w:top w:val="single" w:sz="8" w:color="auto"/>
              <w:bottom w:val="single" w:sz="8" w:color="auto"/>
            </w:tcBorders>
          </w:tcPr>
          <w:p>
            <w:pPr>
              <w:spacing w:after="0"/>
              <w:rPr>
                <w:sz w:val="15"/>
                <w:szCs w:val="15"/>
                <w:color w:val="auto"/>
              </w:rPr>
            </w:pPr>
          </w:p>
        </w:tc>
        <w:tc>
          <w:tcPr>
            <w:tcW w:w="200" w:type="dxa"/>
            <w:vAlign w:val="bottom"/>
            <w:tcBorders>
              <w:top w:val="single" w:sz="8" w:color="auto"/>
              <w:bottom w:val="single" w:sz="8" w:color="auto"/>
            </w:tcBorders>
          </w:tcPr>
          <w:p>
            <w:pPr>
              <w:spacing w:after="0"/>
              <w:rPr>
                <w:sz w:val="15"/>
                <w:szCs w:val="15"/>
                <w:color w:val="auto"/>
              </w:rPr>
            </w:pPr>
          </w:p>
        </w:tc>
        <w:tc>
          <w:tcPr>
            <w:tcW w:w="1300" w:type="dxa"/>
            <w:vAlign w:val="bottom"/>
            <w:tcBorders>
              <w:top w:val="single" w:sz="8" w:color="auto"/>
              <w:bottom w:val="single" w:sz="8" w:color="auto"/>
            </w:tcBorders>
          </w:tcPr>
          <w:p>
            <w:pPr>
              <w:jc w:val="center"/>
              <w:ind w:right="385"/>
              <w:spacing w:after="0"/>
              <w:rPr>
                <w:sz w:val="20"/>
                <w:szCs w:val="20"/>
                <w:color w:val="auto"/>
              </w:rPr>
            </w:pPr>
            <w:r>
              <w:rPr>
                <w:rFonts w:ascii="Arial" w:cs="Arial" w:eastAsia="Arial" w:hAnsi="Arial"/>
                <w:sz w:val="14"/>
                <w:szCs w:val="14"/>
                <w:color w:val="auto"/>
              </w:rPr>
              <w:t>2011</w:t>
            </w:r>
          </w:p>
        </w:tc>
        <w:tc>
          <w:tcPr>
            <w:tcW w:w="1140" w:type="dxa"/>
            <w:vAlign w:val="bottom"/>
            <w:tcBorders>
              <w:top w:val="single" w:sz="8" w:color="auto"/>
              <w:bottom w:val="single" w:sz="8" w:color="auto"/>
            </w:tcBorders>
          </w:tcPr>
          <w:p>
            <w:pPr>
              <w:spacing w:after="0"/>
              <w:rPr>
                <w:sz w:val="15"/>
                <w:szCs w:val="15"/>
                <w:color w:val="auto"/>
              </w:rPr>
            </w:pPr>
          </w:p>
        </w:tc>
        <w:tc>
          <w:tcPr>
            <w:tcW w:w="400" w:type="dxa"/>
            <w:vAlign w:val="bottom"/>
            <w:tcBorders>
              <w:top w:val="single" w:sz="8" w:color="auto"/>
              <w:bottom w:val="single" w:sz="8" w:color="auto"/>
            </w:tcBorders>
          </w:tcPr>
          <w:p>
            <w:pPr>
              <w:spacing w:after="0"/>
              <w:rPr>
                <w:sz w:val="15"/>
                <w:szCs w:val="15"/>
                <w:color w:val="auto"/>
              </w:rPr>
            </w:pPr>
          </w:p>
        </w:tc>
        <w:tc>
          <w:tcPr>
            <w:tcW w:w="1020" w:type="dxa"/>
            <w:vAlign w:val="bottom"/>
            <w:tcBorders>
              <w:top w:val="single" w:sz="8" w:color="auto"/>
              <w:bottom w:val="single" w:sz="8" w:color="auto"/>
            </w:tcBorders>
          </w:tcPr>
          <w:p>
            <w:pPr>
              <w:spacing w:after="0"/>
              <w:rPr>
                <w:sz w:val="15"/>
                <w:szCs w:val="15"/>
                <w:color w:val="auto"/>
              </w:rPr>
            </w:pPr>
          </w:p>
        </w:tc>
        <w:tc>
          <w:tcPr>
            <w:tcW w:w="200" w:type="dxa"/>
            <w:vAlign w:val="bottom"/>
            <w:tcBorders>
              <w:top w:val="single" w:sz="8" w:color="auto"/>
              <w:bottom w:val="single" w:sz="8" w:color="auto"/>
            </w:tcBorders>
          </w:tcPr>
          <w:p>
            <w:pPr>
              <w:spacing w:after="0"/>
              <w:rPr>
                <w:sz w:val="15"/>
                <w:szCs w:val="15"/>
                <w:color w:val="auto"/>
              </w:rPr>
            </w:pPr>
          </w:p>
        </w:tc>
        <w:tc>
          <w:tcPr>
            <w:tcW w:w="1300" w:type="dxa"/>
            <w:vAlign w:val="bottom"/>
            <w:tcBorders>
              <w:top w:val="single" w:sz="8" w:color="auto"/>
              <w:bottom w:val="single" w:sz="8" w:color="auto"/>
            </w:tcBorders>
          </w:tcPr>
          <w:p>
            <w:pPr>
              <w:jc w:val="center"/>
              <w:ind w:right="405"/>
              <w:spacing w:after="0"/>
              <w:rPr>
                <w:sz w:val="20"/>
                <w:szCs w:val="20"/>
                <w:color w:val="auto"/>
              </w:rPr>
            </w:pPr>
            <w:r>
              <w:rPr>
                <w:rFonts w:ascii="Arial" w:cs="Arial" w:eastAsia="Arial" w:hAnsi="Arial"/>
                <w:sz w:val="14"/>
                <w:szCs w:val="14"/>
                <w:color w:val="auto"/>
              </w:rPr>
              <w:t>2010</w:t>
            </w:r>
          </w:p>
        </w:tc>
        <w:tc>
          <w:tcPr>
            <w:tcW w:w="980" w:type="dxa"/>
            <w:vAlign w:val="bottom"/>
            <w:tcBorders>
              <w:top w:val="single" w:sz="8" w:color="auto"/>
              <w:bottom w:val="single" w:sz="8" w:color="auto"/>
            </w:tcBorders>
          </w:tcPr>
          <w:p>
            <w:pPr>
              <w:spacing w:after="0"/>
              <w:rPr>
                <w:sz w:val="15"/>
                <w:szCs w:val="15"/>
                <w:color w:val="auto"/>
              </w:rPr>
            </w:pPr>
          </w:p>
        </w:tc>
      </w:tr>
      <w:tr>
        <w:trPr>
          <w:trHeight w:val="191"/>
        </w:trPr>
        <w:tc>
          <w:tcPr>
            <w:tcW w:w="20" w:type="dxa"/>
            <w:vAlign w:val="bottom"/>
          </w:tcPr>
          <w:p>
            <w:pPr>
              <w:spacing w:after="0"/>
              <w:rPr>
                <w:sz w:val="16"/>
                <w:szCs w:val="16"/>
                <w:color w:val="auto"/>
              </w:rPr>
            </w:pPr>
          </w:p>
        </w:tc>
        <w:tc>
          <w:tcPr>
            <w:tcW w:w="32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00" w:type="dxa"/>
            <w:vAlign w:val="bottom"/>
          </w:tcPr>
          <w:p>
            <w:pPr>
              <w:jc w:val="center"/>
              <w:ind w:left="248"/>
              <w:spacing w:after="0"/>
              <w:rPr>
                <w:sz w:val="20"/>
                <w:szCs w:val="20"/>
                <w:color w:val="auto"/>
              </w:rPr>
            </w:pPr>
            <w:r>
              <w:rPr>
                <w:rFonts w:ascii="Arial" w:cs="Arial" w:eastAsia="Arial" w:hAnsi="Arial"/>
                <w:sz w:val="14"/>
                <w:szCs w:val="14"/>
                <w:color w:val="auto"/>
                <w:w w:val="99"/>
              </w:rPr>
              <w:t>Share-</w:t>
            </w:r>
          </w:p>
        </w:tc>
        <w:tc>
          <w:tcPr>
            <w:tcW w:w="3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00" w:type="dxa"/>
            <w:vAlign w:val="bottom"/>
          </w:tcPr>
          <w:p>
            <w:pPr>
              <w:jc w:val="center"/>
              <w:ind w:right="365"/>
              <w:spacing w:after="0"/>
              <w:rPr>
                <w:sz w:val="20"/>
                <w:szCs w:val="20"/>
                <w:color w:val="auto"/>
              </w:rPr>
            </w:pPr>
            <w:r>
              <w:rPr>
                <w:rFonts w:ascii="Arial" w:cs="Arial" w:eastAsia="Arial" w:hAnsi="Arial"/>
                <w:sz w:val="14"/>
                <w:szCs w:val="14"/>
                <w:color w:val="auto"/>
                <w:w w:val="98"/>
              </w:rPr>
              <w:t>Non-</w:t>
            </w:r>
          </w:p>
        </w:tc>
        <w:tc>
          <w:tcPr>
            <w:tcW w:w="11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20" w:type="dxa"/>
            <w:vAlign w:val="bottom"/>
          </w:tcPr>
          <w:p>
            <w:pPr>
              <w:jc w:val="center"/>
              <w:ind w:right="104"/>
              <w:spacing w:after="0"/>
              <w:rPr>
                <w:sz w:val="20"/>
                <w:szCs w:val="20"/>
                <w:color w:val="auto"/>
              </w:rPr>
            </w:pPr>
            <w:r>
              <w:rPr>
                <w:rFonts w:ascii="Arial" w:cs="Arial" w:eastAsia="Arial" w:hAnsi="Arial"/>
                <w:sz w:val="14"/>
                <w:szCs w:val="14"/>
                <w:color w:val="auto"/>
              </w:rPr>
              <w:t>Share-</w:t>
            </w:r>
          </w:p>
        </w:tc>
        <w:tc>
          <w:tcPr>
            <w:tcW w:w="200" w:type="dxa"/>
            <w:vAlign w:val="bottom"/>
          </w:tcPr>
          <w:p>
            <w:pPr>
              <w:spacing w:after="0"/>
              <w:rPr>
                <w:sz w:val="16"/>
                <w:szCs w:val="16"/>
                <w:color w:val="auto"/>
              </w:rPr>
            </w:pPr>
          </w:p>
        </w:tc>
        <w:tc>
          <w:tcPr>
            <w:tcW w:w="1300" w:type="dxa"/>
            <w:vAlign w:val="bottom"/>
          </w:tcPr>
          <w:p>
            <w:pPr>
              <w:jc w:val="center"/>
              <w:ind w:right="385"/>
              <w:spacing w:after="0"/>
              <w:rPr>
                <w:sz w:val="20"/>
                <w:szCs w:val="20"/>
                <w:color w:val="auto"/>
              </w:rPr>
            </w:pPr>
            <w:r>
              <w:rPr>
                <w:rFonts w:ascii="Arial" w:cs="Arial" w:eastAsia="Arial" w:hAnsi="Arial"/>
                <w:sz w:val="14"/>
                <w:szCs w:val="14"/>
                <w:color w:val="auto"/>
              </w:rPr>
              <w:t>Non-</w:t>
            </w:r>
          </w:p>
        </w:tc>
        <w:tc>
          <w:tcPr>
            <w:tcW w:w="980" w:type="dxa"/>
            <w:vAlign w:val="bottom"/>
          </w:tcPr>
          <w:p>
            <w:pPr>
              <w:spacing w:after="0"/>
              <w:rPr>
                <w:sz w:val="16"/>
                <w:szCs w:val="16"/>
                <w:color w:val="auto"/>
              </w:rPr>
            </w:pPr>
          </w:p>
        </w:tc>
      </w:tr>
      <w:tr>
        <w:trPr>
          <w:trHeight w:val="176"/>
        </w:trPr>
        <w:tc>
          <w:tcPr>
            <w:tcW w:w="20" w:type="dxa"/>
            <w:vAlign w:val="bottom"/>
          </w:tcPr>
          <w:p>
            <w:pPr>
              <w:spacing w:after="0"/>
              <w:rPr>
                <w:sz w:val="15"/>
                <w:szCs w:val="15"/>
                <w:color w:val="auto"/>
              </w:rPr>
            </w:pPr>
          </w:p>
        </w:tc>
        <w:tc>
          <w:tcPr>
            <w:tcW w:w="32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900" w:type="dxa"/>
            <w:vAlign w:val="bottom"/>
          </w:tcPr>
          <w:p>
            <w:pPr>
              <w:jc w:val="center"/>
              <w:ind w:left="248"/>
              <w:spacing w:after="0"/>
              <w:rPr>
                <w:sz w:val="20"/>
                <w:szCs w:val="20"/>
                <w:color w:val="auto"/>
              </w:rPr>
            </w:pPr>
            <w:r>
              <w:rPr>
                <w:rFonts w:ascii="Arial" w:cs="Arial" w:eastAsia="Arial" w:hAnsi="Arial"/>
                <w:sz w:val="14"/>
                <w:szCs w:val="14"/>
                <w:color w:val="auto"/>
              </w:rPr>
              <w:t>holders'</w:t>
            </w:r>
          </w:p>
        </w:tc>
        <w:tc>
          <w:tcPr>
            <w:tcW w:w="3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00" w:type="dxa"/>
            <w:vAlign w:val="bottom"/>
          </w:tcPr>
          <w:p>
            <w:pPr>
              <w:jc w:val="center"/>
              <w:ind w:right="365"/>
              <w:spacing w:after="0"/>
              <w:rPr>
                <w:sz w:val="20"/>
                <w:szCs w:val="20"/>
                <w:color w:val="auto"/>
              </w:rPr>
            </w:pPr>
            <w:r>
              <w:rPr>
                <w:rFonts w:ascii="Arial" w:cs="Arial" w:eastAsia="Arial" w:hAnsi="Arial"/>
                <w:sz w:val="14"/>
                <w:szCs w:val="14"/>
                <w:color w:val="auto"/>
              </w:rPr>
              <w:t>controlling</w:t>
            </w:r>
          </w:p>
        </w:tc>
        <w:tc>
          <w:tcPr>
            <w:tcW w:w="1140" w:type="dxa"/>
            <w:vAlign w:val="bottom"/>
          </w:tcPr>
          <w:p>
            <w:pPr>
              <w:jc w:val="right"/>
              <w:ind w:right="543"/>
              <w:spacing w:after="0"/>
              <w:rPr>
                <w:sz w:val="20"/>
                <w:szCs w:val="20"/>
                <w:color w:val="auto"/>
              </w:rPr>
            </w:pPr>
            <w:r>
              <w:rPr>
                <w:rFonts w:ascii="Arial" w:cs="Arial" w:eastAsia="Arial" w:hAnsi="Arial"/>
                <w:sz w:val="14"/>
                <w:szCs w:val="14"/>
                <w:color w:val="auto"/>
              </w:rPr>
              <w:t>Total</w:t>
            </w:r>
          </w:p>
        </w:tc>
        <w:tc>
          <w:tcPr>
            <w:tcW w:w="400" w:type="dxa"/>
            <w:vAlign w:val="bottom"/>
          </w:tcPr>
          <w:p>
            <w:pPr>
              <w:spacing w:after="0"/>
              <w:rPr>
                <w:sz w:val="15"/>
                <w:szCs w:val="15"/>
                <w:color w:val="auto"/>
              </w:rPr>
            </w:pPr>
          </w:p>
        </w:tc>
        <w:tc>
          <w:tcPr>
            <w:tcW w:w="1020" w:type="dxa"/>
            <w:vAlign w:val="bottom"/>
          </w:tcPr>
          <w:p>
            <w:pPr>
              <w:jc w:val="center"/>
              <w:ind w:right="124"/>
              <w:spacing w:after="0"/>
              <w:rPr>
                <w:sz w:val="20"/>
                <w:szCs w:val="20"/>
                <w:color w:val="auto"/>
              </w:rPr>
            </w:pPr>
            <w:r>
              <w:rPr>
                <w:rFonts w:ascii="Arial" w:cs="Arial" w:eastAsia="Arial" w:hAnsi="Arial"/>
                <w:sz w:val="14"/>
                <w:szCs w:val="14"/>
                <w:color w:val="auto"/>
              </w:rPr>
              <w:t>holders'</w:t>
            </w:r>
          </w:p>
        </w:tc>
        <w:tc>
          <w:tcPr>
            <w:tcW w:w="200" w:type="dxa"/>
            <w:vAlign w:val="bottom"/>
          </w:tcPr>
          <w:p>
            <w:pPr>
              <w:spacing w:after="0"/>
              <w:rPr>
                <w:sz w:val="15"/>
                <w:szCs w:val="15"/>
                <w:color w:val="auto"/>
              </w:rPr>
            </w:pPr>
          </w:p>
        </w:tc>
        <w:tc>
          <w:tcPr>
            <w:tcW w:w="1300" w:type="dxa"/>
            <w:vAlign w:val="bottom"/>
          </w:tcPr>
          <w:p>
            <w:pPr>
              <w:jc w:val="center"/>
              <w:ind w:right="365"/>
              <w:spacing w:after="0"/>
              <w:rPr>
                <w:sz w:val="20"/>
                <w:szCs w:val="20"/>
                <w:color w:val="auto"/>
              </w:rPr>
            </w:pPr>
            <w:r>
              <w:rPr>
                <w:rFonts w:ascii="Arial" w:cs="Arial" w:eastAsia="Arial" w:hAnsi="Arial"/>
                <w:sz w:val="14"/>
                <w:szCs w:val="14"/>
                <w:color w:val="auto"/>
              </w:rPr>
              <w:t>controlling</w:t>
            </w:r>
          </w:p>
        </w:tc>
        <w:tc>
          <w:tcPr>
            <w:tcW w:w="980" w:type="dxa"/>
            <w:vAlign w:val="bottom"/>
          </w:tcPr>
          <w:p>
            <w:pPr>
              <w:jc w:val="center"/>
              <w:ind w:right="183"/>
              <w:spacing w:after="0"/>
              <w:rPr>
                <w:sz w:val="20"/>
                <w:szCs w:val="20"/>
                <w:color w:val="auto"/>
              </w:rPr>
            </w:pPr>
            <w:r>
              <w:rPr>
                <w:rFonts w:ascii="Arial" w:cs="Arial" w:eastAsia="Arial" w:hAnsi="Arial"/>
                <w:sz w:val="14"/>
                <w:szCs w:val="14"/>
                <w:color w:val="auto"/>
              </w:rPr>
              <w:t>Total</w:t>
            </w:r>
          </w:p>
        </w:tc>
      </w:tr>
      <w:tr>
        <w:trPr>
          <w:trHeight w:val="168"/>
        </w:trPr>
        <w:tc>
          <w:tcPr>
            <w:tcW w:w="20" w:type="dxa"/>
            <w:vAlign w:val="bottom"/>
          </w:tcPr>
          <w:p>
            <w:pPr>
              <w:spacing w:after="0"/>
              <w:rPr>
                <w:sz w:val="14"/>
                <w:szCs w:val="14"/>
                <w:color w:val="auto"/>
              </w:rPr>
            </w:pPr>
          </w:p>
        </w:tc>
        <w:tc>
          <w:tcPr>
            <w:tcW w:w="322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center"/>
              <w:ind w:left="248"/>
              <w:spacing w:after="0"/>
              <w:rPr>
                <w:sz w:val="20"/>
                <w:szCs w:val="20"/>
                <w:color w:val="auto"/>
              </w:rPr>
            </w:pPr>
            <w:r>
              <w:rPr>
                <w:rFonts w:ascii="Arial" w:cs="Arial" w:eastAsia="Arial" w:hAnsi="Arial"/>
                <w:sz w:val="14"/>
                <w:szCs w:val="14"/>
                <w:color w:val="auto"/>
              </w:rPr>
              <w:t>Equity(1)</w:t>
            </w:r>
          </w:p>
        </w:tc>
        <w:tc>
          <w:tcPr>
            <w:tcW w:w="3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center"/>
              <w:ind w:right="365"/>
              <w:spacing w:after="0"/>
              <w:rPr>
                <w:sz w:val="20"/>
                <w:szCs w:val="20"/>
                <w:color w:val="auto"/>
              </w:rPr>
            </w:pPr>
            <w:r>
              <w:rPr>
                <w:rFonts w:ascii="Arial" w:cs="Arial" w:eastAsia="Arial" w:hAnsi="Arial"/>
                <w:sz w:val="14"/>
                <w:szCs w:val="14"/>
                <w:color w:val="auto"/>
              </w:rPr>
              <w:t>Interests</w:t>
            </w:r>
          </w:p>
        </w:tc>
        <w:tc>
          <w:tcPr>
            <w:tcW w:w="1140" w:type="dxa"/>
            <w:vAlign w:val="bottom"/>
            <w:tcBorders>
              <w:bottom w:val="single" w:sz="8" w:color="auto"/>
            </w:tcBorders>
          </w:tcPr>
          <w:p>
            <w:pPr>
              <w:jc w:val="right"/>
              <w:ind w:right="503"/>
              <w:spacing w:after="0"/>
              <w:rPr>
                <w:sz w:val="20"/>
                <w:szCs w:val="20"/>
                <w:color w:val="auto"/>
              </w:rPr>
            </w:pPr>
            <w:r>
              <w:rPr>
                <w:rFonts w:ascii="Arial" w:cs="Arial" w:eastAsia="Arial" w:hAnsi="Arial"/>
                <w:sz w:val="14"/>
                <w:szCs w:val="14"/>
                <w:color w:val="auto"/>
              </w:rPr>
              <w:t>Equity</w:t>
            </w:r>
          </w:p>
        </w:tc>
        <w:tc>
          <w:tcPr>
            <w:tcW w:w="4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center"/>
              <w:ind w:right="124"/>
              <w:spacing w:after="0"/>
              <w:rPr>
                <w:sz w:val="20"/>
                <w:szCs w:val="20"/>
                <w:color w:val="auto"/>
              </w:rPr>
            </w:pPr>
            <w:r>
              <w:rPr>
                <w:rFonts w:ascii="Arial" w:cs="Arial" w:eastAsia="Arial" w:hAnsi="Arial"/>
                <w:sz w:val="14"/>
                <w:szCs w:val="14"/>
                <w:color w:val="auto"/>
              </w:rPr>
              <w:t>Equity(1)</w:t>
            </w:r>
          </w:p>
        </w:tc>
        <w:tc>
          <w:tcPr>
            <w:tcW w:w="20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center"/>
              <w:ind w:right="385"/>
              <w:spacing w:after="0"/>
              <w:rPr>
                <w:sz w:val="20"/>
                <w:szCs w:val="20"/>
                <w:color w:val="auto"/>
              </w:rPr>
            </w:pPr>
            <w:r>
              <w:rPr>
                <w:rFonts w:ascii="Arial" w:cs="Arial" w:eastAsia="Arial" w:hAnsi="Arial"/>
                <w:sz w:val="14"/>
                <w:szCs w:val="14"/>
                <w:color w:val="auto"/>
              </w:rPr>
              <w:t>Interests</w:t>
            </w:r>
          </w:p>
        </w:tc>
        <w:tc>
          <w:tcPr>
            <w:tcW w:w="980" w:type="dxa"/>
            <w:vAlign w:val="bottom"/>
            <w:tcBorders>
              <w:bottom w:val="single" w:sz="8" w:color="auto"/>
            </w:tcBorders>
          </w:tcPr>
          <w:p>
            <w:pPr>
              <w:jc w:val="center"/>
              <w:ind w:right="183"/>
              <w:spacing w:after="0"/>
              <w:rPr>
                <w:sz w:val="20"/>
                <w:szCs w:val="20"/>
                <w:color w:val="auto"/>
              </w:rPr>
            </w:pPr>
            <w:r>
              <w:rPr>
                <w:rFonts w:ascii="Arial" w:cs="Arial" w:eastAsia="Arial" w:hAnsi="Arial"/>
                <w:sz w:val="14"/>
                <w:szCs w:val="14"/>
                <w:color w:val="auto"/>
              </w:rPr>
              <w:t>Equity</w:t>
            </w:r>
          </w:p>
        </w:tc>
      </w:tr>
      <w:tr>
        <w:trPr>
          <w:trHeight w:val="191"/>
        </w:trPr>
        <w:tc>
          <w:tcPr>
            <w:tcW w:w="20" w:type="dxa"/>
            <w:vAlign w:val="bottom"/>
          </w:tcPr>
          <w:p>
            <w:pPr>
              <w:spacing w:after="0"/>
              <w:rPr>
                <w:sz w:val="16"/>
                <w:szCs w:val="16"/>
                <w:color w:val="auto"/>
              </w:rPr>
            </w:pPr>
          </w:p>
        </w:tc>
        <w:tc>
          <w:tcPr>
            <w:tcW w:w="3220" w:type="dxa"/>
            <w:vAlign w:val="bottom"/>
          </w:tcPr>
          <w:p>
            <w:pPr>
              <w:spacing w:after="0"/>
              <w:rPr>
                <w:sz w:val="20"/>
                <w:szCs w:val="20"/>
                <w:color w:val="auto"/>
              </w:rPr>
            </w:pPr>
            <w:r>
              <w:rPr>
                <w:rFonts w:ascii="Arial" w:cs="Arial" w:eastAsia="Arial" w:hAnsi="Arial"/>
                <w:sz w:val="16"/>
                <w:szCs w:val="16"/>
                <w:b w:val="1"/>
                <w:bCs w:val="1"/>
                <w:color w:val="auto"/>
              </w:rPr>
              <w:t>Sempra Energy Consolidated:</w:t>
            </w:r>
          </w:p>
        </w:tc>
        <w:tc>
          <w:tcPr>
            <w:tcW w:w="4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980" w:type="dxa"/>
            <w:vAlign w:val="bottom"/>
          </w:tcPr>
          <w:p>
            <w:pPr>
              <w:spacing w:after="0"/>
              <w:rPr>
                <w:sz w:val="16"/>
                <w:szCs w:val="16"/>
                <w:color w:val="auto"/>
              </w:rPr>
            </w:pPr>
          </w:p>
        </w:tc>
      </w:tr>
      <w:tr>
        <w:trPr>
          <w:trHeight w:val="195"/>
        </w:trPr>
        <w:tc>
          <w:tcPr>
            <w:tcW w:w="20" w:type="dxa"/>
            <w:vAlign w:val="bottom"/>
          </w:tcPr>
          <w:p>
            <w:pPr>
              <w:spacing w:after="0"/>
              <w:rPr>
                <w:sz w:val="16"/>
                <w:szCs w:val="16"/>
                <w:color w:val="auto"/>
              </w:rPr>
            </w:pPr>
          </w:p>
        </w:tc>
        <w:tc>
          <w:tcPr>
            <w:tcW w:w="3220" w:type="dxa"/>
            <w:vAlign w:val="bottom"/>
          </w:tcPr>
          <w:p>
            <w:pPr>
              <w:ind w:left="460"/>
              <w:spacing w:after="0"/>
              <w:rPr>
                <w:sz w:val="20"/>
                <w:szCs w:val="20"/>
                <w:color w:val="auto"/>
              </w:rPr>
            </w:pPr>
            <w:r>
              <w:rPr>
                <w:rFonts w:ascii="Arial" w:cs="Arial" w:eastAsia="Arial" w:hAnsi="Arial"/>
                <w:sz w:val="16"/>
                <w:szCs w:val="16"/>
                <w:color w:val="auto"/>
              </w:rPr>
              <w:t>Net income (loss)(2)</w:t>
            </w:r>
          </w:p>
        </w:tc>
        <w:tc>
          <w:tcPr>
            <w:tcW w:w="1340" w:type="dxa"/>
            <w:vAlign w:val="bottom"/>
            <w:gridSpan w:val="2"/>
          </w:tcPr>
          <w:p>
            <w:pPr>
              <w:jc w:val="right"/>
              <w:ind w:right="728"/>
              <w:spacing w:after="0"/>
              <w:rPr>
                <w:sz w:val="20"/>
                <w:szCs w:val="20"/>
                <w:color w:val="auto"/>
              </w:rPr>
            </w:pPr>
            <w:r>
              <w:rPr>
                <w:rFonts w:ascii="Arial" w:cs="Arial" w:eastAsia="Arial" w:hAnsi="Arial"/>
                <w:sz w:val="16"/>
                <w:szCs w:val="16"/>
                <w:color w:val="auto"/>
              </w:rPr>
              <w:t>$</w:t>
            </w:r>
          </w:p>
        </w:tc>
        <w:tc>
          <w:tcPr>
            <w:tcW w:w="300" w:type="dxa"/>
            <w:vAlign w:val="bottom"/>
          </w:tcPr>
          <w:p>
            <w:pPr>
              <w:jc w:val="right"/>
              <w:spacing w:after="0"/>
              <w:rPr>
                <w:sz w:val="20"/>
                <w:szCs w:val="20"/>
                <w:color w:val="auto"/>
              </w:rPr>
            </w:pPr>
            <w:r>
              <w:rPr>
                <w:rFonts w:ascii="Arial" w:cs="Arial" w:eastAsia="Arial" w:hAnsi="Arial"/>
                <w:sz w:val="16"/>
                <w:szCs w:val="16"/>
                <w:color w:val="auto"/>
                <w:w w:val="97"/>
              </w:rPr>
              <w:t>514</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300" w:type="dxa"/>
            <w:vAlign w:val="bottom"/>
          </w:tcPr>
          <w:p>
            <w:pPr>
              <w:jc w:val="right"/>
              <w:ind w:right="85"/>
              <w:spacing w:after="0"/>
              <w:rPr>
                <w:sz w:val="20"/>
                <w:szCs w:val="20"/>
                <w:color w:val="auto"/>
              </w:rPr>
            </w:pPr>
            <w:r>
              <w:rPr>
                <w:rFonts w:ascii="Arial" w:cs="Arial" w:eastAsia="Arial" w:hAnsi="Arial"/>
                <w:sz w:val="16"/>
                <w:szCs w:val="16"/>
                <w:color w:val="auto"/>
              </w:rPr>
              <w:t>(12)$</w:t>
            </w:r>
          </w:p>
        </w:tc>
        <w:tc>
          <w:tcPr>
            <w:tcW w:w="1140" w:type="dxa"/>
            <w:vAlign w:val="bottom"/>
          </w:tcPr>
          <w:p>
            <w:pPr>
              <w:jc w:val="right"/>
              <w:ind w:right="143"/>
              <w:spacing w:after="0"/>
              <w:rPr>
                <w:sz w:val="20"/>
                <w:szCs w:val="20"/>
                <w:color w:val="auto"/>
              </w:rPr>
            </w:pPr>
            <w:r>
              <w:rPr>
                <w:rFonts w:ascii="Arial" w:cs="Arial" w:eastAsia="Arial" w:hAnsi="Arial"/>
                <w:sz w:val="16"/>
                <w:szCs w:val="16"/>
                <w:color w:val="auto"/>
              </w:rPr>
              <w:t>502</w:t>
            </w:r>
          </w:p>
        </w:tc>
        <w:tc>
          <w:tcPr>
            <w:tcW w:w="40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225</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300" w:type="dxa"/>
            <w:vAlign w:val="bottom"/>
          </w:tcPr>
          <w:p>
            <w:pPr>
              <w:jc w:val="right"/>
              <w:ind w:right="105"/>
              <w:spacing w:after="0"/>
              <w:rPr>
                <w:sz w:val="20"/>
                <w:szCs w:val="20"/>
                <w:color w:val="auto"/>
              </w:rPr>
            </w:pPr>
            <w:r>
              <w:rPr>
                <w:rFonts w:ascii="Arial" w:cs="Arial" w:eastAsia="Arial" w:hAnsi="Arial"/>
                <w:sz w:val="16"/>
                <w:szCs w:val="16"/>
                <w:color w:val="auto"/>
              </w:rPr>
              <w:t>(20)$</w:t>
            </w:r>
          </w:p>
        </w:tc>
        <w:tc>
          <w:tcPr>
            <w:tcW w:w="980" w:type="dxa"/>
            <w:vAlign w:val="bottom"/>
          </w:tcPr>
          <w:p>
            <w:pPr>
              <w:jc w:val="right"/>
              <w:spacing w:after="0"/>
              <w:rPr>
                <w:sz w:val="20"/>
                <w:szCs w:val="20"/>
                <w:color w:val="auto"/>
              </w:rPr>
            </w:pPr>
            <w:r>
              <w:rPr>
                <w:rFonts w:ascii="Arial" w:cs="Arial" w:eastAsia="Arial" w:hAnsi="Arial"/>
                <w:sz w:val="16"/>
                <w:szCs w:val="16"/>
                <w:color w:val="auto"/>
              </w:rPr>
              <w:t>205</w:t>
            </w:r>
          </w:p>
        </w:tc>
      </w:tr>
      <w:tr>
        <w:trPr>
          <w:trHeight w:val="203"/>
        </w:trPr>
        <w:tc>
          <w:tcPr>
            <w:tcW w:w="20" w:type="dxa"/>
            <w:vAlign w:val="bottom"/>
          </w:tcPr>
          <w:p>
            <w:pPr>
              <w:spacing w:after="0"/>
              <w:rPr>
                <w:sz w:val="17"/>
                <w:szCs w:val="17"/>
                <w:color w:val="auto"/>
              </w:rPr>
            </w:pPr>
          </w:p>
        </w:tc>
        <w:tc>
          <w:tcPr>
            <w:tcW w:w="3220" w:type="dxa"/>
            <w:vAlign w:val="bottom"/>
          </w:tcPr>
          <w:p>
            <w:pPr>
              <w:ind w:left="460"/>
              <w:spacing w:after="0"/>
              <w:rPr>
                <w:sz w:val="20"/>
                <w:szCs w:val="20"/>
                <w:color w:val="auto"/>
              </w:rPr>
            </w:pPr>
            <w:r>
              <w:rPr>
                <w:rFonts w:ascii="Arial" w:cs="Arial" w:eastAsia="Arial" w:hAnsi="Arial"/>
                <w:sz w:val="16"/>
                <w:szCs w:val="16"/>
                <w:color w:val="auto"/>
              </w:rPr>
              <w:t>Foreign currency translation</w:t>
            </w:r>
          </w:p>
        </w:tc>
        <w:tc>
          <w:tcPr>
            <w:tcW w:w="4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183"/>
        </w:trPr>
        <w:tc>
          <w:tcPr>
            <w:tcW w:w="20" w:type="dxa"/>
            <w:vAlign w:val="bottom"/>
          </w:tcPr>
          <w:p>
            <w:pPr>
              <w:spacing w:after="0"/>
              <w:rPr>
                <w:sz w:val="15"/>
                <w:szCs w:val="15"/>
                <w:color w:val="auto"/>
              </w:rPr>
            </w:pPr>
          </w:p>
        </w:tc>
        <w:tc>
          <w:tcPr>
            <w:tcW w:w="3220" w:type="dxa"/>
            <w:vAlign w:val="bottom"/>
          </w:tcPr>
          <w:p>
            <w:pPr>
              <w:ind w:left="640"/>
              <w:spacing w:after="0"/>
              <w:rPr>
                <w:sz w:val="20"/>
                <w:szCs w:val="20"/>
                <w:color w:val="auto"/>
              </w:rPr>
            </w:pPr>
            <w:r>
              <w:rPr>
                <w:rFonts w:ascii="Arial" w:cs="Arial" w:eastAsia="Arial" w:hAnsi="Arial"/>
                <w:sz w:val="16"/>
                <w:szCs w:val="16"/>
                <w:color w:val="auto"/>
              </w:rPr>
              <w:t>adjustments</w:t>
            </w:r>
          </w:p>
        </w:tc>
        <w:tc>
          <w:tcPr>
            <w:tcW w:w="4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00" w:type="dxa"/>
            <w:vAlign w:val="bottom"/>
          </w:tcPr>
          <w:p>
            <w:pPr>
              <w:jc w:val="right"/>
              <w:spacing w:after="0"/>
              <w:rPr>
                <w:sz w:val="20"/>
                <w:szCs w:val="20"/>
                <w:color w:val="auto"/>
              </w:rPr>
            </w:pPr>
            <w:r>
              <w:rPr>
                <w:rFonts w:ascii="Arial" w:cs="Arial" w:eastAsia="Arial" w:hAnsi="Arial"/>
                <w:sz w:val="16"/>
                <w:szCs w:val="16"/>
                <w:color w:val="auto"/>
              </w:rPr>
              <w:t>29</w:t>
            </w:r>
          </w:p>
        </w:tc>
        <w:tc>
          <w:tcPr>
            <w:tcW w:w="200" w:type="dxa"/>
            <w:vAlign w:val="bottom"/>
          </w:tcPr>
          <w:p>
            <w:pPr>
              <w:spacing w:after="0"/>
              <w:rPr>
                <w:sz w:val="15"/>
                <w:szCs w:val="15"/>
                <w:color w:val="auto"/>
              </w:rPr>
            </w:pPr>
          </w:p>
        </w:tc>
        <w:tc>
          <w:tcPr>
            <w:tcW w:w="1300" w:type="dxa"/>
            <w:vAlign w:val="bottom"/>
          </w:tcPr>
          <w:p>
            <w:pPr>
              <w:jc w:val="right"/>
              <w:ind w:right="225"/>
              <w:spacing w:after="0"/>
              <w:rPr>
                <w:sz w:val="20"/>
                <w:szCs w:val="20"/>
                <w:color w:val="auto"/>
              </w:rPr>
            </w:pPr>
            <w:r>
              <w:rPr>
                <w:rFonts w:ascii="Arial" w:cs="Arial" w:eastAsia="Arial" w:hAnsi="Arial"/>
                <w:sz w:val="16"/>
                <w:szCs w:val="16"/>
                <w:color w:val="auto"/>
              </w:rPr>
              <w:t>6</w:t>
            </w:r>
          </w:p>
        </w:tc>
        <w:tc>
          <w:tcPr>
            <w:tcW w:w="1140" w:type="dxa"/>
            <w:vAlign w:val="bottom"/>
          </w:tcPr>
          <w:p>
            <w:pPr>
              <w:jc w:val="right"/>
              <w:ind w:right="143"/>
              <w:spacing w:after="0"/>
              <w:rPr>
                <w:sz w:val="20"/>
                <w:szCs w:val="20"/>
                <w:color w:val="auto"/>
              </w:rPr>
            </w:pPr>
            <w:r>
              <w:rPr>
                <w:rFonts w:ascii="Arial" w:cs="Arial" w:eastAsia="Arial" w:hAnsi="Arial"/>
                <w:sz w:val="16"/>
                <w:szCs w:val="16"/>
                <w:color w:val="auto"/>
              </w:rPr>
              <w:t>35</w:t>
            </w:r>
          </w:p>
        </w:tc>
        <w:tc>
          <w:tcPr>
            <w:tcW w:w="4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(17)</w:t>
            </w:r>
          </w:p>
        </w:tc>
        <w:tc>
          <w:tcPr>
            <w:tcW w:w="200" w:type="dxa"/>
            <w:vAlign w:val="bottom"/>
          </w:tcPr>
          <w:p>
            <w:pPr>
              <w:spacing w:after="0"/>
              <w:rPr>
                <w:sz w:val="15"/>
                <w:szCs w:val="15"/>
                <w:color w:val="auto"/>
              </w:rPr>
            </w:pPr>
          </w:p>
        </w:tc>
        <w:tc>
          <w:tcPr>
            <w:tcW w:w="1300" w:type="dxa"/>
            <w:vAlign w:val="bottom"/>
          </w:tcPr>
          <w:p>
            <w:pPr>
              <w:jc w:val="right"/>
              <w:ind w:right="225"/>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(17)</w:t>
            </w:r>
          </w:p>
        </w:tc>
      </w:tr>
      <w:tr>
        <w:trPr>
          <w:trHeight w:val="195"/>
        </w:trPr>
        <w:tc>
          <w:tcPr>
            <w:tcW w:w="20" w:type="dxa"/>
            <w:vAlign w:val="bottom"/>
          </w:tcPr>
          <w:p>
            <w:pPr>
              <w:spacing w:after="0"/>
              <w:rPr>
                <w:sz w:val="16"/>
                <w:szCs w:val="16"/>
                <w:color w:val="auto"/>
              </w:rPr>
            </w:pPr>
          </w:p>
        </w:tc>
        <w:tc>
          <w:tcPr>
            <w:tcW w:w="3220" w:type="dxa"/>
            <w:vAlign w:val="bottom"/>
          </w:tcPr>
          <w:p>
            <w:pPr>
              <w:ind w:left="460"/>
              <w:spacing w:after="0"/>
              <w:rPr>
                <w:sz w:val="20"/>
                <w:szCs w:val="20"/>
                <w:color w:val="auto"/>
              </w:rPr>
            </w:pPr>
            <w:r>
              <w:rPr>
                <w:rFonts w:ascii="Arial" w:cs="Arial" w:eastAsia="Arial" w:hAnsi="Arial"/>
                <w:sz w:val="16"/>
                <w:szCs w:val="16"/>
                <w:color w:val="auto"/>
              </w:rPr>
              <w:t>Reclassification to net income of</w:t>
            </w:r>
          </w:p>
        </w:tc>
        <w:tc>
          <w:tcPr>
            <w:tcW w:w="4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980" w:type="dxa"/>
            <w:vAlign w:val="bottom"/>
          </w:tcPr>
          <w:p>
            <w:pPr>
              <w:spacing w:after="0"/>
              <w:rPr>
                <w:sz w:val="16"/>
                <w:szCs w:val="16"/>
                <w:color w:val="auto"/>
              </w:rPr>
            </w:pPr>
          </w:p>
        </w:tc>
      </w:tr>
    </w:tbl>
    <w:p>
      <w:pPr>
        <w:sectPr>
          <w:pgSz w:w="11900" w:h="16905" w:orient="portrait"/>
          <w:cols w:equalWidth="0" w:num="1">
            <w:col w:w="11420"/>
          </w:cols>
          <w:pgMar w:left="240" w:top="125" w:right="239" w:bottom="0" w:gutter="0" w:footer="0" w:header="0"/>
        </w:sectPr>
      </w:pPr>
    </w:p>
    <w:bookmarkStart w:id="28" w:name="page29"/>
    <w:bookmarkEnd w:id="2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20" w:type="dxa"/>
            <w:vAlign w:val="bottom"/>
          </w:tcPr>
          <w:p>
            <w:pPr>
              <w:spacing w:after="0"/>
              <w:rPr>
                <w:sz w:val="16"/>
                <w:szCs w:val="16"/>
                <w:color w:val="auto"/>
              </w:rPr>
            </w:pPr>
          </w:p>
        </w:tc>
        <w:tc>
          <w:tcPr>
            <w:tcW w:w="3140" w:type="dxa"/>
            <w:vAlign w:val="bottom"/>
          </w:tcPr>
          <w:p>
            <w:pPr>
              <w:ind w:left="640"/>
              <w:spacing w:after="0"/>
              <w:rPr>
                <w:sz w:val="20"/>
                <w:szCs w:val="20"/>
                <w:color w:val="auto"/>
              </w:rPr>
            </w:pPr>
            <w:r>
              <w:rPr>
                <w:rFonts w:ascii="Arial" w:cs="Arial" w:eastAsia="Arial" w:hAnsi="Arial"/>
                <w:sz w:val="16"/>
                <w:szCs w:val="16"/>
                <w:color w:val="auto"/>
              </w:rPr>
              <w:t>foreign currency translation</w:t>
            </w:r>
          </w:p>
        </w:tc>
        <w:tc>
          <w:tcPr>
            <w:tcW w:w="5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740" w:type="dxa"/>
            <w:vAlign w:val="bottom"/>
          </w:tcPr>
          <w:p>
            <w:pPr>
              <w:spacing w:after="0"/>
              <w:rPr>
                <w:sz w:val="16"/>
                <w:szCs w:val="16"/>
                <w:color w:val="auto"/>
              </w:rPr>
            </w:pPr>
          </w:p>
        </w:tc>
      </w:tr>
      <w:tr>
        <w:trPr>
          <w:trHeight w:val="203"/>
        </w:trPr>
        <w:tc>
          <w:tcPr>
            <w:tcW w:w="20" w:type="dxa"/>
            <w:vAlign w:val="bottom"/>
          </w:tcPr>
          <w:p>
            <w:pPr>
              <w:spacing w:after="0"/>
              <w:rPr>
                <w:sz w:val="17"/>
                <w:szCs w:val="17"/>
                <w:color w:val="auto"/>
              </w:rPr>
            </w:pPr>
          </w:p>
        </w:tc>
        <w:tc>
          <w:tcPr>
            <w:tcW w:w="3140" w:type="dxa"/>
            <w:vAlign w:val="bottom"/>
          </w:tcPr>
          <w:p>
            <w:pPr>
              <w:ind w:left="640"/>
              <w:spacing w:after="0"/>
              <w:rPr>
                <w:sz w:val="20"/>
                <w:szCs w:val="20"/>
                <w:color w:val="auto"/>
              </w:rPr>
            </w:pPr>
            <w:r>
              <w:rPr>
                <w:rFonts w:ascii="Arial" w:cs="Arial" w:eastAsia="Arial" w:hAnsi="Arial"/>
                <w:sz w:val="16"/>
                <w:szCs w:val="16"/>
                <w:color w:val="auto"/>
              </w:rPr>
              <w:t>adjustment related to equity</w:t>
            </w:r>
          </w:p>
        </w:tc>
        <w:tc>
          <w:tcPr>
            <w:tcW w:w="5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3140" w:type="dxa"/>
            <w:vAlign w:val="bottom"/>
          </w:tcPr>
          <w:p>
            <w:pPr>
              <w:ind w:left="640"/>
              <w:spacing w:after="0"/>
              <w:rPr>
                <w:sz w:val="20"/>
                <w:szCs w:val="20"/>
                <w:color w:val="auto"/>
              </w:rPr>
            </w:pPr>
            <w:r>
              <w:rPr>
                <w:rFonts w:ascii="Arial" w:cs="Arial" w:eastAsia="Arial" w:hAnsi="Arial"/>
                <w:sz w:val="16"/>
                <w:szCs w:val="16"/>
                <w:color w:val="auto"/>
              </w:rPr>
              <w:t>method investments(3)</w:t>
            </w:r>
          </w:p>
        </w:tc>
        <w:tc>
          <w:tcPr>
            <w:tcW w:w="5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(54)</w:t>
            </w:r>
          </w:p>
        </w:tc>
        <w:tc>
          <w:tcPr>
            <w:tcW w:w="520" w:type="dxa"/>
            <w:vAlign w:val="bottom"/>
          </w:tcPr>
          <w:p>
            <w:pPr>
              <w:spacing w:after="0"/>
              <w:rPr>
                <w:sz w:val="17"/>
                <w:szCs w:val="17"/>
                <w:color w:val="auto"/>
              </w:rPr>
            </w:pPr>
          </w:p>
        </w:tc>
        <w:tc>
          <w:tcPr>
            <w:tcW w:w="1200" w:type="dxa"/>
            <w:vAlign w:val="bottom"/>
          </w:tcPr>
          <w:p>
            <w:pPr>
              <w:ind w:left="500"/>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99"/>
              <w:spacing w:after="0"/>
              <w:rPr>
                <w:sz w:val="20"/>
                <w:szCs w:val="20"/>
                <w:color w:val="auto"/>
              </w:rPr>
            </w:pPr>
            <w:r>
              <w:rPr>
                <w:rFonts w:ascii="Arial" w:cs="Arial" w:eastAsia="Arial" w:hAnsi="Arial"/>
                <w:sz w:val="16"/>
                <w:szCs w:val="16"/>
                <w:color w:val="auto"/>
              </w:rPr>
              <w:t>(54)</w:t>
            </w:r>
          </w:p>
        </w:tc>
        <w:tc>
          <w:tcPr>
            <w:tcW w:w="6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w:t>
            </w:r>
          </w:p>
        </w:tc>
        <w:tc>
          <w:tcPr>
            <w:tcW w:w="520" w:type="dxa"/>
            <w:vAlign w:val="bottom"/>
          </w:tcPr>
          <w:p>
            <w:pPr>
              <w:spacing w:after="0"/>
              <w:rPr>
                <w:sz w:val="17"/>
                <w:szCs w:val="17"/>
                <w:color w:val="auto"/>
              </w:rPr>
            </w:pPr>
          </w:p>
        </w:tc>
        <w:tc>
          <w:tcPr>
            <w:tcW w:w="1220" w:type="dxa"/>
            <w:vAlign w:val="bottom"/>
          </w:tcPr>
          <w:p>
            <w:pPr>
              <w:jc w:val="right"/>
              <w:ind w:right="459"/>
              <w:spacing w:after="0"/>
              <w:rPr>
                <w:sz w:val="20"/>
                <w:szCs w:val="20"/>
                <w:color w:val="auto"/>
              </w:rPr>
            </w:pPr>
            <w:r>
              <w:rPr>
                <w:rFonts w:ascii="Arial" w:cs="Arial" w:eastAsia="Arial" w:hAnsi="Arial"/>
                <w:sz w:val="16"/>
                <w:szCs w:val="16"/>
                <w:color w:val="auto"/>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03"/>
        </w:trPr>
        <w:tc>
          <w:tcPr>
            <w:tcW w:w="20" w:type="dxa"/>
            <w:vAlign w:val="bottom"/>
          </w:tcPr>
          <w:p>
            <w:pPr>
              <w:spacing w:after="0"/>
              <w:rPr>
                <w:sz w:val="17"/>
                <w:szCs w:val="17"/>
                <w:color w:val="auto"/>
              </w:rPr>
            </w:pPr>
          </w:p>
        </w:tc>
        <w:tc>
          <w:tcPr>
            <w:tcW w:w="3140" w:type="dxa"/>
            <w:vAlign w:val="bottom"/>
          </w:tcPr>
          <w:p>
            <w:pPr>
              <w:ind w:left="460"/>
              <w:spacing w:after="0"/>
              <w:rPr>
                <w:sz w:val="20"/>
                <w:szCs w:val="20"/>
                <w:color w:val="auto"/>
              </w:rPr>
            </w:pPr>
            <w:r>
              <w:rPr>
                <w:rFonts w:ascii="Arial" w:cs="Arial" w:eastAsia="Arial" w:hAnsi="Arial"/>
                <w:sz w:val="16"/>
                <w:szCs w:val="16"/>
                <w:color w:val="auto"/>
              </w:rPr>
              <w:t>Financial instruments</w:t>
            </w:r>
          </w:p>
        </w:tc>
        <w:tc>
          <w:tcPr>
            <w:tcW w:w="5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(6)</w:t>
            </w:r>
          </w:p>
        </w:tc>
        <w:tc>
          <w:tcPr>
            <w:tcW w:w="520" w:type="dxa"/>
            <w:vAlign w:val="bottom"/>
          </w:tcPr>
          <w:p>
            <w:pPr>
              <w:spacing w:after="0"/>
              <w:rPr>
                <w:sz w:val="17"/>
                <w:szCs w:val="17"/>
                <w:color w:val="auto"/>
              </w:rPr>
            </w:pPr>
          </w:p>
        </w:tc>
        <w:tc>
          <w:tcPr>
            <w:tcW w:w="1200" w:type="dxa"/>
            <w:vAlign w:val="bottom"/>
          </w:tcPr>
          <w:p>
            <w:pPr>
              <w:ind w:left="420"/>
              <w:spacing w:after="0"/>
              <w:rPr>
                <w:sz w:val="20"/>
                <w:szCs w:val="20"/>
                <w:color w:val="auto"/>
              </w:rPr>
            </w:pPr>
            <w:r>
              <w:rPr>
                <w:rFonts w:ascii="Arial" w:cs="Arial" w:eastAsia="Arial" w:hAnsi="Arial"/>
                <w:sz w:val="16"/>
                <w:szCs w:val="16"/>
                <w:color w:val="auto"/>
              </w:rPr>
              <w:t>(10)</w:t>
            </w:r>
          </w:p>
        </w:tc>
        <w:tc>
          <w:tcPr>
            <w:tcW w:w="920" w:type="dxa"/>
            <w:vAlign w:val="bottom"/>
          </w:tcPr>
          <w:p>
            <w:pPr>
              <w:jc w:val="right"/>
              <w:ind w:right="99"/>
              <w:spacing w:after="0"/>
              <w:rPr>
                <w:sz w:val="20"/>
                <w:szCs w:val="20"/>
                <w:color w:val="auto"/>
              </w:rPr>
            </w:pPr>
            <w:r>
              <w:rPr>
                <w:rFonts w:ascii="Arial" w:cs="Arial" w:eastAsia="Arial" w:hAnsi="Arial"/>
                <w:sz w:val="16"/>
                <w:szCs w:val="16"/>
                <w:color w:val="auto"/>
              </w:rPr>
              <w:t>(16)</w:t>
            </w:r>
          </w:p>
        </w:tc>
        <w:tc>
          <w:tcPr>
            <w:tcW w:w="6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(9)</w:t>
            </w:r>
          </w:p>
        </w:tc>
        <w:tc>
          <w:tcPr>
            <w:tcW w:w="520" w:type="dxa"/>
            <w:vAlign w:val="bottom"/>
          </w:tcPr>
          <w:p>
            <w:pPr>
              <w:spacing w:after="0"/>
              <w:rPr>
                <w:sz w:val="17"/>
                <w:szCs w:val="17"/>
                <w:color w:val="auto"/>
              </w:rPr>
            </w:pPr>
          </w:p>
        </w:tc>
        <w:tc>
          <w:tcPr>
            <w:tcW w:w="1220" w:type="dxa"/>
            <w:vAlign w:val="bottom"/>
          </w:tcPr>
          <w:p>
            <w:pPr>
              <w:jc w:val="right"/>
              <w:ind w:right="459"/>
              <w:spacing w:after="0"/>
              <w:rPr>
                <w:sz w:val="20"/>
                <w:szCs w:val="20"/>
                <w:color w:val="auto"/>
              </w:rPr>
            </w:pPr>
            <w:r>
              <w:rPr>
                <w:rFonts w:ascii="Arial" w:cs="Arial" w:eastAsia="Arial" w:hAnsi="Arial"/>
                <w:sz w:val="16"/>
                <w:szCs w:val="16"/>
                <w:color w:val="auto"/>
              </w:rPr>
              <w:t>2</w:t>
            </w:r>
          </w:p>
        </w:tc>
        <w:tc>
          <w:tcPr>
            <w:tcW w:w="740" w:type="dxa"/>
            <w:vAlign w:val="bottom"/>
          </w:tcPr>
          <w:p>
            <w:pPr>
              <w:jc w:val="right"/>
              <w:spacing w:after="0"/>
              <w:rPr>
                <w:sz w:val="20"/>
                <w:szCs w:val="20"/>
                <w:color w:val="auto"/>
              </w:rPr>
            </w:pPr>
            <w:r>
              <w:rPr>
                <w:rFonts w:ascii="Arial" w:cs="Arial" w:eastAsia="Arial" w:hAnsi="Arial"/>
                <w:sz w:val="16"/>
                <w:szCs w:val="16"/>
                <w:color w:val="auto"/>
              </w:rPr>
              <w:t>(7)</w:t>
            </w:r>
          </w:p>
        </w:tc>
      </w:tr>
      <w:tr>
        <w:trPr>
          <w:trHeight w:val="183"/>
        </w:trPr>
        <w:tc>
          <w:tcPr>
            <w:tcW w:w="20" w:type="dxa"/>
            <w:vAlign w:val="bottom"/>
          </w:tcPr>
          <w:p>
            <w:pPr>
              <w:spacing w:after="0"/>
              <w:rPr>
                <w:sz w:val="15"/>
                <w:szCs w:val="15"/>
                <w:color w:val="auto"/>
              </w:rPr>
            </w:pPr>
          </w:p>
        </w:tc>
        <w:tc>
          <w:tcPr>
            <w:tcW w:w="3140" w:type="dxa"/>
            <w:vAlign w:val="bottom"/>
          </w:tcPr>
          <w:p>
            <w:pPr>
              <w:ind w:left="460"/>
              <w:spacing w:after="0"/>
              <w:rPr>
                <w:sz w:val="20"/>
                <w:szCs w:val="20"/>
                <w:color w:val="auto"/>
              </w:rPr>
            </w:pPr>
            <w:r>
              <w:rPr>
                <w:rFonts w:ascii="Arial" w:cs="Arial" w:eastAsia="Arial" w:hAnsi="Arial"/>
                <w:sz w:val="16"/>
                <w:szCs w:val="16"/>
                <w:color w:val="auto"/>
              </w:rPr>
              <w:t>Available-for-sale securities</w:t>
            </w:r>
          </w:p>
        </w:tc>
        <w:tc>
          <w:tcPr>
            <w:tcW w:w="5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w:t>
            </w:r>
          </w:p>
        </w:tc>
        <w:tc>
          <w:tcPr>
            <w:tcW w:w="520" w:type="dxa"/>
            <w:vAlign w:val="bottom"/>
          </w:tcPr>
          <w:p>
            <w:pPr>
              <w:spacing w:after="0"/>
              <w:rPr>
                <w:sz w:val="15"/>
                <w:szCs w:val="15"/>
                <w:color w:val="auto"/>
              </w:rPr>
            </w:pPr>
          </w:p>
        </w:tc>
        <w:tc>
          <w:tcPr>
            <w:tcW w:w="1200" w:type="dxa"/>
            <w:vAlign w:val="bottom"/>
          </w:tcPr>
          <w:p>
            <w:pPr>
              <w:ind w:left="500"/>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68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(3)</w:t>
            </w:r>
          </w:p>
        </w:tc>
        <w:tc>
          <w:tcPr>
            <w:tcW w:w="520" w:type="dxa"/>
            <w:vAlign w:val="bottom"/>
          </w:tcPr>
          <w:p>
            <w:pPr>
              <w:spacing w:after="0"/>
              <w:rPr>
                <w:sz w:val="15"/>
                <w:szCs w:val="15"/>
                <w:color w:val="auto"/>
              </w:rPr>
            </w:pPr>
          </w:p>
        </w:tc>
        <w:tc>
          <w:tcPr>
            <w:tcW w:w="1220" w:type="dxa"/>
            <w:vAlign w:val="bottom"/>
          </w:tcPr>
          <w:p>
            <w:pPr>
              <w:jc w:val="right"/>
              <w:ind w:right="459"/>
              <w:spacing w:after="0"/>
              <w:rPr>
                <w:sz w:val="20"/>
                <w:szCs w:val="20"/>
                <w:color w:val="auto"/>
              </w:rPr>
            </w:pPr>
            <w:r>
              <w:rPr>
                <w:rFonts w:ascii="Arial" w:cs="Arial" w:eastAsia="Arial" w:hAnsi="Arial"/>
                <w:sz w:val="16"/>
                <w:szCs w:val="16"/>
                <w:color w:val="auto"/>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(3)</w:t>
            </w:r>
          </w:p>
        </w:tc>
      </w:tr>
      <w:tr>
        <w:trPr>
          <w:trHeight w:val="194"/>
        </w:trPr>
        <w:tc>
          <w:tcPr>
            <w:tcW w:w="20" w:type="dxa"/>
            <w:vAlign w:val="bottom"/>
          </w:tcPr>
          <w:p>
            <w:pPr>
              <w:spacing w:after="0"/>
              <w:rPr>
                <w:sz w:val="16"/>
                <w:szCs w:val="16"/>
                <w:color w:val="auto"/>
              </w:rPr>
            </w:pPr>
          </w:p>
        </w:tc>
        <w:tc>
          <w:tcPr>
            <w:tcW w:w="3140" w:type="dxa"/>
            <w:vAlign w:val="bottom"/>
          </w:tcPr>
          <w:p>
            <w:pPr>
              <w:ind w:left="460"/>
              <w:spacing w:after="0"/>
              <w:rPr>
                <w:sz w:val="20"/>
                <w:szCs w:val="20"/>
                <w:color w:val="auto"/>
              </w:rPr>
            </w:pPr>
            <w:r>
              <w:rPr>
                <w:rFonts w:ascii="Arial" w:cs="Arial" w:eastAsia="Arial" w:hAnsi="Arial"/>
                <w:sz w:val="16"/>
                <w:szCs w:val="16"/>
                <w:color w:val="auto"/>
              </w:rPr>
              <w:t>Net actuarial gain</w:t>
            </w:r>
          </w:p>
        </w:tc>
        <w:tc>
          <w:tcPr>
            <w:tcW w:w="520" w:type="dxa"/>
            <w:vAlign w:val="bottom"/>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w:t>
            </w:r>
          </w:p>
        </w:tc>
        <w:tc>
          <w:tcPr>
            <w:tcW w:w="5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ind w:left="500"/>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5</w:t>
            </w:r>
          </w:p>
        </w:tc>
        <w:tc>
          <w:tcPr>
            <w:tcW w:w="68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w:t>
            </w:r>
          </w:p>
        </w:tc>
        <w:tc>
          <w:tcPr>
            <w:tcW w:w="5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w:t>
            </w:r>
          </w:p>
        </w:tc>
      </w:tr>
      <w:tr>
        <w:trPr>
          <w:trHeight w:val="210"/>
        </w:trPr>
        <w:tc>
          <w:tcPr>
            <w:tcW w:w="20" w:type="dxa"/>
            <w:vAlign w:val="bottom"/>
          </w:tcPr>
          <w:p>
            <w:pPr>
              <w:spacing w:after="0"/>
              <w:rPr>
                <w:sz w:val="18"/>
                <w:szCs w:val="18"/>
                <w:color w:val="auto"/>
              </w:rPr>
            </w:pPr>
          </w:p>
        </w:tc>
        <w:tc>
          <w:tcPr>
            <w:tcW w:w="3140" w:type="dxa"/>
            <w:vAlign w:val="bottom"/>
            <w:tcBorders>
              <w:bottom w:val="single" w:sz="8" w:color="auto"/>
            </w:tcBorders>
          </w:tcPr>
          <w:p>
            <w:pPr>
              <w:ind w:left="460"/>
              <w:spacing w:after="0"/>
              <w:rPr>
                <w:sz w:val="20"/>
                <w:szCs w:val="20"/>
                <w:color w:val="auto"/>
              </w:rPr>
            </w:pPr>
            <w:r>
              <w:rPr>
                <w:rFonts w:ascii="Arial" w:cs="Arial" w:eastAsia="Arial" w:hAnsi="Arial"/>
                <w:sz w:val="16"/>
                <w:szCs w:val="16"/>
                <w:color w:val="auto"/>
              </w:rPr>
              <w:t>Comprehensive income (loss)</w:t>
            </w:r>
          </w:p>
        </w:tc>
        <w:tc>
          <w:tcPr>
            <w:tcW w:w="1020" w:type="dxa"/>
            <w:vAlign w:val="bottom"/>
            <w:tcBorders>
              <w:bottom w:val="single" w:sz="8" w:color="auto"/>
            </w:tcBorders>
            <w:gridSpan w:val="2"/>
          </w:tcPr>
          <w:p>
            <w:pPr>
              <w:jc w:val="right"/>
              <w:ind w:right="400"/>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488</w:t>
            </w:r>
          </w:p>
        </w:tc>
        <w:tc>
          <w:tcPr>
            <w:tcW w:w="520" w:type="dxa"/>
            <w:vAlign w:val="bottom"/>
            <w:tcBorders>
              <w:bottom w:val="single" w:sz="8" w:color="auto"/>
            </w:tcBorders>
          </w:tcPr>
          <w:p>
            <w:pPr>
              <w:jc w:val="right"/>
              <w:ind w:right="364"/>
              <w:spacing w:after="0"/>
              <w:rPr>
                <w:sz w:val="20"/>
                <w:szCs w:val="20"/>
                <w:color w:val="auto"/>
              </w:rPr>
            </w:pPr>
            <w:r>
              <w:rPr>
                <w:rFonts w:ascii="Arial" w:cs="Arial" w:eastAsia="Arial" w:hAnsi="Arial"/>
                <w:sz w:val="15"/>
                <w:szCs w:val="15"/>
                <w:color w:val="auto"/>
                <w:w w:val="71"/>
              </w:rPr>
              <w:t>$</w:t>
            </w:r>
          </w:p>
        </w:tc>
        <w:tc>
          <w:tcPr>
            <w:tcW w:w="1200" w:type="dxa"/>
            <w:vAlign w:val="bottom"/>
            <w:tcBorders>
              <w:bottom w:val="single" w:sz="8" w:color="auto"/>
            </w:tcBorders>
          </w:tcPr>
          <w:p>
            <w:pPr>
              <w:ind w:left="420"/>
              <w:spacing w:after="0"/>
              <w:rPr>
                <w:sz w:val="20"/>
                <w:szCs w:val="20"/>
                <w:color w:val="auto"/>
              </w:rPr>
            </w:pPr>
            <w:r>
              <w:rPr>
                <w:rFonts w:ascii="Arial" w:cs="Arial" w:eastAsia="Arial" w:hAnsi="Arial"/>
                <w:sz w:val="16"/>
                <w:szCs w:val="16"/>
                <w:color w:val="auto"/>
              </w:rPr>
              <w:t>(16)$</w:t>
            </w:r>
          </w:p>
        </w:tc>
        <w:tc>
          <w:tcPr>
            <w:tcW w:w="92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472</w:t>
            </w:r>
          </w:p>
        </w:tc>
        <w:tc>
          <w:tcPr>
            <w:tcW w:w="68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198</w:t>
            </w:r>
          </w:p>
        </w:tc>
        <w:tc>
          <w:tcPr>
            <w:tcW w:w="52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color w:val="auto"/>
              </w:rPr>
              <w:t>(18)$</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180</w:t>
            </w:r>
          </w:p>
        </w:tc>
      </w:tr>
      <w:tr>
        <w:trPr>
          <w:trHeight w:val="191"/>
        </w:trPr>
        <w:tc>
          <w:tcPr>
            <w:tcW w:w="20" w:type="dxa"/>
            <w:vAlign w:val="bottom"/>
          </w:tcPr>
          <w:p>
            <w:pPr>
              <w:spacing w:after="0"/>
              <w:rPr>
                <w:sz w:val="16"/>
                <w:szCs w:val="16"/>
                <w:color w:val="auto"/>
              </w:rPr>
            </w:pPr>
          </w:p>
        </w:tc>
        <w:tc>
          <w:tcPr>
            <w:tcW w:w="3140" w:type="dxa"/>
            <w:vAlign w:val="bottom"/>
          </w:tcPr>
          <w:p>
            <w:pPr>
              <w:spacing w:after="0"/>
              <w:rPr>
                <w:sz w:val="20"/>
                <w:szCs w:val="20"/>
                <w:color w:val="auto"/>
              </w:rPr>
            </w:pPr>
            <w:r>
              <w:rPr>
                <w:rFonts w:ascii="Arial" w:cs="Arial" w:eastAsia="Arial" w:hAnsi="Arial"/>
                <w:sz w:val="16"/>
                <w:szCs w:val="16"/>
                <w:b w:val="1"/>
                <w:bCs w:val="1"/>
                <w:color w:val="auto"/>
              </w:rPr>
              <w:t>SDG&amp;E:</w:t>
            </w:r>
          </w:p>
        </w:tc>
        <w:tc>
          <w:tcPr>
            <w:tcW w:w="5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740" w:type="dxa"/>
            <w:vAlign w:val="bottom"/>
          </w:tcPr>
          <w:p>
            <w:pPr>
              <w:spacing w:after="0"/>
              <w:rPr>
                <w:sz w:val="16"/>
                <w:szCs w:val="16"/>
                <w:color w:val="auto"/>
              </w:rPr>
            </w:pPr>
          </w:p>
        </w:tc>
      </w:tr>
      <w:tr>
        <w:trPr>
          <w:trHeight w:val="195"/>
        </w:trPr>
        <w:tc>
          <w:tcPr>
            <w:tcW w:w="20" w:type="dxa"/>
            <w:vAlign w:val="bottom"/>
          </w:tcPr>
          <w:p>
            <w:pPr>
              <w:spacing w:after="0"/>
              <w:rPr>
                <w:sz w:val="16"/>
                <w:szCs w:val="16"/>
                <w:color w:val="auto"/>
              </w:rPr>
            </w:pPr>
          </w:p>
        </w:tc>
        <w:tc>
          <w:tcPr>
            <w:tcW w:w="3140" w:type="dxa"/>
            <w:vAlign w:val="bottom"/>
          </w:tcPr>
          <w:p>
            <w:pPr>
              <w:ind w:left="460"/>
              <w:spacing w:after="0"/>
              <w:rPr>
                <w:sz w:val="20"/>
                <w:szCs w:val="20"/>
                <w:color w:val="auto"/>
              </w:rPr>
            </w:pPr>
            <w:r>
              <w:rPr>
                <w:rFonts w:ascii="Arial" w:cs="Arial" w:eastAsia="Arial" w:hAnsi="Arial"/>
                <w:sz w:val="16"/>
                <w:szCs w:val="16"/>
                <w:color w:val="auto"/>
              </w:rPr>
              <w:t>Net income (loss)</w:t>
            </w:r>
          </w:p>
        </w:tc>
        <w:tc>
          <w:tcPr>
            <w:tcW w:w="1020" w:type="dxa"/>
            <w:vAlign w:val="bottom"/>
            <w:gridSpan w:val="2"/>
          </w:tcPr>
          <w:p>
            <w:pPr>
              <w:jc w:val="right"/>
              <w:ind w:right="400"/>
              <w:spacing w:after="0"/>
              <w:rPr>
                <w:sz w:val="20"/>
                <w:szCs w:val="20"/>
                <w:color w:val="auto"/>
              </w:rPr>
            </w:pPr>
            <w:r>
              <w:rPr>
                <w:rFonts w:ascii="Arial" w:cs="Arial" w:eastAsia="Arial" w:hAnsi="Arial"/>
                <w:sz w:val="16"/>
                <w:szCs w:val="16"/>
                <w:color w:val="auto"/>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72</w:t>
            </w:r>
          </w:p>
        </w:tc>
        <w:tc>
          <w:tcPr>
            <w:tcW w:w="520" w:type="dxa"/>
            <w:vAlign w:val="bottom"/>
          </w:tcPr>
          <w:p>
            <w:pPr>
              <w:jc w:val="right"/>
              <w:ind w:right="364"/>
              <w:spacing w:after="0"/>
              <w:rPr>
                <w:sz w:val="20"/>
                <w:szCs w:val="20"/>
                <w:color w:val="auto"/>
              </w:rPr>
            </w:pPr>
            <w:r>
              <w:rPr>
                <w:rFonts w:ascii="Arial" w:cs="Arial" w:eastAsia="Arial" w:hAnsi="Arial"/>
                <w:sz w:val="15"/>
                <w:szCs w:val="15"/>
                <w:color w:val="auto"/>
                <w:w w:val="71"/>
              </w:rPr>
              <w:t>$</w:t>
            </w:r>
          </w:p>
        </w:tc>
        <w:tc>
          <w:tcPr>
            <w:tcW w:w="1200" w:type="dxa"/>
            <w:vAlign w:val="bottom"/>
          </w:tcPr>
          <w:p>
            <w:pPr>
              <w:ind w:left="420"/>
              <w:spacing w:after="0"/>
              <w:rPr>
                <w:sz w:val="20"/>
                <w:szCs w:val="20"/>
                <w:color w:val="auto"/>
              </w:rPr>
            </w:pPr>
            <w:r>
              <w:rPr>
                <w:rFonts w:ascii="Arial" w:cs="Arial" w:eastAsia="Arial" w:hAnsi="Arial"/>
                <w:sz w:val="16"/>
                <w:szCs w:val="16"/>
                <w:color w:val="auto"/>
              </w:rPr>
              <w:t>(19)$</w:t>
            </w:r>
          </w:p>
        </w:tc>
        <w:tc>
          <w:tcPr>
            <w:tcW w:w="920" w:type="dxa"/>
            <w:vAlign w:val="bottom"/>
          </w:tcPr>
          <w:p>
            <w:pPr>
              <w:jc w:val="right"/>
              <w:ind w:right="159"/>
              <w:spacing w:after="0"/>
              <w:rPr>
                <w:sz w:val="20"/>
                <w:szCs w:val="20"/>
                <w:color w:val="auto"/>
              </w:rPr>
            </w:pPr>
            <w:r>
              <w:rPr>
                <w:rFonts w:ascii="Arial" w:cs="Arial" w:eastAsia="Arial" w:hAnsi="Arial"/>
                <w:sz w:val="16"/>
                <w:szCs w:val="16"/>
                <w:color w:val="auto"/>
              </w:rPr>
              <w:t>53</w:t>
            </w:r>
          </w:p>
        </w:tc>
        <w:tc>
          <w:tcPr>
            <w:tcW w:w="680" w:type="dxa"/>
            <w:vAlign w:val="bottom"/>
          </w:tcPr>
          <w:p>
            <w:pPr>
              <w:jc w:val="right"/>
              <w:ind w:right="339"/>
              <w:spacing w:after="0"/>
              <w:rPr>
                <w:sz w:val="20"/>
                <w:szCs w:val="20"/>
                <w:color w:val="auto"/>
              </w:rPr>
            </w:pPr>
            <w:r>
              <w:rPr>
                <w:rFonts w:ascii="Arial" w:cs="Arial" w:eastAsia="Arial" w:hAnsi="Arial"/>
                <w:sz w:val="16"/>
                <w:szCs w:val="16"/>
                <w:color w:val="auto"/>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76</w:t>
            </w:r>
          </w:p>
        </w:tc>
        <w:tc>
          <w:tcPr>
            <w:tcW w:w="520" w:type="dxa"/>
            <w:vAlign w:val="bottom"/>
          </w:tcPr>
          <w:p>
            <w:pPr>
              <w:jc w:val="right"/>
              <w:ind w:right="339"/>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ind w:right="339"/>
              <w:spacing w:after="0"/>
              <w:rPr>
                <w:sz w:val="20"/>
                <w:szCs w:val="20"/>
                <w:color w:val="auto"/>
              </w:rPr>
            </w:pPr>
            <w:r>
              <w:rPr>
                <w:rFonts w:ascii="Arial" w:cs="Arial" w:eastAsia="Arial" w:hAnsi="Arial"/>
                <w:sz w:val="16"/>
                <w:szCs w:val="16"/>
                <w:color w:val="auto"/>
              </w:rPr>
              <w:t>(21)$</w:t>
            </w:r>
          </w:p>
        </w:tc>
        <w:tc>
          <w:tcPr>
            <w:tcW w:w="740" w:type="dxa"/>
            <w:vAlign w:val="bottom"/>
          </w:tcPr>
          <w:p>
            <w:pPr>
              <w:jc w:val="right"/>
              <w:spacing w:after="0"/>
              <w:rPr>
                <w:sz w:val="20"/>
                <w:szCs w:val="20"/>
                <w:color w:val="auto"/>
              </w:rPr>
            </w:pPr>
            <w:r>
              <w:rPr>
                <w:rFonts w:ascii="Arial" w:cs="Arial" w:eastAsia="Arial" w:hAnsi="Arial"/>
                <w:sz w:val="16"/>
                <w:szCs w:val="16"/>
                <w:color w:val="auto"/>
              </w:rPr>
              <w:t>55</w:t>
            </w:r>
          </w:p>
        </w:tc>
      </w:tr>
      <w:tr>
        <w:trPr>
          <w:trHeight w:val="183"/>
        </w:trPr>
        <w:tc>
          <w:tcPr>
            <w:tcW w:w="20" w:type="dxa"/>
            <w:vAlign w:val="bottom"/>
          </w:tcPr>
          <w:p>
            <w:pPr>
              <w:spacing w:after="0"/>
              <w:rPr>
                <w:sz w:val="15"/>
                <w:szCs w:val="15"/>
                <w:color w:val="auto"/>
              </w:rPr>
            </w:pPr>
          </w:p>
        </w:tc>
        <w:tc>
          <w:tcPr>
            <w:tcW w:w="3140" w:type="dxa"/>
            <w:vAlign w:val="bottom"/>
          </w:tcPr>
          <w:p>
            <w:pPr>
              <w:ind w:left="460"/>
              <w:spacing w:after="0"/>
              <w:rPr>
                <w:sz w:val="20"/>
                <w:szCs w:val="20"/>
                <w:color w:val="auto"/>
              </w:rPr>
            </w:pPr>
            <w:r>
              <w:rPr>
                <w:rFonts w:ascii="Arial" w:cs="Arial" w:eastAsia="Arial" w:hAnsi="Arial"/>
                <w:sz w:val="16"/>
                <w:szCs w:val="16"/>
                <w:color w:val="auto"/>
              </w:rPr>
              <w:t>Financial instruments</w:t>
            </w:r>
          </w:p>
        </w:tc>
        <w:tc>
          <w:tcPr>
            <w:tcW w:w="5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w:t>
            </w:r>
          </w:p>
        </w:tc>
        <w:tc>
          <w:tcPr>
            <w:tcW w:w="520" w:type="dxa"/>
            <w:vAlign w:val="bottom"/>
          </w:tcPr>
          <w:p>
            <w:pPr>
              <w:spacing w:after="0"/>
              <w:rPr>
                <w:sz w:val="15"/>
                <w:szCs w:val="15"/>
                <w:color w:val="auto"/>
              </w:rPr>
            </w:pPr>
          </w:p>
        </w:tc>
        <w:tc>
          <w:tcPr>
            <w:tcW w:w="1200" w:type="dxa"/>
            <w:vAlign w:val="bottom"/>
          </w:tcPr>
          <w:p>
            <w:pPr>
              <w:ind w:left="420"/>
              <w:spacing w:after="0"/>
              <w:rPr>
                <w:sz w:val="20"/>
                <w:szCs w:val="20"/>
                <w:color w:val="auto"/>
              </w:rPr>
            </w:pPr>
            <w:r>
              <w:rPr>
                <w:rFonts w:ascii="Arial" w:cs="Arial" w:eastAsia="Arial" w:hAnsi="Arial"/>
                <w:sz w:val="16"/>
                <w:szCs w:val="16"/>
                <w:color w:val="auto"/>
              </w:rPr>
              <w:t>(10)</w:t>
            </w:r>
          </w:p>
        </w:tc>
        <w:tc>
          <w:tcPr>
            <w:tcW w:w="920" w:type="dxa"/>
            <w:vAlign w:val="bottom"/>
          </w:tcPr>
          <w:p>
            <w:pPr>
              <w:jc w:val="right"/>
              <w:ind w:right="99"/>
              <w:spacing w:after="0"/>
              <w:rPr>
                <w:sz w:val="20"/>
                <w:szCs w:val="20"/>
                <w:color w:val="auto"/>
              </w:rPr>
            </w:pPr>
            <w:r>
              <w:rPr>
                <w:rFonts w:ascii="Arial" w:cs="Arial" w:eastAsia="Arial" w:hAnsi="Arial"/>
                <w:sz w:val="16"/>
                <w:szCs w:val="16"/>
                <w:color w:val="auto"/>
              </w:rPr>
              <w:t>(10)</w:t>
            </w:r>
          </w:p>
        </w:tc>
        <w:tc>
          <w:tcPr>
            <w:tcW w:w="68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w:t>
            </w:r>
          </w:p>
        </w:tc>
        <w:tc>
          <w:tcPr>
            <w:tcW w:w="520" w:type="dxa"/>
            <w:vAlign w:val="bottom"/>
          </w:tcPr>
          <w:p>
            <w:pPr>
              <w:spacing w:after="0"/>
              <w:rPr>
                <w:sz w:val="15"/>
                <w:szCs w:val="15"/>
                <w:color w:val="auto"/>
              </w:rPr>
            </w:pPr>
          </w:p>
        </w:tc>
        <w:tc>
          <w:tcPr>
            <w:tcW w:w="1220" w:type="dxa"/>
            <w:vAlign w:val="bottom"/>
          </w:tcPr>
          <w:p>
            <w:pPr>
              <w:jc w:val="right"/>
              <w:ind w:right="459"/>
              <w:spacing w:after="0"/>
              <w:rPr>
                <w:sz w:val="20"/>
                <w:szCs w:val="20"/>
                <w:color w:val="auto"/>
              </w:rPr>
            </w:pPr>
            <w:r>
              <w:rPr>
                <w:rFonts w:ascii="Arial" w:cs="Arial" w:eastAsia="Arial" w:hAnsi="Arial"/>
                <w:sz w:val="16"/>
                <w:szCs w:val="16"/>
                <w:color w:val="auto"/>
              </w:rPr>
              <w:t>2</w:t>
            </w:r>
          </w:p>
        </w:tc>
        <w:tc>
          <w:tcPr>
            <w:tcW w:w="740" w:type="dxa"/>
            <w:vAlign w:val="bottom"/>
          </w:tcPr>
          <w:p>
            <w:pPr>
              <w:jc w:val="right"/>
              <w:spacing w:after="0"/>
              <w:rPr>
                <w:sz w:val="20"/>
                <w:szCs w:val="20"/>
                <w:color w:val="auto"/>
              </w:rPr>
            </w:pPr>
            <w:r>
              <w:rPr>
                <w:rFonts w:ascii="Arial" w:cs="Arial" w:eastAsia="Arial" w:hAnsi="Arial"/>
                <w:sz w:val="16"/>
                <w:szCs w:val="16"/>
                <w:color w:val="auto"/>
              </w:rPr>
              <w:t>2</w:t>
            </w:r>
          </w:p>
        </w:tc>
      </w:tr>
      <w:tr>
        <w:trPr>
          <w:trHeight w:val="194"/>
        </w:trPr>
        <w:tc>
          <w:tcPr>
            <w:tcW w:w="20" w:type="dxa"/>
            <w:vAlign w:val="bottom"/>
          </w:tcPr>
          <w:p>
            <w:pPr>
              <w:spacing w:after="0"/>
              <w:rPr>
                <w:sz w:val="16"/>
                <w:szCs w:val="16"/>
                <w:color w:val="auto"/>
              </w:rPr>
            </w:pPr>
          </w:p>
        </w:tc>
        <w:tc>
          <w:tcPr>
            <w:tcW w:w="3140" w:type="dxa"/>
            <w:vAlign w:val="bottom"/>
          </w:tcPr>
          <w:p>
            <w:pPr>
              <w:ind w:left="460"/>
              <w:spacing w:after="0"/>
              <w:rPr>
                <w:sz w:val="20"/>
                <w:szCs w:val="20"/>
                <w:color w:val="auto"/>
              </w:rPr>
            </w:pPr>
            <w:r>
              <w:rPr>
                <w:rFonts w:ascii="Arial" w:cs="Arial" w:eastAsia="Arial" w:hAnsi="Arial"/>
                <w:sz w:val="16"/>
                <w:szCs w:val="16"/>
                <w:color w:val="auto"/>
              </w:rPr>
              <w:t>Net actuarial gain</w:t>
            </w:r>
          </w:p>
        </w:tc>
        <w:tc>
          <w:tcPr>
            <w:tcW w:w="520" w:type="dxa"/>
            <w:vAlign w:val="bottom"/>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5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ind w:left="500"/>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68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5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r>
      <w:tr>
        <w:trPr>
          <w:trHeight w:val="210"/>
        </w:trPr>
        <w:tc>
          <w:tcPr>
            <w:tcW w:w="20" w:type="dxa"/>
            <w:vAlign w:val="bottom"/>
          </w:tcPr>
          <w:p>
            <w:pPr>
              <w:spacing w:after="0"/>
              <w:rPr>
                <w:sz w:val="18"/>
                <w:szCs w:val="18"/>
                <w:color w:val="auto"/>
              </w:rPr>
            </w:pPr>
          </w:p>
        </w:tc>
        <w:tc>
          <w:tcPr>
            <w:tcW w:w="3140" w:type="dxa"/>
            <w:vAlign w:val="bottom"/>
            <w:tcBorders>
              <w:bottom w:val="single" w:sz="8" w:color="auto"/>
            </w:tcBorders>
          </w:tcPr>
          <w:p>
            <w:pPr>
              <w:ind w:left="460"/>
              <w:spacing w:after="0"/>
              <w:rPr>
                <w:sz w:val="20"/>
                <w:szCs w:val="20"/>
                <w:color w:val="auto"/>
              </w:rPr>
            </w:pPr>
            <w:r>
              <w:rPr>
                <w:rFonts w:ascii="Arial" w:cs="Arial" w:eastAsia="Arial" w:hAnsi="Arial"/>
                <w:sz w:val="16"/>
                <w:szCs w:val="16"/>
                <w:color w:val="auto"/>
              </w:rPr>
              <w:t>Comprehensive income (loss)</w:t>
            </w:r>
          </w:p>
        </w:tc>
        <w:tc>
          <w:tcPr>
            <w:tcW w:w="1020" w:type="dxa"/>
            <w:vAlign w:val="bottom"/>
            <w:tcBorders>
              <w:bottom w:val="single" w:sz="8" w:color="auto"/>
            </w:tcBorders>
            <w:gridSpan w:val="2"/>
          </w:tcPr>
          <w:p>
            <w:pPr>
              <w:jc w:val="right"/>
              <w:ind w:right="400"/>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72</w:t>
            </w:r>
          </w:p>
        </w:tc>
        <w:tc>
          <w:tcPr>
            <w:tcW w:w="520" w:type="dxa"/>
            <w:vAlign w:val="bottom"/>
            <w:tcBorders>
              <w:bottom w:val="single" w:sz="8" w:color="auto"/>
            </w:tcBorders>
          </w:tcPr>
          <w:p>
            <w:pPr>
              <w:jc w:val="right"/>
              <w:ind w:right="364"/>
              <w:spacing w:after="0"/>
              <w:rPr>
                <w:sz w:val="20"/>
                <w:szCs w:val="20"/>
                <w:color w:val="auto"/>
              </w:rPr>
            </w:pPr>
            <w:r>
              <w:rPr>
                <w:rFonts w:ascii="Arial" w:cs="Arial" w:eastAsia="Arial" w:hAnsi="Arial"/>
                <w:sz w:val="15"/>
                <w:szCs w:val="15"/>
                <w:color w:val="auto"/>
                <w:w w:val="71"/>
              </w:rPr>
              <w:t>$</w:t>
            </w:r>
          </w:p>
        </w:tc>
        <w:tc>
          <w:tcPr>
            <w:tcW w:w="1200" w:type="dxa"/>
            <w:vAlign w:val="bottom"/>
            <w:tcBorders>
              <w:bottom w:val="single" w:sz="8" w:color="auto"/>
            </w:tcBorders>
          </w:tcPr>
          <w:p>
            <w:pPr>
              <w:ind w:left="420"/>
              <w:spacing w:after="0"/>
              <w:rPr>
                <w:sz w:val="20"/>
                <w:szCs w:val="20"/>
                <w:color w:val="auto"/>
              </w:rPr>
            </w:pPr>
            <w:r>
              <w:rPr>
                <w:rFonts w:ascii="Arial" w:cs="Arial" w:eastAsia="Arial" w:hAnsi="Arial"/>
                <w:sz w:val="16"/>
                <w:szCs w:val="16"/>
                <w:color w:val="auto"/>
              </w:rPr>
              <w:t>(29)$</w:t>
            </w:r>
          </w:p>
        </w:tc>
        <w:tc>
          <w:tcPr>
            <w:tcW w:w="92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43</w:t>
            </w:r>
          </w:p>
        </w:tc>
        <w:tc>
          <w:tcPr>
            <w:tcW w:w="68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77</w:t>
            </w:r>
          </w:p>
        </w:tc>
        <w:tc>
          <w:tcPr>
            <w:tcW w:w="52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color w:val="auto"/>
              </w:rPr>
              <w:t>(19)$</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58</w:t>
            </w:r>
          </w:p>
        </w:tc>
      </w:tr>
      <w:tr>
        <w:trPr>
          <w:trHeight w:val="191"/>
        </w:trPr>
        <w:tc>
          <w:tcPr>
            <w:tcW w:w="20" w:type="dxa"/>
            <w:vAlign w:val="bottom"/>
          </w:tcPr>
          <w:p>
            <w:pPr>
              <w:spacing w:after="0"/>
              <w:rPr>
                <w:sz w:val="16"/>
                <w:szCs w:val="16"/>
                <w:color w:val="auto"/>
              </w:rPr>
            </w:pPr>
          </w:p>
        </w:tc>
        <w:tc>
          <w:tcPr>
            <w:tcW w:w="3140" w:type="dxa"/>
            <w:vAlign w:val="bottom"/>
          </w:tcPr>
          <w:p>
            <w:pPr>
              <w:spacing w:after="0"/>
              <w:rPr>
                <w:sz w:val="20"/>
                <w:szCs w:val="20"/>
                <w:color w:val="auto"/>
              </w:rPr>
            </w:pPr>
            <w:r>
              <w:rPr>
                <w:rFonts w:ascii="Arial" w:cs="Arial" w:eastAsia="Arial" w:hAnsi="Arial"/>
                <w:sz w:val="16"/>
                <w:szCs w:val="16"/>
                <w:b w:val="1"/>
                <w:bCs w:val="1"/>
                <w:color w:val="auto"/>
              </w:rPr>
              <w:t>SoCalGas:</w:t>
            </w:r>
          </w:p>
        </w:tc>
        <w:tc>
          <w:tcPr>
            <w:tcW w:w="5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740" w:type="dxa"/>
            <w:vAlign w:val="bottom"/>
          </w:tcPr>
          <w:p>
            <w:pPr>
              <w:spacing w:after="0"/>
              <w:rPr>
                <w:sz w:val="16"/>
                <w:szCs w:val="16"/>
                <w:color w:val="auto"/>
              </w:rPr>
            </w:pPr>
          </w:p>
        </w:tc>
      </w:tr>
      <w:tr>
        <w:trPr>
          <w:trHeight w:val="176"/>
        </w:trPr>
        <w:tc>
          <w:tcPr>
            <w:tcW w:w="20" w:type="dxa"/>
            <w:vAlign w:val="bottom"/>
          </w:tcPr>
          <w:p>
            <w:pPr>
              <w:spacing w:after="0"/>
              <w:rPr>
                <w:sz w:val="15"/>
                <w:szCs w:val="15"/>
                <w:color w:val="auto"/>
              </w:rPr>
            </w:pPr>
          </w:p>
        </w:tc>
        <w:tc>
          <w:tcPr>
            <w:tcW w:w="3140" w:type="dxa"/>
            <w:vAlign w:val="bottom"/>
          </w:tcPr>
          <w:p>
            <w:pPr>
              <w:ind w:left="460"/>
              <w:spacing w:after="0" w:line="176" w:lineRule="exact"/>
              <w:rPr>
                <w:sz w:val="20"/>
                <w:szCs w:val="20"/>
                <w:color w:val="auto"/>
              </w:rPr>
            </w:pPr>
            <w:r>
              <w:rPr>
                <w:rFonts w:ascii="Arial" w:cs="Arial" w:eastAsia="Arial" w:hAnsi="Arial"/>
                <w:sz w:val="16"/>
                <w:szCs w:val="16"/>
                <w:color w:val="auto"/>
              </w:rPr>
              <w:t>Net income</w:t>
            </w:r>
          </w:p>
        </w:tc>
        <w:tc>
          <w:tcPr>
            <w:tcW w:w="1020" w:type="dxa"/>
            <w:vAlign w:val="bottom"/>
            <w:gridSpan w:val="2"/>
          </w:tcPr>
          <w:p>
            <w:pPr>
              <w:jc w:val="right"/>
              <w:ind w:right="400"/>
              <w:spacing w:after="0" w:line="176" w:lineRule="exact"/>
              <w:rPr>
                <w:sz w:val="20"/>
                <w:szCs w:val="20"/>
                <w:color w:val="auto"/>
              </w:rPr>
            </w:pPr>
            <w:r>
              <w:rPr>
                <w:rFonts w:ascii="Arial" w:cs="Arial" w:eastAsia="Arial" w:hAnsi="Arial"/>
                <w:sz w:val="16"/>
                <w:szCs w:val="16"/>
                <w:color w:val="auto"/>
              </w:rPr>
              <w:t>$</w:t>
            </w:r>
          </w:p>
        </w:tc>
        <w:tc>
          <w:tcPr>
            <w:tcW w:w="720" w:type="dxa"/>
            <w:vAlign w:val="bottom"/>
          </w:tcPr>
          <w:p>
            <w:pPr>
              <w:jc w:val="right"/>
              <w:spacing w:after="0" w:line="176" w:lineRule="exact"/>
              <w:rPr>
                <w:sz w:val="20"/>
                <w:szCs w:val="20"/>
                <w:color w:val="auto"/>
              </w:rPr>
            </w:pPr>
            <w:r>
              <w:rPr>
                <w:rFonts w:ascii="Arial" w:cs="Arial" w:eastAsia="Arial" w:hAnsi="Arial"/>
                <w:sz w:val="16"/>
                <w:szCs w:val="16"/>
                <w:color w:val="auto"/>
              </w:rPr>
              <w:t>60</w:t>
            </w:r>
          </w:p>
        </w:tc>
        <w:tc>
          <w:tcPr>
            <w:tcW w:w="520" w:type="dxa"/>
            <w:vAlign w:val="bottom"/>
          </w:tcPr>
          <w:p>
            <w:pPr>
              <w:jc w:val="right"/>
              <w:ind w:right="364"/>
              <w:spacing w:after="0"/>
              <w:rPr>
                <w:sz w:val="20"/>
                <w:szCs w:val="20"/>
                <w:color w:val="auto"/>
              </w:rPr>
            </w:pPr>
            <w:r>
              <w:rPr>
                <w:rFonts w:ascii="Arial" w:cs="Arial" w:eastAsia="Arial" w:hAnsi="Arial"/>
                <w:sz w:val="15"/>
                <w:szCs w:val="15"/>
                <w:color w:val="auto"/>
                <w:w w:val="71"/>
              </w:rPr>
              <w:t>$</w:t>
            </w:r>
          </w:p>
        </w:tc>
        <w:tc>
          <w:tcPr>
            <w:tcW w:w="1200" w:type="dxa"/>
            <w:vAlign w:val="bottom"/>
          </w:tcPr>
          <w:p>
            <w:pPr>
              <w:ind w:left="500"/>
              <w:spacing w:after="0" w:line="176" w:lineRule="exact"/>
              <w:rPr>
                <w:sz w:val="20"/>
                <w:szCs w:val="20"/>
                <w:color w:val="auto"/>
              </w:rPr>
            </w:pPr>
            <w:r>
              <w:rPr>
                <w:rFonts w:ascii="Arial" w:cs="Arial" w:eastAsia="Arial" w:hAnsi="Arial"/>
                <w:sz w:val="16"/>
                <w:szCs w:val="16"/>
                <w:color w:val="auto"/>
              </w:rPr>
              <w:t>― $</w:t>
            </w:r>
          </w:p>
        </w:tc>
        <w:tc>
          <w:tcPr>
            <w:tcW w:w="920" w:type="dxa"/>
            <w:vAlign w:val="bottom"/>
          </w:tcPr>
          <w:p>
            <w:pPr>
              <w:jc w:val="right"/>
              <w:ind w:right="159"/>
              <w:spacing w:after="0" w:line="176" w:lineRule="exact"/>
              <w:rPr>
                <w:sz w:val="20"/>
                <w:szCs w:val="20"/>
                <w:color w:val="auto"/>
              </w:rPr>
            </w:pPr>
            <w:r>
              <w:rPr>
                <w:rFonts w:ascii="Arial" w:cs="Arial" w:eastAsia="Arial" w:hAnsi="Arial"/>
                <w:sz w:val="16"/>
                <w:szCs w:val="16"/>
                <w:color w:val="auto"/>
              </w:rPr>
              <w:t>60</w:t>
            </w:r>
          </w:p>
        </w:tc>
        <w:tc>
          <w:tcPr>
            <w:tcW w:w="680" w:type="dxa"/>
            <w:vAlign w:val="bottom"/>
          </w:tcPr>
          <w:p>
            <w:pPr>
              <w:jc w:val="right"/>
              <w:ind w:right="339"/>
              <w:spacing w:after="0" w:line="176" w:lineRule="exact"/>
              <w:rPr>
                <w:sz w:val="20"/>
                <w:szCs w:val="20"/>
                <w:color w:val="auto"/>
              </w:rPr>
            </w:pPr>
            <w:r>
              <w:rPr>
                <w:rFonts w:ascii="Arial" w:cs="Arial" w:eastAsia="Arial" w:hAnsi="Arial"/>
                <w:sz w:val="16"/>
                <w:szCs w:val="16"/>
                <w:color w:val="auto"/>
              </w:rPr>
              <w:t>$</w:t>
            </w:r>
          </w:p>
        </w:tc>
        <w:tc>
          <w:tcPr>
            <w:tcW w:w="720" w:type="dxa"/>
            <w:vAlign w:val="bottom"/>
          </w:tcPr>
          <w:p>
            <w:pPr>
              <w:jc w:val="right"/>
              <w:spacing w:after="0" w:line="176" w:lineRule="exact"/>
              <w:rPr>
                <w:sz w:val="20"/>
                <w:szCs w:val="20"/>
                <w:color w:val="auto"/>
              </w:rPr>
            </w:pPr>
            <w:r>
              <w:rPr>
                <w:rFonts w:ascii="Arial" w:cs="Arial" w:eastAsia="Arial" w:hAnsi="Arial"/>
                <w:sz w:val="16"/>
                <w:szCs w:val="16"/>
                <w:color w:val="auto"/>
              </w:rPr>
              <w:t>70</w:t>
            </w:r>
          </w:p>
        </w:tc>
        <w:tc>
          <w:tcPr>
            <w:tcW w:w="520" w:type="dxa"/>
            <w:vAlign w:val="bottom"/>
          </w:tcPr>
          <w:p>
            <w:pPr>
              <w:jc w:val="right"/>
              <w:ind w:right="339"/>
              <w:spacing w:after="0" w:line="176" w:lineRule="exact"/>
              <w:rPr>
                <w:sz w:val="20"/>
                <w:szCs w:val="20"/>
                <w:color w:val="auto"/>
              </w:rPr>
            </w:pPr>
            <w:r>
              <w:rPr>
                <w:rFonts w:ascii="Arial" w:cs="Arial" w:eastAsia="Arial" w:hAnsi="Arial"/>
                <w:sz w:val="16"/>
                <w:szCs w:val="16"/>
                <w:color w:val="auto"/>
                <w:w w:val="89"/>
              </w:rPr>
              <w:t>$</w:t>
            </w:r>
          </w:p>
        </w:tc>
        <w:tc>
          <w:tcPr>
            <w:tcW w:w="1220" w:type="dxa"/>
            <w:vAlign w:val="bottom"/>
          </w:tcPr>
          <w:p>
            <w:pPr>
              <w:jc w:val="right"/>
              <w:ind w:right="339"/>
              <w:spacing w:after="0" w:line="176" w:lineRule="exact"/>
              <w:rPr>
                <w:sz w:val="20"/>
                <w:szCs w:val="20"/>
                <w:color w:val="auto"/>
              </w:rPr>
            </w:pPr>
            <w:r>
              <w:rPr>
                <w:rFonts w:ascii="Arial" w:cs="Arial" w:eastAsia="Arial" w:hAnsi="Arial"/>
                <w:sz w:val="16"/>
                <w:szCs w:val="16"/>
                <w:color w:val="auto"/>
              </w:rPr>
              <w:t>― $</w:t>
            </w:r>
          </w:p>
        </w:tc>
        <w:tc>
          <w:tcPr>
            <w:tcW w:w="740" w:type="dxa"/>
            <w:vAlign w:val="bottom"/>
          </w:tcPr>
          <w:p>
            <w:pPr>
              <w:jc w:val="right"/>
              <w:spacing w:after="0" w:line="176" w:lineRule="exact"/>
              <w:rPr>
                <w:sz w:val="20"/>
                <w:szCs w:val="20"/>
                <w:color w:val="auto"/>
              </w:rPr>
            </w:pPr>
            <w:r>
              <w:rPr>
                <w:rFonts w:ascii="Arial" w:cs="Arial" w:eastAsia="Arial" w:hAnsi="Arial"/>
                <w:sz w:val="16"/>
                <w:szCs w:val="16"/>
                <w:color w:val="auto"/>
              </w:rPr>
              <w:t>70</w:t>
            </w:r>
          </w:p>
        </w:tc>
      </w:tr>
      <w:tr>
        <w:trPr>
          <w:trHeight w:val="194"/>
        </w:trPr>
        <w:tc>
          <w:tcPr>
            <w:tcW w:w="20" w:type="dxa"/>
            <w:vAlign w:val="bottom"/>
          </w:tcPr>
          <w:p>
            <w:pPr>
              <w:spacing w:after="0"/>
              <w:rPr>
                <w:sz w:val="16"/>
                <w:szCs w:val="16"/>
                <w:color w:val="auto"/>
              </w:rPr>
            </w:pPr>
          </w:p>
        </w:tc>
        <w:tc>
          <w:tcPr>
            <w:tcW w:w="3140" w:type="dxa"/>
            <w:vAlign w:val="bottom"/>
          </w:tcPr>
          <w:p>
            <w:pPr>
              <w:ind w:left="460"/>
              <w:spacing w:after="0"/>
              <w:rPr>
                <w:sz w:val="20"/>
                <w:szCs w:val="20"/>
                <w:color w:val="auto"/>
              </w:rPr>
            </w:pPr>
            <w:r>
              <w:rPr>
                <w:rFonts w:ascii="Arial" w:cs="Arial" w:eastAsia="Arial" w:hAnsi="Arial"/>
                <w:sz w:val="16"/>
                <w:szCs w:val="16"/>
                <w:color w:val="auto"/>
              </w:rPr>
              <w:t>Financial instruments</w:t>
            </w:r>
          </w:p>
        </w:tc>
        <w:tc>
          <w:tcPr>
            <w:tcW w:w="520" w:type="dxa"/>
            <w:vAlign w:val="bottom"/>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5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ind w:left="500"/>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1</w:t>
            </w:r>
          </w:p>
        </w:tc>
        <w:tc>
          <w:tcPr>
            <w:tcW w:w="68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5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r>
      <w:tr>
        <w:trPr>
          <w:trHeight w:val="210"/>
        </w:trPr>
        <w:tc>
          <w:tcPr>
            <w:tcW w:w="20" w:type="dxa"/>
            <w:vAlign w:val="bottom"/>
          </w:tcPr>
          <w:p>
            <w:pPr>
              <w:spacing w:after="0"/>
              <w:rPr>
                <w:sz w:val="18"/>
                <w:szCs w:val="18"/>
                <w:color w:val="auto"/>
              </w:rPr>
            </w:pPr>
          </w:p>
        </w:tc>
        <w:tc>
          <w:tcPr>
            <w:tcW w:w="3140" w:type="dxa"/>
            <w:vAlign w:val="bottom"/>
          </w:tcPr>
          <w:p>
            <w:pPr>
              <w:ind w:left="460"/>
              <w:spacing w:after="0"/>
              <w:rPr>
                <w:sz w:val="20"/>
                <w:szCs w:val="20"/>
                <w:color w:val="auto"/>
              </w:rPr>
            </w:pPr>
            <w:r>
              <w:rPr>
                <w:rFonts w:ascii="Arial" w:cs="Arial" w:eastAsia="Arial" w:hAnsi="Arial"/>
                <w:sz w:val="16"/>
                <w:szCs w:val="16"/>
                <w:color w:val="auto"/>
              </w:rPr>
              <w:t>Comprehensive income</w:t>
            </w:r>
          </w:p>
        </w:tc>
        <w:tc>
          <w:tcPr>
            <w:tcW w:w="1020" w:type="dxa"/>
            <w:vAlign w:val="bottom"/>
            <w:gridSpan w:val="2"/>
          </w:tcPr>
          <w:p>
            <w:pPr>
              <w:jc w:val="right"/>
              <w:ind w:right="400"/>
              <w:spacing w:after="0"/>
              <w:rPr>
                <w:sz w:val="20"/>
                <w:szCs w:val="20"/>
                <w:color w:val="auto"/>
              </w:rPr>
            </w:pPr>
            <w:r>
              <w:rPr>
                <w:rFonts w:ascii="Arial" w:cs="Arial" w:eastAsia="Arial" w:hAnsi="Arial"/>
                <w:sz w:val="16"/>
                <w:szCs w:val="16"/>
                <w:color w:val="auto"/>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61</w:t>
            </w:r>
          </w:p>
        </w:tc>
        <w:tc>
          <w:tcPr>
            <w:tcW w:w="520" w:type="dxa"/>
            <w:vAlign w:val="bottom"/>
          </w:tcPr>
          <w:p>
            <w:pPr>
              <w:jc w:val="right"/>
              <w:ind w:right="364"/>
              <w:spacing w:after="0"/>
              <w:rPr>
                <w:sz w:val="20"/>
                <w:szCs w:val="20"/>
                <w:color w:val="auto"/>
              </w:rPr>
            </w:pPr>
            <w:r>
              <w:rPr>
                <w:rFonts w:ascii="Arial" w:cs="Arial" w:eastAsia="Arial" w:hAnsi="Arial"/>
                <w:sz w:val="15"/>
                <w:szCs w:val="15"/>
                <w:color w:val="auto"/>
                <w:w w:val="71"/>
              </w:rPr>
              <w:t>$</w:t>
            </w:r>
          </w:p>
        </w:tc>
        <w:tc>
          <w:tcPr>
            <w:tcW w:w="1200" w:type="dxa"/>
            <w:vAlign w:val="bottom"/>
          </w:tcPr>
          <w:p>
            <w:pPr>
              <w:ind w:left="500"/>
              <w:spacing w:after="0"/>
              <w:rPr>
                <w:sz w:val="20"/>
                <w:szCs w:val="20"/>
                <w:color w:val="auto"/>
              </w:rPr>
            </w:pPr>
            <w:r>
              <w:rPr>
                <w:rFonts w:ascii="Arial" w:cs="Arial" w:eastAsia="Arial" w:hAnsi="Arial"/>
                <w:sz w:val="16"/>
                <w:szCs w:val="16"/>
                <w:color w:val="auto"/>
              </w:rPr>
              <w:t>― $</w:t>
            </w:r>
          </w:p>
        </w:tc>
        <w:tc>
          <w:tcPr>
            <w:tcW w:w="920" w:type="dxa"/>
            <w:vAlign w:val="bottom"/>
          </w:tcPr>
          <w:p>
            <w:pPr>
              <w:jc w:val="right"/>
              <w:ind w:right="159"/>
              <w:spacing w:after="0"/>
              <w:rPr>
                <w:sz w:val="20"/>
                <w:szCs w:val="20"/>
                <w:color w:val="auto"/>
              </w:rPr>
            </w:pPr>
            <w:r>
              <w:rPr>
                <w:rFonts w:ascii="Arial" w:cs="Arial" w:eastAsia="Arial" w:hAnsi="Arial"/>
                <w:sz w:val="16"/>
                <w:szCs w:val="16"/>
                <w:color w:val="auto"/>
              </w:rPr>
              <w:t>61</w:t>
            </w:r>
          </w:p>
        </w:tc>
        <w:tc>
          <w:tcPr>
            <w:tcW w:w="680" w:type="dxa"/>
            <w:vAlign w:val="bottom"/>
          </w:tcPr>
          <w:p>
            <w:pPr>
              <w:jc w:val="right"/>
              <w:ind w:right="339"/>
              <w:spacing w:after="0"/>
              <w:rPr>
                <w:sz w:val="20"/>
                <w:szCs w:val="20"/>
                <w:color w:val="auto"/>
              </w:rPr>
            </w:pPr>
            <w:r>
              <w:rPr>
                <w:rFonts w:ascii="Arial" w:cs="Arial" w:eastAsia="Arial" w:hAnsi="Arial"/>
                <w:sz w:val="16"/>
                <w:szCs w:val="16"/>
                <w:color w:val="auto"/>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71</w:t>
            </w:r>
          </w:p>
        </w:tc>
        <w:tc>
          <w:tcPr>
            <w:tcW w:w="520" w:type="dxa"/>
            <w:vAlign w:val="bottom"/>
          </w:tcPr>
          <w:p>
            <w:pPr>
              <w:jc w:val="right"/>
              <w:ind w:right="339"/>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ind w:right="339"/>
              <w:spacing w:after="0"/>
              <w:rPr>
                <w:sz w:val="20"/>
                <w:szCs w:val="20"/>
                <w:color w:val="auto"/>
              </w:rPr>
            </w:pPr>
            <w:r>
              <w:rPr>
                <w:rFonts w:ascii="Arial" w:cs="Arial" w:eastAsia="Arial" w:hAnsi="Arial"/>
                <w:sz w:val="16"/>
                <w:szCs w:val="16"/>
                <w:color w:val="auto"/>
              </w:rPr>
              <w:t>― $</w:t>
            </w:r>
          </w:p>
        </w:tc>
        <w:tc>
          <w:tcPr>
            <w:tcW w:w="740" w:type="dxa"/>
            <w:vAlign w:val="bottom"/>
          </w:tcPr>
          <w:p>
            <w:pPr>
              <w:jc w:val="right"/>
              <w:spacing w:after="0"/>
              <w:rPr>
                <w:sz w:val="20"/>
                <w:szCs w:val="20"/>
                <w:color w:val="auto"/>
              </w:rPr>
            </w:pPr>
            <w:r>
              <w:rPr>
                <w:rFonts w:ascii="Arial" w:cs="Arial" w:eastAsia="Arial" w:hAnsi="Arial"/>
                <w:sz w:val="16"/>
                <w:szCs w:val="16"/>
                <w:color w:val="auto"/>
              </w:rPr>
              <w:t>71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wp:posOffset>
            </wp:positionV>
            <wp:extent cx="72466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ind w:left="480" w:hanging="472"/>
        <w:spacing w:after="0"/>
        <w:tabs>
          <w:tab w:leader="none" w:pos="480" w:val="left"/>
        </w:tabs>
        <w:numPr>
          <w:ilvl w:val="0"/>
          <w:numId w:val="10"/>
        </w:numPr>
        <w:rPr>
          <w:rFonts w:ascii="Arial" w:cs="Arial" w:eastAsia="Arial" w:hAnsi="Arial"/>
          <w:sz w:val="14"/>
          <w:szCs w:val="14"/>
          <w:i w:val="1"/>
          <w:iCs w:val="1"/>
          <w:color w:val="auto"/>
        </w:rPr>
      </w:pPr>
      <w:r>
        <w:rPr>
          <w:rFonts w:ascii="Arial" w:cs="Arial" w:eastAsia="Arial" w:hAnsi="Arial"/>
          <w:sz w:val="14"/>
          <w:szCs w:val="14"/>
          <w:i w:val="1"/>
          <w:iCs w:val="1"/>
          <w:color w:val="auto"/>
        </w:rPr>
        <w:t>Shareholders' equity of Sempra Energy Consolidated, SDG&amp;E or SoCalGas as indicated in left margin.</w:t>
      </w:r>
    </w:p>
    <w:p>
      <w:pPr>
        <w:spacing w:after="0" w:line="15" w:lineRule="exact"/>
        <w:rPr>
          <w:rFonts w:ascii="Arial" w:cs="Arial" w:eastAsia="Arial" w:hAnsi="Arial"/>
          <w:sz w:val="14"/>
          <w:szCs w:val="14"/>
          <w:i w:val="1"/>
          <w:iCs w:val="1"/>
          <w:color w:val="auto"/>
        </w:rPr>
      </w:pPr>
    </w:p>
    <w:p>
      <w:pPr>
        <w:ind w:left="480" w:hanging="472"/>
        <w:spacing w:after="0"/>
        <w:tabs>
          <w:tab w:leader="none" w:pos="480" w:val="left"/>
        </w:tabs>
        <w:numPr>
          <w:ilvl w:val="0"/>
          <w:numId w:val="10"/>
        </w:numPr>
        <w:rPr>
          <w:rFonts w:ascii="Arial" w:cs="Arial" w:eastAsia="Arial" w:hAnsi="Arial"/>
          <w:sz w:val="14"/>
          <w:szCs w:val="14"/>
          <w:i w:val="1"/>
          <w:iCs w:val="1"/>
          <w:color w:val="auto"/>
        </w:rPr>
      </w:pPr>
      <w:r>
        <w:rPr>
          <w:rFonts w:ascii="Arial" w:cs="Arial" w:eastAsia="Arial" w:hAnsi="Arial"/>
          <w:sz w:val="14"/>
          <w:szCs w:val="14"/>
          <w:i w:val="1"/>
          <w:iCs w:val="1"/>
          <w:color w:val="auto"/>
        </w:rPr>
        <w:t>Before preferred dividends of subsidiaries.</w:t>
      </w:r>
    </w:p>
    <w:p>
      <w:pPr>
        <w:spacing w:after="0" w:line="1" w:lineRule="exact"/>
        <w:rPr>
          <w:rFonts w:ascii="Arial" w:cs="Arial" w:eastAsia="Arial" w:hAnsi="Arial"/>
          <w:sz w:val="14"/>
          <w:szCs w:val="14"/>
          <w:i w:val="1"/>
          <w:iCs w:val="1"/>
          <w:color w:val="auto"/>
        </w:rPr>
      </w:pPr>
    </w:p>
    <w:p>
      <w:pPr>
        <w:ind w:left="480" w:hanging="472"/>
        <w:spacing w:after="0"/>
        <w:tabs>
          <w:tab w:leader="none" w:pos="480" w:val="left"/>
        </w:tabs>
        <w:numPr>
          <w:ilvl w:val="0"/>
          <w:numId w:val="10"/>
        </w:numPr>
        <w:rPr>
          <w:rFonts w:ascii="Arial" w:cs="Arial" w:eastAsia="Arial" w:hAnsi="Arial"/>
          <w:sz w:val="14"/>
          <w:szCs w:val="14"/>
          <w:i w:val="1"/>
          <w:iCs w:val="1"/>
          <w:color w:val="auto"/>
        </w:rPr>
      </w:pPr>
      <w:r>
        <w:rPr>
          <w:rFonts w:ascii="Arial" w:cs="Arial" w:eastAsia="Arial" w:hAnsi="Arial"/>
          <w:sz w:val="14"/>
          <w:szCs w:val="14"/>
          <w:i w:val="1"/>
          <w:iCs w:val="1"/>
          <w:color w:val="auto"/>
        </w:rPr>
        <w:t>Related to the acquisition of Chilquinta Energía and Luz del Sur.</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COMPREHENSIVE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-104775</wp:posOffset>
            </wp:positionV>
            <wp:extent cx="7246620" cy="22288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46620" cy="222885"/>
                    </a:xfrm>
                    <a:prstGeom prst="rect">
                      <a:avLst/>
                    </a:prstGeom>
                    <a:noFill/>
                  </pic:spPr>
                </pic:pic>
              </a:graphicData>
            </a:graphic>
          </wp:anchor>
        </w:drawing>
      </w:r>
    </w:p>
    <w:p>
      <w:pPr>
        <w:spacing w:after="0" w:line="8"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(Dollars in millions)</w:t>
      </w:r>
    </w:p>
    <w:tbl>
      <w:tblPr>
        <w:tblLayout w:type="fixed"/>
        <w:tblInd w:w="0" w:type="dxa"/>
        <w:tblCellMar>
          <w:top w:w="0" w:type="dxa"/>
          <w:left w:w="0" w:type="dxa"/>
          <w:bottom w:w="0" w:type="dxa"/>
          <w:right w:w="0" w:type="dxa"/>
        </w:tblCellMar>
      </w:tblPr>
      <w:tr>
        <w:trPr>
          <w:trHeight w:val="165"/>
        </w:trPr>
        <w:tc>
          <w:tcPr>
            <w:tcW w:w="20" w:type="dxa"/>
            <w:vAlign w:val="bottom"/>
          </w:tcPr>
          <w:p>
            <w:pPr>
              <w:spacing w:after="0"/>
              <w:rPr>
                <w:sz w:val="14"/>
                <w:szCs w:val="14"/>
                <w:color w:val="auto"/>
              </w:rPr>
            </w:pPr>
          </w:p>
        </w:tc>
        <w:tc>
          <w:tcPr>
            <w:tcW w:w="3540" w:type="dxa"/>
            <w:vAlign w:val="bottom"/>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spacing w:after="0"/>
              <w:rPr>
                <w:sz w:val="14"/>
                <w:szCs w:val="14"/>
                <w:color w:val="auto"/>
              </w:rPr>
            </w:pPr>
          </w:p>
        </w:tc>
        <w:tc>
          <w:tcPr>
            <w:tcW w:w="2360" w:type="dxa"/>
            <w:vAlign w:val="bottom"/>
            <w:tcBorders>
              <w:bottom w:val="single" w:sz="8" w:color="auto"/>
            </w:tcBorders>
            <w:gridSpan w:val="2"/>
          </w:tcPr>
          <w:p>
            <w:pPr>
              <w:jc w:val="right"/>
              <w:ind w:right="182"/>
              <w:spacing w:after="0" w:line="159" w:lineRule="exact"/>
              <w:rPr>
                <w:sz w:val="20"/>
                <w:szCs w:val="20"/>
                <w:color w:val="auto"/>
              </w:rPr>
            </w:pPr>
            <w:r>
              <w:rPr>
                <w:rFonts w:ascii="Arial" w:cs="Arial" w:eastAsia="Arial" w:hAnsi="Arial"/>
                <w:sz w:val="14"/>
                <w:szCs w:val="14"/>
                <w:color w:val="auto"/>
              </w:rPr>
              <w:t>Six months ended June 30,</w:t>
            </w:r>
          </w:p>
        </w:tc>
        <w:tc>
          <w:tcPr>
            <w:tcW w:w="3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r>
      <w:tr>
        <w:trPr>
          <w:trHeight w:val="169"/>
        </w:trPr>
        <w:tc>
          <w:tcPr>
            <w:tcW w:w="20" w:type="dxa"/>
            <w:vAlign w:val="bottom"/>
          </w:tcPr>
          <w:p>
            <w:pPr>
              <w:spacing w:after="0"/>
              <w:rPr>
                <w:sz w:val="14"/>
                <w:szCs w:val="14"/>
                <w:color w:val="auto"/>
              </w:rPr>
            </w:pPr>
          </w:p>
        </w:tc>
        <w:tc>
          <w:tcPr>
            <w:tcW w:w="3540" w:type="dxa"/>
            <w:vAlign w:val="bottom"/>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center"/>
              <w:ind w:right="381"/>
              <w:spacing w:after="0"/>
              <w:rPr>
                <w:sz w:val="20"/>
                <w:szCs w:val="20"/>
                <w:color w:val="auto"/>
              </w:rPr>
            </w:pPr>
            <w:r>
              <w:rPr>
                <w:rFonts w:ascii="Arial" w:cs="Arial" w:eastAsia="Arial" w:hAnsi="Arial"/>
                <w:sz w:val="14"/>
                <w:szCs w:val="14"/>
                <w:color w:val="auto"/>
              </w:rPr>
              <w:t>2011</w:t>
            </w:r>
          </w:p>
        </w:tc>
        <w:tc>
          <w:tcPr>
            <w:tcW w:w="120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center"/>
              <w:ind w:right="381"/>
              <w:spacing w:after="0"/>
              <w:rPr>
                <w:sz w:val="20"/>
                <w:szCs w:val="20"/>
                <w:color w:val="auto"/>
              </w:rPr>
            </w:pPr>
            <w:r>
              <w:rPr>
                <w:rFonts w:ascii="Arial" w:cs="Arial" w:eastAsia="Arial" w:hAnsi="Arial"/>
                <w:sz w:val="14"/>
                <w:szCs w:val="14"/>
                <w:color w:val="auto"/>
              </w:rPr>
              <w:t>2010</w:t>
            </w:r>
          </w:p>
        </w:tc>
        <w:tc>
          <w:tcPr>
            <w:tcW w:w="1000" w:type="dxa"/>
            <w:vAlign w:val="bottom"/>
            <w:tcBorders>
              <w:bottom w:val="single" w:sz="8" w:color="auto"/>
            </w:tcBorders>
          </w:tcPr>
          <w:p>
            <w:pPr>
              <w:spacing w:after="0"/>
              <w:rPr>
                <w:sz w:val="14"/>
                <w:szCs w:val="14"/>
                <w:color w:val="auto"/>
              </w:rPr>
            </w:pPr>
          </w:p>
        </w:tc>
      </w:tr>
      <w:tr>
        <w:trPr>
          <w:trHeight w:val="191"/>
        </w:trPr>
        <w:tc>
          <w:tcPr>
            <w:tcW w:w="20" w:type="dxa"/>
            <w:vAlign w:val="bottom"/>
          </w:tcPr>
          <w:p>
            <w:pPr>
              <w:spacing w:after="0"/>
              <w:rPr>
                <w:sz w:val="16"/>
                <w:szCs w:val="16"/>
                <w:color w:val="auto"/>
              </w:rPr>
            </w:pPr>
          </w:p>
        </w:tc>
        <w:tc>
          <w:tcPr>
            <w:tcW w:w="3540" w:type="dxa"/>
            <w:vAlign w:val="bottom"/>
          </w:tcPr>
          <w:p>
            <w:pPr>
              <w:spacing w:after="0"/>
              <w:rPr>
                <w:sz w:val="16"/>
                <w:szCs w:val="16"/>
                <w:color w:val="auto"/>
              </w:rPr>
            </w:pPr>
          </w:p>
        </w:tc>
        <w:tc>
          <w:tcPr>
            <w:tcW w:w="900" w:type="dxa"/>
            <w:vAlign w:val="bottom"/>
          </w:tcPr>
          <w:p>
            <w:pPr>
              <w:jc w:val="center"/>
              <w:ind w:left="242"/>
              <w:spacing w:after="0"/>
              <w:rPr>
                <w:sz w:val="20"/>
                <w:szCs w:val="20"/>
                <w:color w:val="auto"/>
              </w:rPr>
            </w:pPr>
            <w:r>
              <w:rPr>
                <w:rFonts w:ascii="Arial" w:cs="Arial" w:eastAsia="Arial" w:hAnsi="Arial"/>
                <w:sz w:val="14"/>
                <w:szCs w:val="14"/>
                <w:color w:val="auto"/>
                <w:w w:val="99"/>
              </w:rPr>
              <w:t>Share-</w:t>
            </w:r>
          </w:p>
        </w:tc>
        <w:tc>
          <w:tcPr>
            <w:tcW w:w="3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00" w:type="dxa"/>
            <w:vAlign w:val="bottom"/>
          </w:tcPr>
          <w:p>
            <w:pPr>
              <w:jc w:val="center"/>
              <w:ind w:right="361"/>
              <w:spacing w:after="0"/>
              <w:rPr>
                <w:sz w:val="20"/>
                <w:szCs w:val="20"/>
                <w:color w:val="auto"/>
              </w:rPr>
            </w:pPr>
            <w:r>
              <w:rPr>
                <w:rFonts w:ascii="Arial" w:cs="Arial" w:eastAsia="Arial" w:hAnsi="Arial"/>
                <w:sz w:val="14"/>
                <w:szCs w:val="14"/>
                <w:color w:val="auto"/>
                <w:w w:val="98"/>
              </w:rPr>
              <w:t>Non-</w:t>
            </w:r>
          </w:p>
        </w:tc>
        <w:tc>
          <w:tcPr>
            <w:tcW w:w="1200" w:type="dxa"/>
            <w:vAlign w:val="bottom"/>
          </w:tcPr>
          <w:p>
            <w:pPr>
              <w:spacing w:after="0"/>
              <w:rPr>
                <w:sz w:val="16"/>
                <w:szCs w:val="16"/>
                <w:color w:val="auto"/>
              </w:rPr>
            </w:pPr>
          </w:p>
        </w:tc>
        <w:tc>
          <w:tcPr>
            <w:tcW w:w="1160" w:type="dxa"/>
            <w:vAlign w:val="bottom"/>
          </w:tcPr>
          <w:p>
            <w:pPr>
              <w:jc w:val="center"/>
              <w:ind w:left="482"/>
              <w:spacing w:after="0"/>
              <w:rPr>
                <w:sz w:val="20"/>
                <w:szCs w:val="20"/>
                <w:color w:val="auto"/>
              </w:rPr>
            </w:pPr>
            <w:r>
              <w:rPr>
                <w:rFonts w:ascii="Arial" w:cs="Arial" w:eastAsia="Arial" w:hAnsi="Arial"/>
                <w:sz w:val="14"/>
                <w:szCs w:val="14"/>
                <w:color w:val="auto"/>
              </w:rPr>
              <w:t>Share-</w:t>
            </w:r>
          </w:p>
        </w:tc>
        <w:tc>
          <w:tcPr>
            <w:tcW w:w="3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00" w:type="dxa"/>
            <w:vAlign w:val="bottom"/>
          </w:tcPr>
          <w:p>
            <w:pPr>
              <w:jc w:val="center"/>
              <w:ind w:right="361"/>
              <w:spacing w:after="0"/>
              <w:rPr>
                <w:sz w:val="20"/>
                <w:szCs w:val="20"/>
                <w:color w:val="auto"/>
              </w:rPr>
            </w:pPr>
            <w:r>
              <w:rPr>
                <w:rFonts w:ascii="Arial" w:cs="Arial" w:eastAsia="Arial" w:hAnsi="Arial"/>
                <w:sz w:val="14"/>
                <w:szCs w:val="14"/>
                <w:color w:val="auto"/>
                <w:w w:val="98"/>
              </w:rPr>
              <w:t>Non-</w:t>
            </w:r>
          </w:p>
        </w:tc>
        <w:tc>
          <w:tcPr>
            <w:tcW w:w="1000" w:type="dxa"/>
            <w:vAlign w:val="bottom"/>
          </w:tcPr>
          <w:p>
            <w:pPr>
              <w:spacing w:after="0"/>
              <w:rPr>
                <w:sz w:val="16"/>
                <w:szCs w:val="16"/>
                <w:color w:val="auto"/>
              </w:rPr>
            </w:pPr>
          </w:p>
        </w:tc>
      </w:tr>
      <w:tr>
        <w:trPr>
          <w:trHeight w:val="176"/>
        </w:trPr>
        <w:tc>
          <w:tcPr>
            <w:tcW w:w="20" w:type="dxa"/>
            <w:vAlign w:val="bottom"/>
          </w:tcPr>
          <w:p>
            <w:pPr>
              <w:spacing w:after="0"/>
              <w:rPr>
                <w:sz w:val="15"/>
                <w:szCs w:val="15"/>
                <w:color w:val="auto"/>
              </w:rPr>
            </w:pPr>
          </w:p>
        </w:tc>
        <w:tc>
          <w:tcPr>
            <w:tcW w:w="3540" w:type="dxa"/>
            <w:vAlign w:val="bottom"/>
          </w:tcPr>
          <w:p>
            <w:pPr>
              <w:spacing w:after="0"/>
              <w:rPr>
                <w:sz w:val="15"/>
                <w:szCs w:val="15"/>
                <w:color w:val="auto"/>
              </w:rPr>
            </w:pPr>
          </w:p>
        </w:tc>
        <w:tc>
          <w:tcPr>
            <w:tcW w:w="900" w:type="dxa"/>
            <w:vAlign w:val="bottom"/>
          </w:tcPr>
          <w:p>
            <w:pPr>
              <w:jc w:val="center"/>
              <w:ind w:left="242"/>
              <w:spacing w:after="0"/>
              <w:rPr>
                <w:sz w:val="20"/>
                <w:szCs w:val="20"/>
                <w:color w:val="auto"/>
              </w:rPr>
            </w:pPr>
            <w:r>
              <w:rPr>
                <w:rFonts w:ascii="Arial" w:cs="Arial" w:eastAsia="Arial" w:hAnsi="Arial"/>
                <w:sz w:val="14"/>
                <w:szCs w:val="14"/>
                <w:color w:val="auto"/>
              </w:rPr>
              <w:t>holders'</w:t>
            </w:r>
          </w:p>
        </w:tc>
        <w:tc>
          <w:tcPr>
            <w:tcW w:w="3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00" w:type="dxa"/>
            <w:vAlign w:val="bottom"/>
          </w:tcPr>
          <w:p>
            <w:pPr>
              <w:jc w:val="center"/>
              <w:ind w:right="361"/>
              <w:spacing w:after="0"/>
              <w:rPr>
                <w:sz w:val="20"/>
                <w:szCs w:val="20"/>
                <w:color w:val="auto"/>
              </w:rPr>
            </w:pPr>
            <w:r>
              <w:rPr>
                <w:rFonts w:ascii="Arial" w:cs="Arial" w:eastAsia="Arial" w:hAnsi="Arial"/>
                <w:sz w:val="14"/>
                <w:szCs w:val="14"/>
                <w:color w:val="auto"/>
              </w:rPr>
              <w:t>controlling</w:t>
            </w:r>
          </w:p>
        </w:tc>
        <w:tc>
          <w:tcPr>
            <w:tcW w:w="1200" w:type="dxa"/>
            <w:vAlign w:val="bottom"/>
          </w:tcPr>
          <w:p>
            <w:pPr>
              <w:jc w:val="right"/>
              <w:ind w:right="601"/>
              <w:spacing w:after="0"/>
              <w:rPr>
                <w:sz w:val="20"/>
                <w:szCs w:val="20"/>
                <w:color w:val="auto"/>
              </w:rPr>
            </w:pPr>
            <w:r>
              <w:rPr>
                <w:rFonts w:ascii="Arial" w:cs="Arial" w:eastAsia="Arial" w:hAnsi="Arial"/>
                <w:sz w:val="14"/>
                <w:szCs w:val="14"/>
                <w:color w:val="auto"/>
              </w:rPr>
              <w:t>Total</w:t>
            </w:r>
          </w:p>
        </w:tc>
        <w:tc>
          <w:tcPr>
            <w:tcW w:w="1160" w:type="dxa"/>
            <w:vAlign w:val="bottom"/>
          </w:tcPr>
          <w:p>
            <w:pPr>
              <w:jc w:val="center"/>
              <w:ind w:left="502"/>
              <w:spacing w:after="0"/>
              <w:rPr>
                <w:sz w:val="20"/>
                <w:szCs w:val="20"/>
                <w:color w:val="auto"/>
              </w:rPr>
            </w:pPr>
            <w:r>
              <w:rPr>
                <w:rFonts w:ascii="Arial" w:cs="Arial" w:eastAsia="Arial" w:hAnsi="Arial"/>
                <w:sz w:val="14"/>
                <w:szCs w:val="14"/>
                <w:color w:val="auto"/>
              </w:rPr>
              <w:t>holders'</w:t>
            </w:r>
          </w:p>
        </w:tc>
        <w:tc>
          <w:tcPr>
            <w:tcW w:w="3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00" w:type="dxa"/>
            <w:vAlign w:val="bottom"/>
          </w:tcPr>
          <w:p>
            <w:pPr>
              <w:jc w:val="center"/>
              <w:ind w:right="361"/>
              <w:spacing w:after="0"/>
              <w:rPr>
                <w:sz w:val="20"/>
                <w:szCs w:val="20"/>
                <w:color w:val="auto"/>
              </w:rPr>
            </w:pPr>
            <w:r>
              <w:rPr>
                <w:rFonts w:ascii="Arial" w:cs="Arial" w:eastAsia="Arial" w:hAnsi="Arial"/>
                <w:sz w:val="14"/>
                <w:szCs w:val="14"/>
                <w:color w:val="auto"/>
              </w:rPr>
              <w:t>controlling</w:t>
            </w:r>
          </w:p>
        </w:tc>
        <w:tc>
          <w:tcPr>
            <w:tcW w:w="1000" w:type="dxa"/>
            <w:vAlign w:val="bottom"/>
          </w:tcPr>
          <w:p>
            <w:pPr>
              <w:jc w:val="right"/>
              <w:ind w:right="400"/>
              <w:spacing w:after="0"/>
              <w:rPr>
                <w:sz w:val="20"/>
                <w:szCs w:val="20"/>
                <w:color w:val="auto"/>
              </w:rPr>
            </w:pPr>
            <w:r>
              <w:rPr>
                <w:rFonts w:ascii="Arial" w:cs="Arial" w:eastAsia="Arial" w:hAnsi="Arial"/>
                <w:sz w:val="14"/>
                <w:szCs w:val="14"/>
                <w:color w:val="auto"/>
              </w:rPr>
              <w:t>Total</w:t>
            </w:r>
          </w:p>
        </w:tc>
      </w:tr>
      <w:tr>
        <w:trPr>
          <w:trHeight w:val="168"/>
        </w:trPr>
        <w:tc>
          <w:tcPr>
            <w:tcW w:w="20" w:type="dxa"/>
            <w:vAlign w:val="bottom"/>
          </w:tcPr>
          <w:p>
            <w:pPr>
              <w:spacing w:after="0"/>
              <w:rPr>
                <w:sz w:val="14"/>
                <w:szCs w:val="14"/>
                <w:color w:val="auto"/>
              </w:rPr>
            </w:pPr>
          </w:p>
        </w:tc>
        <w:tc>
          <w:tcPr>
            <w:tcW w:w="35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center"/>
              <w:ind w:left="242"/>
              <w:spacing w:after="0"/>
              <w:rPr>
                <w:sz w:val="20"/>
                <w:szCs w:val="20"/>
                <w:color w:val="auto"/>
              </w:rPr>
            </w:pPr>
            <w:r>
              <w:rPr>
                <w:rFonts w:ascii="Arial" w:cs="Arial" w:eastAsia="Arial" w:hAnsi="Arial"/>
                <w:sz w:val="14"/>
                <w:szCs w:val="14"/>
                <w:color w:val="auto"/>
              </w:rPr>
              <w:t>Equity(1)</w:t>
            </w:r>
          </w:p>
        </w:tc>
        <w:tc>
          <w:tcPr>
            <w:tcW w:w="3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center"/>
              <w:ind w:right="361"/>
              <w:spacing w:after="0"/>
              <w:rPr>
                <w:sz w:val="20"/>
                <w:szCs w:val="20"/>
                <w:color w:val="auto"/>
              </w:rPr>
            </w:pPr>
            <w:r>
              <w:rPr>
                <w:rFonts w:ascii="Arial" w:cs="Arial" w:eastAsia="Arial" w:hAnsi="Arial"/>
                <w:sz w:val="14"/>
                <w:szCs w:val="14"/>
                <w:color w:val="auto"/>
              </w:rPr>
              <w:t>Interests</w:t>
            </w:r>
          </w:p>
        </w:tc>
        <w:tc>
          <w:tcPr>
            <w:tcW w:w="1200" w:type="dxa"/>
            <w:vAlign w:val="bottom"/>
            <w:tcBorders>
              <w:bottom w:val="single" w:sz="8" w:color="auto"/>
            </w:tcBorders>
          </w:tcPr>
          <w:p>
            <w:pPr>
              <w:jc w:val="right"/>
              <w:ind w:right="561"/>
              <w:spacing w:after="0"/>
              <w:rPr>
                <w:sz w:val="20"/>
                <w:szCs w:val="20"/>
                <w:color w:val="auto"/>
              </w:rPr>
            </w:pPr>
            <w:r>
              <w:rPr>
                <w:rFonts w:ascii="Arial" w:cs="Arial" w:eastAsia="Arial" w:hAnsi="Arial"/>
                <w:sz w:val="14"/>
                <w:szCs w:val="14"/>
                <w:color w:val="auto"/>
              </w:rPr>
              <w:t>Equity</w:t>
            </w:r>
          </w:p>
        </w:tc>
        <w:tc>
          <w:tcPr>
            <w:tcW w:w="1160" w:type="dxa"/>
            <w:vAlign w:val="bottom"/>
            <w:tcBorders>
              <w:bottom w:val="single" w:sz="8" w:color="auto"/>
            </w:tcBorders>
          </w:tcPr>
          <w:p>
            <w:pPr>
              <w:jc w:val="center"/>
              <w:ind w:left="482"/>
              <w:spacing w:after="0"/>
              <w:rPr>
                <w:sz w:val="20"/>
                <w:szCs w:val="20"/>
                <w:color w:val="auto"/>
              </w:rPr>
            </w:pPr>
            <w:r>
              <w:rPr>
                <w:rFonts w:ascii="Arial" w:cs="Arial" w:eastAsia="Arial" w:hAnsi="Arial"/>
                <w:sz w:val="14"/>
                <w:szCs w:val="14"/>
                <w:color w:val="auto"/>
                <w:w w:val="99"/>
              </w:rPr>
              <w:t>Equity(1)</w:t>
            </w:r>
          </w:p>
        </w:tc>
        <w:tc>
          <w:tcPr>
            <w:tcW w:w="3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center"/>
              <w:ind w:right="361"/>
              <w:spacing w:after="0"/>
              <w:rPr>
                <w:sz w:val="20"/>
                <w:szCs w:val="20"/>
                <w:color w:val="auto"/>
              </w:rPr>
            </w:pPr>
            <w:r>
              <w:rPr>
                <w:rFonts w:ascii="Arial" w:cs="Arial" w:eastAsia="Arial" w:hAnsi="Arial"/>
                <w:sz w:val="14"/>
                <w:szCs w:val="14"/>
                <w:color w:val="auto"/>
              </w:rPr>
              <w:t>Interests</w:t>
            </w:r>
          </w:p>
        </w:tc>
        <w:tc>
          <w:tcPr>
            <w:tcW w:w="1000" w:type="dxa"/>
            <w:vAlign w:val="bottom"/>
            <w:tcBorders>
              <w:bottom w:val="single" w:sz="8" w:color="auto"/>
            </w:tcBorders>
          </w:tcPr>
          <w:p>
            <w:pPr>
              <w:jc w:val="right"/>
              <w:ind w:right="340"/>
              <w:spacing w:after="0"/>
              <w:rPr>
                <w:sz w:val="20"/>
                <w:szCs w:val="20"/>
                <w:color w:val="auto"/>
              </w:rPr>
            </w:pPr>
            <w:r>
              <w:rPr>
                <w:rFonts w:ascii="Arial" w:cs="Arial" w:eastAsia="Arial" w:hAnsi="Arial"/>
                <w:sz w:val="14"/>
                <w:szCs w:val="14"/>
                <w:color w:val="auto"/>
              </w:rPr>
              <w:t>Equity</w:t>
            </w:r>
          </w:p>
        </w:tc>
      </w:tr>
      <w:tr>
        <w:trPr>
          <w:trHeight w:val="164"/>
        </w:trPr>
        <w:tc>
          <w:tcPr>
            <w:tcW w:w="20" w:type="dxa"/>
            <w:vAlign w:val="bottom"/>
          </w:tcPr>
          <w:p>
            <w:pPr>
              <w:spacing w:after="0"/>
              <w:rPr>
                <w:sz w:val="14"/>
                <w:szCs w:val="14"/>
                <w:color w:val="auto"/>
              </w:rPr>
            </w:pPr>
          </w:p>
        </w:tc>
        <w:tc>
          <w:tcPr>
            <w:tcW w:w="3540" w:type="dxa"/>
            <w:vAlign w:val="bottom"/>
          </w:tcPr>
          <w:p>
            <w:pPr>
              <w:spacing w:after="0" w:line="164" w:lineRule="exact"/>
              <w:rPr>
                <w:sz w:val="20"/>
                <w:szCs w:val="20"/>
                <w:color w:val="auto"/>
              </w:rPr>
            </w:pPr>
            <w:r>
              <w:rPr>
                <w:rFonts w:ascii="Arial" w:cs="Arial" w:eastAsia="Arial" w:hAnsi="Arial"/>
                <w:sz w:val="16"/>
                <w:szCs w:val="16"/>
                <w:b w:val="1"/>
                <w:bCs w:val="1"/>
                <w:color w:val="auto"/>
              </w:rPr>
              <w:t>Sempra Energy Consolidated:</w:t>
            </w:r>
          </w:p>
        </w:tc>
        <w:tc>
          <w:tcPr>
            <w:tcW w:w="9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76"/>
        </w:trPr>
        <w:tc>
          <w:tcPr>
            <w:tcW w:w="20" w:type="dxa"/>
            <w:vAlign w:val="bottom"/>
          </w:tcPr>
          <w:p>
            <w:pPr>
              <w:spacing w:after="0"/>
              <w:rPr>
                <w:sz w:val="15"/>
                <w:szCs w:val="15"/>
                <w:color w:val="auto"/>
              </w:rPr>
            </w:pPr>
          </w:p>
        </w:tc>
        <w:tc>
          <w:tcPr>
            <w:tcW w:w="3540" w:type="dxa"/>
            <w:vAlign w:val="bottom"/>
          </w:tcPr>
          <w:p>
            <w:pPr>
              <w:ind w:left="160"/>
              <w:spacing w:after="0" w:line="176" w:lineRule="exact"/>
              <w:rPr>
                <w:sz w:val="20"/>
                <w:szCs w:val="20"/>
                <w:color w:val="auto"/>
              </w:rPr>
            </w:pPr>
            <w:r>
              <w:rPr>
                <w:rFonts w:ascii="Arial" w:cs="Arial" w:eastAsia="Arial" w:hAnsi="Arial"/>
                <w:sz w:val="16"/>
                <w:szCs w:val="16"/>
                <w:color w:val="auto"/>
              </w:rPr>
              <w:t>Net income (loss)(2)</w:t>
            </w:r>
          </w:p>
        </w:tc>
        <w:tc>
          <w:tcPr>
            <w:tcW w:w="900" w:type="dxa"/>
            <w:vAlign w:val="bottom"/>
          </w:tcPr>
          <w:p>
            <w:pPr>
              <w:jc w:val="right"/>
              <w:ind w:right="722"/>
              <w:spacing w:after="0" w:line="176" w:lineRule="exact"/>
              <w:rPr>
                <w:sz w:val="20"/>
                <w:szCs w:val="20"/>
                <w:color w:val="auto"/>
              </w:rPr>
            </w:pPr>
            <w:r>
              <w:rPr>
                <w:rFonts w:ascii="Arial" w:cs="Arial" w:eastAsia="Arial" w:hAnsi="Arial"/>
                <w:sz w:val="16"/>
                <w:szCs w:val="16"/>
                <w:color w:val="auto"/>
                <w:w w:val="89"/>
              </w:rPr>
              <w:t>$</w:t>
            </w:r>
          </w:p>
        </w:tc>
        <w:tc>
          <w:tcPr>
            <w:tcW w:w="320" w:type="dxa"/>
            <w:vAlign w:val="bottom"/>
          </w:tcPr>
          <w:p>
            <w:pPr>
              <w:jc w:val="right"/>
              <w:spacing w:after="0" w:line="176" w:lineRule="exact"/>
              <w:rPr>
                <w:sz w:val="20"/>
                <w:szCs w:val="20"/>
                <w:color w:val="auto"/>
              </w:rPr>
            </w:pPr>
            <w:r>
              <w:rPr>
                <w:rFonts w:ascii="Arial" w:cs="Arial" w:eastAsia="Arial" w:hAnsi="Arial"/>
                <w:sz w:val="16"/>
                <w:szCs w:val="16"/>
                <w:color w:val="auto"/>
                <w:w w:val="97"/>
              </w:rPr>
              <w:t>774</w:t>
            </w:r>
          </w:p>
        </w:tc>
        <w:tc>
          <w:tcPr>
            <w:tcW w:w="180" w:type="dxa"/>
            <w:vAlign w:val="bottom"/>
          </w:tcPr>
          <w:p>
            <w:pPr>
              <w:jc w:val="right"/>
              <w:ind w:right="24"/>
              <w:spacing w:after="0"/>
              <w:rPr>
                <w:sz w:val="20"/>
                <w:szCs w:val="20"/>
                <w:color w:val="auto"/>
              </w:rPr>
            </w:pPr>
            <w:r>
              <w:rPr>
                <w:rFonts w:ascii="Arial" w:cs="Arial" w:eastAsia="Arial" w:hAnsi="Arial"/>
                <w:sz w:val="15"/>
                <w:szCs w:val="15"/>
                <w:color w:val="auto"/>
                <w:w w:val="71"/>
              </w:rPr>
              <w:t>$</w:t>
            </w:r>
          </w:p>
        </w:tc>
        <w:tc>
          <w:tcPr>
            <w:tcW w:w="1300" w:type="dxa"/>
            <w:vAlign w:val="bottom"/>
          </w:tcPr>
          <w:p>
            <w:pPr>
              <w:jc w:val="right"/>
              <w:ind w:right="81"/>
              <w:spacing w:after="0" w:line="176" w:lineRule="exact"/>
              <w:rPr>
                <w:sz w:val="20"/>
                <w:szCs w:val="20"/>
                <w:color w:val="auto"/>
              </w:rPr>
            </w:pPr>
            <w:r>
              <w:rPr>
                <w:rFonts w:ascii="Arial" w:cs="Arial" w:eastAsia="Arial" w:hAnsi="Arial"/>
                <w:sz w:val="16"/>
                <w:szCs w:val="16"/>
                <w:color w:val="auto"/>
              </w:rPr>
              <w:t>(8)$</w:t>
            </w:r>
          </w:p>
        </w:tc>
        <w:tc>
          <w:tcPr>
            <w:tcW w:w="1200" w:type="dxa"/>
            <w:vAlign w:val="bottom"/>
          </w:tcPr>
          <w:p>
            <w:pPr>
              <w:jc w:val="right"/>
              <w:ind w:right="201"/>
              <w:spacing w:after="0" w:line="176" w:lineRule="exact"/>
              <w:rPr>
                <w:sz w:val="20"/>
                <w:szCs w:val="20"/>
                <w:color w:val="auto"/>
              </w:rPr>
            </w:pPr>
            <w:r>
              <w:rPr>
                <w:rFonts w:ascii="Arial" w:cs="Arial" w:eastAsia="Arial" w:hAnsi="Arial"/>
                <w:sz w:val="16"/>
                <w:szCs w:val="16"/>
                <w:color w:val="auto"/>
              </w:rPr>
              <w:t>766</w:t>
            </w:r>
          </w:p>
        </w:tc>
        <w:tc>
          <w:tcPr>
            <w:tcW w:w="1160" w:type="dxa"/>
            <w:vAlign w:val="bottom"/>
          </w:tcPr>
          <w:p>
            <w:pPr>
              <w:jc w:val="right"/>
              <w:ind w:right="742"/>
              <w:spacing w:after="0" w:line="176" w:lineRule="exact"/>
              <w:rPr>
                <w:sz w:val="20"/>
                <w:szCs w:val="20"/>
                <w:color w:val="auto"/>
              </w:rPr>
            </w:pPr>
            <w:r>
              <w:rPr>
                <w:rFonts w:ascii="Arial" w:cs="Arial" w:eastAsia="Arial" w:hAnsi="Arial"/>
                <w:sz w:val="16"/>
                <w:szCs w:val="16"/>
                <w:color w:val="auto"/>
              </w:rPr>
              <w:t>$</w:t>
            </w:r>
          </w:p>
        </w:tc>
        <w:tc>
          <w:tcPr>
            <w:tcW w:w="320" w:type="dxa"/>
            <w:vAlign w:val="bottom"/>
          </w:tcPr>
          <w:p>
            <w:pPr>
              <w:jc w:val="right"/>
              <w:spacing w:after="0" w:line="176" w:lineRule="exact"/>
              <w:rPr>
                <w:sz w:val="20"/>
                <w:szCs w:val="20"/>
                <w:color w:val="auto"/>
              </w:rPr>
            </w:pPr>
            <w:r>
              <w:rPr>
                <w:rFonts w:ascii="Arial" w:cs="Arial" w:eastAsia="Arial" w:hAnsi="Arial"/>
                <w:sz w:val="16"/>
                <w:szCs w:val="16"/>
                <w:color w:val="auto"/>
                <w:w w:val="97"/>
              </w:rPr>
              <w:t>333</w:t>
            </w:r>
          </w:p>
        </w:tc>
        <w:tc>
          <w:tcPr>
            <w:tcW w:w="180" w:type="dxa"/>
            <w:vAlign w:val="bottom"/>
          </w:tcPr>
          <w:p>
            <w:pPr>
              <w:jc w:val="right"/>
              <w:ind w:right="24"/>
              <w:spacing w:after="0"/>
              <w:rPr>
                <w:sz w:val="20"/>
                <w:szCs w:val="20"/>
                <w:color w:val="auto"/>
              </w:rPr>
            </w:pPr>
            <w:r>
              <w:rPr>
                <w:rFonts w:ascii="Arial" w:cs="Arial" w:eastAsia="Arial" w:hAnsi="Arial"/>
                <w:sz w:val="15"/>
                <w:szCs w:val="15"/>
                <w:color w:val="auto"/>
                <w:w w:val="71"/>
              </w:rPr>
              <w:t>$</w:t>
            </w:r>
          </w:p>
        </w:tc>
        <w:tc>
          <w:tcPr>
            <w:tcW w:w="1300" w:type="dxa"/>
            <w:vAlign w:val="bottom"/>
          </w:tcPr>
          <w:p>
            <w:pPr>
              <w:jc w:val="right"/>
              <w:ind w:right="81"/>
              <w:spacing w:after="0" w:line="176" w:lineRule="exact"/>
              <w:rPr>
                <w:sz w:val="20"/>
                <w:szCs w:val="20"/>
                <w:color w:val="auto"/>
              </w:rPr>
            </w:pPr>
            <w:r>
              <w:rPr>
                <w:rFonts w:ascii="Arial" w:cs="Arial" w:eastAsia="Arial" w:hAnsi="Arial"/>
                <w:sz w:val="16"/>
                <w:szCs w:val="16"/>
                <w:color w:val="auto"/>
              </w:rPr>
              <w:t>(28)$</w:t>
            </w:r>
          </w:p>
        </w:tc>
        <w:tc>
          <w:tcPr>
            <w:tcW w:w="1000" w:type="dxa"/>
            <w:vAlign w:val="bottom"/>
          </w:tcPr>
          <w:p>
            <w:pPr>
              <w:jc w:val="right"/>
              <w:spacing w:after="0" w:line="176" w:lineRule="exact"/>
              <w:rPr>
                <w:sz w:val="20"/>
                <w:szCs w:val="20"/>
                <w:color w:val="auto"/>
              </w:rPr>
            </w:pPr>
            <w:r>
              <w:rPr>
                <w:rFonts w:ascii="Arial" w:cs="Arial" w:eastAsia="Arial" w:hAnsi="Arial"/>
                <w:sz w:val="16"/>
                <w:szCs w:val="16"/>
                <w:color w:val="auto"/>
              </w:rPr>
              <w:t>305</w:t>
            </w:r>
          </w:p>
        </w:tc>
      </w:tr>
      <w:tr>
        <w:trPr>
          <w:trHeight w:val="176"/>
        </w:trPr>
        <w:tc>
          <w:tcPr>
            <w:tcW w:w="20" w:type="dxa"/>
            <w:vAlign w:val="bottom"/>
          </w:tcPr>
          <w:p>
            <w:pPr>
              <w:spacing w:after="0"/>
              <w:rPr>
                <w:sz w:val="15"/>
                <w:szCs w:val="15"/>
                <w:color w:val="auto"/>
              </w:rPr>
            </w:pPr>
          </w:p>
        </w:tc>
        <w:tc>
          <w:tcPr>
            <w:tcW w:w="3540" w:type="dxa"/>
            <w:vAlign w:val="bottom"/>
          </w:tcPr>
          <w:p>
            <w:pPr>
              <w:ind w:left="160"/>
              <w:spacing w:after="0" w:line="176" w:lineRule="exact"/>
              <w:rPr>
                <w:sz w:val="20"/>
                <w:szCs w:val="20"/>
                <w:color w:val="auto"/>
              </w:rPr>
            </w:pPr>
            <w:r>
              <w:rPr>
                <w:rFonts w:ascii="Arial" w:cs="Arial" w:eastAsia="Arial" w:hAnsi="Arial"/>
                <w:sz w:val="16"/>
                <w:szCs w:val="16"/>
                <w:color w:val="auto"/>
              </w:rPr>
              <w:t>Foreign currency translation</w:t>
            </w:r>
          </w:p>
        </w:tc>
        <w:tc>
          <w:tcPr>
            <w:tcW w:w="9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6"/>
        </w:trPr>
        <w:tc>
          <w:tcPr>
            <w:tcW w:w="20" w:type="dxa"/>
            <w:vAlign w:val="bottom"/>
          </w:tcPr>
          <w:p>
            <w:pPr>
              <w:spacing w:after="0"/>
              <w:rPr>
                <w:sz w:val="15"/>
                <w:szCs w:val="15"/>
                <w:color w:val="auto"/>
              </w:rPr>
            </w:pPr>
          </w:p>
        </w:tc>
        <w:tc>
          <w:tcPr>
            <w:tcW w:w="3540" w:type="dxa"/>
            <w:vAlign w:val="bottom"/>
          </w:tcPr>
          <w:p>
            <w:pPr>
              <w:ind w:left="340"/>
              <w:spacing w:after="0" w:line="176" w:lineRule="exact"/>
              <w:rPr>
                <w:sz w:val="20"/>
                <w:szCs w:val="20"/>
                <w:color w:val="auto"/>
              </w:rPr>
            </w:pPr>
            <w:r>
              <w:rPr>
                <w:rFonts w:ascii="Arial" w:cs="Arial" w:eastAsia="Arial" w:hAnsi="Arial"/>
                <w:sz w:val="16"/>
                <w:szCs w:val="16"/>
                <w:color w:val="auto"/>
              </w:rPr>
              <w:t>adjustments</w:t>
            </w:r>
          </w:p>
        </w:tc>
        <w:tc>
          <w:tcPr>
            <w:tcW w:w="900" w:type="dxa"/>
            <w:vAlign w:val="bottom"/>
          </w:tcPr>
          <w:p>
            <w:pPr>
              <w:spacing w:after="0"/>
              <w:rPr>
                <w:sz w:val="15"/>
                <w:szCs w:val="15"/>
                <w:color w:val="auto"/>
              </w:rPr>
            </w:pPr>
          </w:p>
        </w:tc>
        <w:tc>
          <w:tcPr>
            <w:tcW w:w="320" w:type="dxa"/>
            <w:vAlign w:val="bottom"/>
          </w:tcPr>
          <w:p>
            <w:pPr>
              <w:jc w:val="right"/>
              <w:spacing w:after="0" w:line="176" w:lineRule="exact"/>
              <w:rPr>
                <w:sz w:val="20"/>
                <w:szCs w:val="20"/>
                <w:color w:val="auto"/>
              </w:rPr>
            </w:pPr>
            <w:r>
              <w:rPr>
                <w:rFonts w:ascii="Arial" w:cs="Arial" w:eastAsia="Arial" w:hAnsi="Arial"/>
                <w:sz w:val="16"/>
                <w:szCs w:val="16"/>
                <w:color w:val="auto"/>
              </w:rPr>
              <w:t>23</w:t>
            </w:r>
          </w:p>
        </w:tc>
        <w:tc>
          <w:tcPr>
            <w:tcW w:w="180" w:type="dxa"/>
            <w:vAlign w:val="bottom"/>
          </w:tcPr>
          <w:p>
            <w:pPr>
              <w:spacing w:after="0"/>
              <w:rPr>
                <w:sz w:val="15"/>
                <w:szCs w:val="15"/>
                <w:color w:val="auto"/>
              </w:rPr>
            </w:pPr>
          </w:p>
        </w:tc>
        <w:tc>
          <w:tcPr>
            <w:tcW w:w="1300" w:type="dxa"/>
            <w:vAlign w:val="bottom"/>
          </w:tcPr>
          <w:p>
            <w:pPr>
              <w:jc w:val="right"/>
              <w:ind w:right="221"/>
              <w:spacing w:after="0" w:line="176" w:lineRule="exact"/>
              <w:rPr>
                <w:sz w:val="20"/>
                <w:szCs w:val="20"/>
                <w:color w:val="auto"/>
              </w:rPr>
            </w:pPr>
            <w:r>
              <w:rPr>
                <w:rFonts w:ascii="Arial" w:cs="Arial" w:eastAsia="Arial" w:hAnsi="Arial"/>
                <w:sz w:val="16"/>
                <w:szCs w:val="16"/>
                <w:color w:val="auto"/>
              </w:rPr>
              <w:t>6</w:t>
            </w:r>
          </w:p>
        </w:tc>
        <w:tc>
          <w:tcPr>
            <w:tcW w:w="1200" w:type="dxa"/>
            <w:vAlign w:val="bottom"/>
          </w:tcPr>
          <w:p>
            <w:pPr>
              <w:jc w:val="right"/>
              <w:ind w:right="201"/>
              <w:spacing w:after="0" w:line="176" w:lineRule="exact"/>
              <w:rPr>
                <w:sz w:val="20"/>
                <w:szCs w:val="20"/>
                <w:color w:val="auto"/>
              </w:rPr>
            </w:pPr>
            <w:r>
              <w:rPr>
                <w:rFonts w:ascii="Arial" w:cs="Arial" w:eastAsia="Arial" w:hAnsi="Arial"/>
                <w:sz w:val="16"/>
                <w:szCs w:val="16"/>
                <w:color w:val="auto"/>
              </w:rPr>
              <w:t>29</w:t>
            </w:r>
          </w:p>
        </w:tc>
        <w:tc>
          <w:tcPr>
            <w:tcW w:w="1160" w:type="dxa"/>
            <w:vAlign w:val="bottom"/>
          </w:tcPr>
          <w:p>
            <w:pPr>
              <w:spacing w:after="0"/>
              <w:rPr>
                <w:sz w:val="15"/>
                <w:szCs w:val="15"/>
                <w:color w:val="auto"/>
              </w:rPr>
            </w:pPr>
          </w:p>
        </w:tc>
        <w:tc>
          <w:tcPr>
            <w:tcW w:w="320" w:type="dxa"/>
            <w:vAlign w:val="bottom"/>
          </w:tcPr>
          <w:p>
            <w:pPr>
              <w:jc w:val="right"/>
              <w:spacing w:after="0" w:line="176" w:lineRule="exact"/>
              <w:rPr>
                <w:sz w:val="20"/>
                <w:szCs w:val="20"/>
                <w:color w:val="auto"/>
              </w:rPr>
            </w:pPr>
            <w:r>
              <w:rPr>
                <w:rFonts w:ascii="Arial" w:cs="Arial" w:eastAsia="Arial" w:hAnsi="Arial"/>
                <w:sz w:val="16"/>
                <w:szCs w:val="16"/>
                <w:color w:val="auto"/>
              </w:rPr>
              <w:t>(21)</w:t>
            </w:r>
          </w:p>
        </w:tc>
        <w:tc>
          <w:tcPr>
            <w:tcW w:w="180" w:type="dxa"/>
            <w:vAlign w:val="bottom"/>
          </w:tcPr>
          <w:p>
            <w:pPr>
              <w:spacing w:after="0"/>
              <w:rPr>
                <w:sz w:val="15"/>
                <w:szCs w:val="15"/>
                <w:color w:val="auto"/>
              </w:rPr>
            </w:pPr>
          </w:p>
        </w:tc>
        <w:tc>
          <w:tcPr>
            <w:tcW w:w="1300" w:type="dxa"/>
            <w:vAlign w:val="bottom"/>
          </w:tcPr>
          <w:p>
            <w:pPr>
              <w:jc w:val="right"/>
              <w:ind w:right="221"/>
              <w:spacing w:after="0" w:line="176" w:lineRule="exact"/>
              <w:rPr>
                <w:sz w:val="20"/>
                <w:szCs w:val="20"/>
                <w:color w:val="auto"/>
              </w:rPr>
            </w:pPr>
            <w:r>
              <w:rPr>
                <w:rFonts w:ascii="Arial" w:cs="Arial" w:eastAsia="Arial" w:hAnsi="Arial"/>
                <w:sz w:val="16"/>
                <w:szCs w:val="16"/>
                <w:color w:val="auto"/>
              </w:rPr>
              <w:t>―</w:t>
            </w:r>
          </w:p>
        </w:tc>
        <w:tc>
          <w:tcPr>
            <w:tcW w:w="1000" w:type="dxa"/>
            <w:vAlign w:val="bottom"/>
          </w:tcPr>
          <w:p>
            <w:pPr>
              <w:jc w:val="right"/>
              <w:spacing w:after="0" w:line="176" w:lineRule="exact"/>
              <w:rPr>
                <w:sz w:val="20"/>
                <w:szCs w:val="20"/>
                <w:color w:val="auto"/>
              </w:rPr>
            </w:pPr>
            <w:r>
              <w:rPr>
                <w:rFonts w:ascii="Arial" w:cs="Arial" w:eastAsia="Arial" w:hAnsi="Arial"/>
                <w:sz w:val="16"/>
                <w:szCs w:val="16"/>
                <w:color w:val="auto"/>
              </w:rPr>
              <w:t>(21)</w:t>
            </w:r>
          </w:p>
        </w:tc>
      </w:tr>
      <w:tr>
        <w:trPr>
          <w:trHeight w:val="176"/>
        </w:trPr>
        <w:tc>
          <w:tcPr>
            <w:tcW w:w="20" w:type="dxa"/>
            <w:vAlign w:val="bottom"/>
          </w:tcPr>
          <w:p>
            <w:pPr>
              <w:spacing w:after="0"/>
              <w:rPr>
                <w:sz w:val="15"/>
                <w:szCs w:val="15"/>
                <w:color w:val="auto"/>
              </w:rPr>
            </w:pPr>
          </w:p>
        </w:tc>
        <w:tc>
          <w:tcPr>
            <w:tcW w:w="3540" w:type="dxa"/>
            <w:vAlign w:val="bottom"/>
          </w:tcPr>
          <w:p>
            <w:pPr>
              <w:ind w:left="160"/>
              <w:spacing w:after="0" w:line="176" w:lineRule="exact"/>
              <w:rPr>
                <w:sz w:val="20"/>
                <w:szCs w:val="20"/>
                <w:color w:val="auto"/>
              </w:rPr>
            </w:pPr>
            <w:r>
              <w:rPr>
                <w:rFonts w:ascii="Arial" w:cs="Arial" w:eastAsia="Arial" w:hAnsi="Arial"/>
                <w:sz w:val="16"/>
                <w:szCs w:val="16"/>
                <w:color w:val="auto"/>
              </w:rPr>
              <w:t>Reclassification to net income of</w:t>
            </w:r>
          </w:p>
        </w:tc>
        <w:tc>
          <w:tcPr>
            <w:tcW w:w="9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95"/>
        </w:trPr>
        <w:tc>
          <w:tcPr>
            <w:tcW w:w="20" w:type="dxa"/>
            <w:vAlign w:val="bottom"/>
          </w:tcPr>
          <w:p>
            <w:pPr>
              <w:spacing w:after="0"/>
              <w:rPr>
                <w:sz w:val="16"/>
                <w:szCs w:val="16"/>
                <w:color w:val="auto"/>
              </w:rPr>
            </w:pPr>
          </w:p>
        </w:tc>
        <w:tc>
          <w:tcPr>
            <w:tcW w:w="3540" w:type="dxa"/>
            <w:vAlign w:val="bottom"/>
          </w:tcPr>
          <w:p>
            <w:pPr>
              <w:ind w:left="340"/>
              <w:spacing w:after="0"/>
              <w:rPr>
                <w:sz w:val="20"/>
                <w:szCs w:val="20"/>
                <w:color w:val="auto"/>
              </w:rPr>
            </w:pPr>
            <w:r>
              <w:rPr>
                <w:rFonts w:ascii="Arial" w:cs="Arial" w:eastAsia="Arial" w:hAnsi="Arial"/>
                <w:sz w:val="16"/>
                <w:szCs w:val="16"/>
                <w:color w:val="auto"/>
              </w:rPr>
              <w:t>foreign currency translation</w:t>
            </w:r>
          </w:p>
        </w:tc>
        <w:tc>
          <w:tcPr>
            <w:tcW w:w="9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183"/>
        </w:trPr>
        <w:tc>
          <w:tcPr>
            <w:tcW w:w="20" w:type="dxa"/>
            <w:vAlign w:val="bottom"/>
          </w:tcPr>
          <w:p>
            <w:pPr>
              <w:spacing w:after="0"/>
              <w:rPr>
                <w:sz w:val="15"/>
                <w:szCs w:val="15"/>
                <w:color w:val="auto"/>
              </w:rPr>
            </w:pPr>
          </w:p>
        </w:tc>
        <w:tc>
          <w:tcPr>
            <w:tcW w:w="3540" w:type="dxa"/>
            <w:vAlign w:val="bottom"/>
          </w:tcPr>
          <w:p>
            <w:pPr>
              <w:ind w:left="340"/>
              <w:spacing w:after="0"/>
              <w:rPr>
                <w:sz w:val="20"/>
                <w:szCs w:val="20"/>
                <w:color w:val="auto"/>
              </w:rPr>
            </w:pPr>
            <w:r>
              <w:rPr>
                <w:rFonts w:ascii="Arial" w:cs="Arial" w:eastAsia="Arial" w:hAnsi="Arial"/>
                <w:sz w:val="16"/>
                <w:szCs w:val="16"/>
                <w:color w:val="auto"/>
              </w:rPr>
              <w:t>adjustment related to equity</w:t>
            </w:r>
          </w:p>
        </w:tc>
        <w:tc>
          <w:tcPr>
            <w:tcW w:w="9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6"/>
        </w:trPr>
        <w:tc>
          <w:tcPr>
            <w:tcW w:w="20" w:type="dxa"/>
            <w:vAlign w:val="bottom"/>
          </w:tcPr>
          <w:p>
            <w:pPr>
              <w:spacing w:after="0"/>
              <w:rPr>
                <w:sz w:val="15"/>
                <w:szCs w:val="15"/>
                <w:color w:val="auto"/>
              </w:rPr>
            </w:pPr>
          </w:p>
        </w:tc>
        <w:tc>
          <w:tcPr>
            <w:tcW w:w="3540" w:type="dxa"/>
            <w:vAlign w:val="bottom"/>
          </w:tcPr>
          <w:p>
            <w:pPr>
              <w:ind w:left="340"/>
              <w:spacing w:after="0" w:line="176" w:lineRule="exact"/>
              <w:rPr>
                <w:sz w:val="20"/>
                <w:szCs w:val="20"/>
                <w:color w:val="auto"/>
              </w:rPr>
            </w:pPr>
            <w:r>
              <w:rPr>
                <w:rFonts w:ascii="Arial" w:cs="Arial" w:eastAsia="Arial" w:hAnsi="Arial"/>
                <w:sz w:val="16"/>
                <w:szCs w:val="16"/>
                <w:color w:val="auto"/>
              </w:rPr>
              <w:t>method investments(3)</w:t>
            </w:r>
          </w:p>
        </w:tc>
        <w:tc>
          <w:tcPr>
            <w:tcW w:w="900" w:type="dxa"/>
            <w:vAlign w:val="bottom"/>
          </w:tcPr>
          <w:p>
            <w:pPr>
              <w:spacing w:after="0"/>
              <w:rPr>
                <w:sz w:val="15"/>
                <w:szCs w:val="15"/>
                <w:color w:val="auto"/>
              </w:rPr>
            </w:pPr>
          </w:p>
        </w:tc>
        <w:tc>
          <w:tcPr>
            <w:tcW w:w="320" w:type="dxa"/>
            <w:vAlign w:val="bottom"/>
          </w:tcPr>
          <w:p>
            <w:pPr>
              <w:jc w:val="right"/>
              <w:spacing w:after="0" w:line="176" w:lineRule="exact"/>
              <w:rPr>
                <w:sz w:val="20"/>
                <w:szCs w:val="20"/>
                <w:color w:val="auto"/>
              </w:rPr>
            </w:pPr>
            <w:r>
              <w:rPr>
                <w:rFonts w:ascii="Arial" w:cs="Arial" w:eastAsia="Arial" w:hAnsi="Arial"/>
                <w:sz w:val="16"/>
                <w:szCs w:val="16"/>
                <w:color w:val="auto"/>
              </w:rPr>
              <w:t>(54)</w:t>
            </w:r>
          </w:p>
        </w:tc>
        <w:tc>
          <w:tcPr>
            <w:tcW w:w="180" w:type="dxa"/>
            <w:vAlign w:val="bottom"/>
          </w:tcPr>
          <w:p>
            <w:pPr>
              <w:spacing w:after="0"/>
              <w:rPr>
                <w:sz w:val="15"/>
                <w:szCs w:val="15"/>
                <w:color w:val="auto"/>
              </w:rPr>
            </w:pPr>
          </w:p>
        </w:tc>
        <w:tc>
          <w:tcPr>
            <w:tcW w:w="1300" w:type="dxa"/>
            <w:vAlign w:val="bottom"/>
          </w:tcPr>
          <w:p>
            <w:pPr>
              <w:ind w:left="840"/>
              <w:spacing w:after="0" w:line="176" w:lineRule="exact"/>
              <w:rPr>
                <w:sz w:val="20"/>
                <w:szCs w:val="20"/>
                <w:color w:val="auto"/>
              </w:rPr>
            </w:pPr>
            <w:r>
              <w:rPr>
                <w:rFonts w:ascii="Arial" w:cs="Arial" w:eastAsia="Arial" w:hAnsi="Arial"/>
                <w:sz w:val="16"/>
                <w:szCs w:val="16"/>
                <w:color w:val="auto"/>
              </w:rPr>
              <w:t>―</w:t>
            </w:r>
          </w:p>
        </w:tc>
        <w:tc>
          <w:tcPr>
            <w:tcW w:w="1200" w:type="dxa"/>
            <w:vAlign w:val="bottom"/>
          </w:tcPr>
          <w:p>
            <w:pPr>
              <w:jc w:val="right"/>
              <w:ind w:right="141"/>
              <w:spacing w:after="0" w:line="176" w:lineRule="exact"/>
              <w:rPr>
                <w:sz w:val="20"/>
                <w:szCs w:val="20"/>
                <w:color w:val="auto"/>
              </w:rPr>
            </w:pPr>
            <w:r>
              <w:rPr>
                <w:rFonts w:ascii="Arial" w:cs="Arial" w:eastAsia="Arial" w:hAnsi="Arial"/>
                <w:sz w:val="16"/>
                <w:szCs w:val="16"/>
                <w:color w:val="auto"/>
              </w:rPr>
              <w:t>(54)</w:t>
            </w:r>
          </w:p>
        </w:tc>
        <w:tc>
          <w:tcPr>
            <w:tcW w:w="1160" w:type="dxa"/>
            <w:vAlign w:val="bottom"/>
          </w:tcPr>
          <w:p>
            <w:pPr>
              <w:spacing w:after="0"/>
              <w:rPr>
                <w:sz w:val="15"/>
                <w:szCs w:val="15"/>
                <w:color w:val="auto"/>
              </w:rPr>
            </w:pPr>
          </w:p>
        </w:tc>
        <w:tc>
          <w:tcPr>
            <w:tcW w:w="320" w:type="dxa"/>
            <w:vAlign w:val="bottom"/>
          </w:tcPr>
          <w:p>
            <w:pPr>
              <w:jc w:val="right"/>
              <w:spacing w:after="0" w:line="176" w:lineRule="exact"/>
              <w:rPr>
                <w:sz w:val="20"/>
                <w:szCs w:val="20"/>
                <w:color w:val="auto"/>
              </w:rPr>
            </w:pPr>
            <w:r>
              <w:rPr>
                <w:rFonts w:ascii="Arial" w:cs="Arial" w:eastAsia="Arial" w:hAnsi="Arial"/>
                <w:sz w:val="16"/>
                <w:szCs w:val="16"/>
                <w:color w:val="auto"/>
              </w:rPr>
              <w:t>―</w:t>
            </w:r>
          </w:p>
        </w:tc>
        <w:tc>
          <w:tcPr>
            <w:tcW w:w="180" w:type="dxa"/>
            <w:vAlign w:val="bottom"/>
          </w:tcPr>
          <w:p>
            <w:pPr>
              <w:spacing w:after="0"/>
              <w:rPr>
                <w:sz w:val="15"/>
                <w:szCs w:val="15"/>
                <w:color w:val="auto"/>
              </w:rPr>
            </w:pPr>
          </w:p>
        </w:tc>
        <w:tc>
          <w:tcPr>
            <w:tcW w:w="1300" w:type="dxa"/>
            <w:vAlign w:val="bottom"/>
          </w:tcPr>
          <w:p>
            <w:pPr>
              <w:jc w:val="right"/>
              <w:ind w:right="221"/>
              <w:spacing w:after="0" w:line="176" w:lineRule="exact"/>
              <w:rPr>
                <w:sz w:val="20"/>
                <w:szCs w:val="20"/>
                <w:color w:val="auto"/>
              </w:rPr>
            </w:pPr>
            <w:r>
              <w:rPr>
                <w:rFonts w:ascii="Arial" w:cs="Arial" w:eastAsia="Arial" w:hAnsi="Arial"/>
                <w:sz w:val="16"/>
                <w:szCs w:val="16"/>
                <w:color w:val="auto"/>
              </w:rPr>
              <w:t>―</w:t>
            </w:r>
          </w:p>
        </w:tc>
        <w:tc>
          <w:tcPr>
            <w:tcW w:w="1000" w:type="dxa"/>
            <w:vAlign w:val="bottom"/>
          </w:tcPr>
          <w:p>
            <w:pPr>
              <w:jc w:val="right"/>
              <w:spacing w:after="0" w:line="176" w:lineRule="exact"/>
              <w:rPr>
                <w:sz w:val="20"/>
                <w:szCs w:val="20"/>
                <w:color w:val="auto"/>
              </w:rPr>
            </w:pPr>
            <w:r>
              <w:rPr>
                <w:rFonts w:ascii="Arial" w:cs="Arial" w:eastAsia="Arial" w:hAnsi="Arial"/>
                <w:sz w:val="16"/>
                <w:szCs w:val="16"/>
                <w:color w:val="auto"/>
              </w:rPr>
              <w:t>―</w:t>
            </w:r>
          </w:p>
        </w:tc>
      </w:tr>
      <w:tr>
        <w:trPr>
          <w:trHeight w:val="176"/>
        </w:trPr>
        <w:tc>
          <w:tcPr>
            <w:tcW w:w="20" w:type="dxa"/>
            <w:vAlign w:val="bottom"/>
          </w:tcPr>
          <w:p>
            <w:pPr>
              <w:spacing w:after="0"/>
              <w:rPr>
                <w:sz w:val="15"/>
                <w:szCs w:val="15"/>
                <w:color w:val="auto"/>
              </w:rPr>
            </w:pPr>
          </w:p>
        </w:tc>
        <w:tc>
          <w:tcPr>
            <w:tcW w:w="3540" w:type="dxa"/>
            <w:vAlign w:val="bottom"/>
          </w:tcPr>
          <w:p>
            <w:pPr>
              <w:ind w:left="160"/>
              <w:spacing w:after="0" w:line="176" w:lineRule="exact"/>
              <w:rPr>
                <w:sz w:val="20"/>
                <w:szCs w:val="20"/>
                <w:color w:val="auto"/>
              </w:rPr>
            </w:pPr>
            <w:r>
              <w:rPr>
                <w:rFonts w:ascii="Arial" w:cs="Arial" w:eastAsia="Arial" w:hAnsi="Arial"/>
                <w:sz w:val="16"/>
                <w:szCs w:val="16"/>
                <w:color w:val="auto"/>
              </w:rPr>
              <w:t>Financial instruments</w:t>
            </w:r>
          </w:p>
        </w:tc>
        <w:tc>
          <w:tcPr>
            <w:tcW w:w="900" w:type="dxa"/>
            <w:vAlign w:val="bottom"/>
          </w:tcPr>
          <w:p>
            <w:pPr>
              <w:spacing w:after="0"/>
              <w:rPr>
                <w:sz w:val="15"/>
                <w:szCs w:val="15"/>
                <w:color w:val="auto"/>
              </w:rPr>
            </w:pPr>
          </w:p>
        </w:tc>
        <w:tc>
          <w:tcPr>
            <w:tcW w:w="320" w:type="dxa"/>
            <w:vAlign w:val="bottom"/>
          </w:tcPr>
          <w:p>
            <w:pPr>
              <w:jc w:val="right"/>
              <w:spacing w:after="0" w:line="176" w:lineRule="exact"/>
              <w:rPr>
                <w:sz w:val="20"/>
                <w:szCs w:val="20"/>
                <w:color w:val="auto"/>
              </w:rPr>
            </w:pPr>
            <w:r>
              <w:rPr>
                <w:rFonts w:ascii="Arial" w:cs="Arial" w:eastAsia="Arial" w:hAnsi="Arial"/>
                <w:sz w:val="16"/>
                <w:szCs w:val="16"/>
                <w:color w:val="auto"/>
              </w:rPr>
              <w:t>(4)</w:t>
            </w:r>
          </w:p>
        </w:tc>
        <w:tc>
          <w:tcPr>
            <w:tcW w:w="180" w:type="dxa"/>
            <w:vAlign w:val="bottom"/>
          </w:tcPr>
          <w:p>
            <w:pPr>
              <w:spacing w:after="0"/>
              <w:rPr>
                <w:sz w:val="15"/>
                <w:szCs w:val="15"/>
                <w:color w:val="auto"/>
              </w:rPr>
            </w:pPr>
          </w:p>
        </w:tc>
        <w:tc>
          <w:tcPr>
            <w:tcW w:w="1300" w:type="dxa"/>
            <w:vAlign w:val="bottom"/>
          </w:tcPr>
          <w:p>
            <w:pPr>
              <w:jc w:val="right"/>
              <w:ind w:right="181"/>
              <w:spacing w:after="0" w:line="176" w:lineRule="exact"/>
              <w:rPr>
                <w:sz w:val="20"/>
                <w:szCs w:val="20"/>
                <w:color w:val="auto"/>
              </w:rPr>
            </w:pPr>
            <w:r>
              <w:rPr>
                <w:rFonts w:ascii="Arial" w:cs="Arial" w:eastAsia="Arial" w:hAnsi="Arial"/>
                <w:sz w:val="16"/>
                <w:szCs w:val="16"/>
                <w:color w:val="auto"/>
              </w:rPr>
              <w:t>(9)</w:t>
            </w:r>
          </w:p>
        </w:tc>
        <w:tc>
          <w:tcPr>
            <w:tcW w:w="1200" w:type="dxa"/>
            <w:vAlign w:val="bottom"/>
          </w:tcPr>
          <w:p>
            <w:pPr>
              <w:jc w:val="right"/>
              <w:ind w:right="141"/>
              <w:spacing w:after="0" w:line="176" w:lineRule="exact"/>
              <w:rPr>
                <w:sz w:val="20"/>
                <w:szCs w:val="20"/>
                <w:color w:val="auto"/>
              </w:rPr>
            </w:pPr>
            <w:r>
              <w:rPr>
                <w:rFonts w:ascii="Arial" w:cs="Arial" w:eastAsia="Arial" w:hAnsi="Arial"/>
                <w:sz w:val="16"/>
                <w:szCs w:val="16"/>
                <w:color w:val="auto"/>
              </w:rPr>
              <w:t>(13)</w:t>
            </w:r>
          </w:p>
        </w:tc>
        <w:tc>
          <w:tcPr>
            <w:tcW w:w="1160" w:type="dxa"/>
            <w:vAlign w:val="bottom"/>
          </w:tcPr>
          <w:p>
            <w:pPr>
              <w:spacing w:after="0"/>
              <w:rPr>
                <w:sz w:val="15"/>
                <w:szCs w:val="15"/>
                <w:color w:val="auto"/>
              </w:rPr>
            </w:pPr>
          </w:p>
        </w:tc>
        <w:tc>
          <w:tcPr>
            <w:tcW w:w="320" w:type="dxa"/>
            <w:vAlign w:val="bottom"/>
          </w:tcPr>
          <w:p>
            <w:pPr>
              <w:jc w:val="right"/>
              <w:spacing w:after="0" w:line="176" w:lineRule="exact"/>
              <w:rPr>
                <w:sz w:val="20"/>
                <w:szCs w:val="20"/>
                <w:color w:val="auto"/>
              </w:rPr>
            </w:pPr>
            <w:r>
              <w:rPr>
                <w:rFonts w:ascii="Arial" w:cs="Arial" w:eastAsia="Arial" w:hAnsi="Arial"/>
                <w:sz w:val="16"/>
                <w:szCs w:val="16"/>
                <w:color w:val="auto"/>
              </w:rPr>
              <w:t>(9)</w:t>
            </w:r>
          </w:p>
        </w:tc>
        <w:tc>
          <w:tcPr>
            <w:tcW w:w="180" w:type="dxa"/>
            <w:vAlign w:val="bottom"/>
          </w:tcPr>
          <w:p>
            <w:pPr>
              <w:spacing w:after="0"/>
              <w:rPr>
                <w:sz w:val="15"/>
                <w:szCs w:val="15"/>
                <w:color w:val="auto"/>
              </w:rPr>
            </w:pPr>
          </w:p>
        </w:tc>
        <w:tc>
          <w:tcPr>
            <w:tcW w:w="1300" w:type="dxa"/>
            <w:vAlign w:val="bottom"/>
          </w:tcPr>
          <w:p>
            <w:pPr>
              <w:jc w:val="right"/>
              <w:ind w:right="221"/>
              <w:spacing w:after="0" w:line="176" w:lineRule="exact"/>
              <w:rPr>
                <w:sz w:val="20"/>
                <w:szCs w:val="20"/>
                <w:color w:val="auto"/>
              </w:rPr>
            </w:pPr>
            <w:r>
              <w:rPr>
                <w:rFonts w:ascii="Arial" w:cs="Arial" w:eastAsia="Arial" w:hAnsi="Arial"/>
                <w:sz w:val="16"/>
                <w:szCs w:val="16"/>
                <w:color w:val="auto"/>
              </w:rPr>
              <w:t>4</w:t>
            </w:r>
          </w:p>
        </w:tc>
        <w:tc>
          <w:tcPr>
            <w:tcW w:w="1000" w:type="dxa"/>
            <w:vAlign w:val="bottom"/>
          </w:tcPr>
          <w:p>
            <w:pPr>
              <w:jc w:val="right"/>
              <w:spacing w:after="0" w:line="176" w:lineRule="exact"/>
              <w:rPr>
                <w:sz w:val="20"/>
                <w:szCs w:val="20"/>
                <w:color w:val="auto"/>
              </w:rPr>
            </w:pPr>
            <w:r>
              <w:rPr>
                <w:rFonts w:ascii="Arial" w:cs="Arial" w:eastAsia="Arial" w:hAnsi="Arial"/>
                <w:sz w:val="16"/>
                <w:szCs w:val="16"/>
                <w:color w:val="auto"/>
              </w:rPr>
              <w:t>(5)</w:t>
            </w:r>
          </w:p>
        </w:tc>
      </w:tr>
      <w:tr>
        <w:trPr>
          <w:trHeight w:val="176"/>
        </w:trPr>
        <w:tc>
          <w:tcPr>
            <w:tcW w:w="20" w:type="dxa"/>
            <w:vAlign w:val="bottom"/>
          </w:tcPr>
          <w:p>
            <w:pPr>
              <w:spacing w:after="0"/>
              <w:rPr>
                <w:sz w:val="15"/>
                <w:szCs w:val="15"/>
                <w:color w:val="auto"/>
              </w:rPr>
            </w:pPr>
          </w:p>
        </w:tc>
        <w:tc>
          <w:tcPr>
            <w:tcW w:w="3540" w:type="dxa"/>
            <w:vAlign w:val="bottom"/>
          </w:tcPr>
          <w:p>
            <w:pPr>
              <w:ind w:left="160"/>
              <w:spacing w:after="0" w:line="176" w:lineRule="exact"/>
              <w:rPr>
                <w:sz w:val="20"/>
                <w:szCs w:val="20"/>
                <w:color w:val="auto"/>
              </w:rPr>
            </w:pPr>
            <w:r>
              <w:rPr>
                <w:rFonts w:ascii="Arial" w:cs="Arial" w:eastAsia="Arial" w:hAnsi="Arial"/>
                <w:sz w:val="16"/>
                <w:szCs w:val="16"/>
                <w:color w:val="auto"/>
              </w:rPr>
              <w:t>Available-for-sale securities</w:t>
            </w:r>
          </w:p>
        </w:tc>
        <w:tc>
          <w:tcPr>
            <w:tcW w:w="900" w:type="dxa"/>
            <w:vAlign w:val="bottom"/>
          </w:tcPr>
          <w:p>
            <w:pPr>
              <w:spacing w:after="0"/>
              <w:rPr>
                <w:sz w:val="15"/>
                <w:szCs w:val="15"/>
                <w:color w:val="auto"/>
              </w:rPr>
            </w:pPr>
          </w:p>
        </w:tc>
        <w:tc>
          <w:tcPr>
            <w:tcW w:w="320" w:type="dxa"/>
            <w:vAlign w:val="bottom"/>
          </w:tcPr>
          <w:p>
            <w:pPr>
              <w:jc w:val="right"/>
              <w:spacing w:after="0" w:line="176" w:lineRule="exact"/>
              <w:rPr>
                <w:sz w:val="20"/>
                <w:szCs w:val="20"/>
                <w:color w:val="auto"/>
              </w:rPr>
            </w:pPr>
            <w:r>
              <w:rPr>
                <w:rFonts w:ascii="Arial" w:cs="Arial" w:eastAsia="Arial" w:hAnsi="Arial"/>
                <w:sz w:val="16"/>
                <w:szCs w:val="16"/>
                <w:color w:val="auto"/>
              </w:rPr>
              <w:t>―</w:t>
            </w:r>
          </w:p>
        </w:tc>
        <w:tc>
          <w:tcPr>
            <w:tcW w:w="180" w:type="dxa"/>
            <w:vAlign w:val="bottom"/>
          </w:tcPr>
          <w:p>
            <w:pPr>
              <w:spacing w:after="0"/>
              <w:rPr>
                <w:sz w:val="15"/>
                <w:szCs w:val="15"/>
                <w:color w:val="auto"/>
              </w:rPr>
            </w:pPr>
          </w:p>
        </w:tc>
        <w:tc>
          <w:tcPr>
            <w:tcW w:w="1300" w:type="dxa"/>
            <w:vAlign w:val="bottom"/>
          </w:tcPr>
          <w:p>
            <w:pPr>
              <w:ind w:left="840"/>
              <w:spacing w:after="0" w:line="176" w:lineRule="exact"/>
              <w:rPr>
                <w:sz w:val="20"/>
                <w:szCs w:val="20"/>
                <w:color w:val="auto"/>
              </w:rPr>
            </w:pPr>
            <w:r>
              <w:rPr>
                <w:rFonts w:ascii="Arial" w:cs="Arial" w:eastAsia="Arial" w:hAnsi="Arial"/>
                <w:sz w:val="16"/>
                <w:szCs w:val="16"/>
                <w:color w:val="auto"/>
              </w:rPr>
              <w:t>―</w:t>
            </w:r>
          </w:p>
        </w:tc>
        <w:tc>
          <w:tcPr>
            <w:tcW w:w="1200" w:type="dxa"/>
            <w:vAlign w:val="bottom"/>
          </w:tcPr>
          <w:p>
            <w:pPr>
              <w:jc w:val="right"/>
              <w:ind w:right="201"/>
              <w:spacing w:after="0" w:line="176" w:lineRule="exact"/>
              <w:rPr>
                <w:sz w:val="20"/>
                <w:szCs w:val="20"/>
                <w:color w:val="auto"/>
              </w:rPr>
            </w:pPr>
            <w:r>
              <w:rPr>
                <w:rFonts w:ascii="Arial" w:cs="Arial" w:eastAsia="Arial" w:hAnsi="Arial"/>
                <w:sz w:val="16"/>
                <w:szCs w:val="16"/>
                <w:color w:val="auto"/>
              </w:rPr>
              <w:t>―</w:t>
            </w:r>
          </w:p>
        </w:tc>
        <w:tc>
          <w:tcPr>
            <w:tcW w:w="1160" w:type="dxa"/>
            <w:vAlign w:val="bottom"/>
          </w:tcPr>
          <w:p>
            <w:pPr>
              <w:spacing w:after="0"/>
              <w:rPr>
                <w:sz w:val="15"/>
                <w:szCs w:val="15"/>
                <w:color w:val="auto"/>
              </w:rPr>
            </w:pPr>
          </w:p>
        </w:tc>
        <w:tc>
          <w:tcPr>
            <w:tcW w:w="320" w:type="dxa"/>
            <w:vAlign w:val="bottom"/>
          </w:tcPr>
          <w:p>
            <w:pPr>
              <w:jc w:val="right"/>
              <w:spacing w:after="0" w:line="176" w:lineRule="exact"/>
              <w:rPr>
                <w:sz w:val="20"/>
                <w:szCs w:val="20"/>
                <w:color w:val="auto"/>
              </w:rPr>
            </w:pPr>
            <w:r>
              <w:rPr>
                <w:rFonts w:ascii="Arial" w:cs="Arial" w:eastAsia="Arial" w:hAnsi="Arial"/>
                <w:sz w:val="16"/>
                <w:szCs w:val="16"/>
                <w:color w:val="auto"/>
              </w:rPr>
              <w:t>(3)</w:t>
            </w:r>
          </w:p>
        </w:tc>
        <w:tc>
          <w:tcPr>
            <w:tcW w:w="180" w:type="dxa"/>
            <w:vAlign w:val="bottom"/>
          </w:tcPr>
          <w:p>
            <w:pPr>
              <w:spacing w:after="0"/>
              <w:rPr>
                <w:sz w:val="15"/>
                <w:szCs w:val="15"/>
                <w:color w:val="auto"/>
              </w:rPr>
            </w:pPr>
          </w:p>
        </w:tc>
        <w:tc>
          <w:tcPr>
            <w:tcW w:w="1300" w:type="dxa"/>
            <w:vAlign w:val="bottom"/>
          </w:tcPr>
          <w:p>
            <w:pPr>
              <w:jc w:val="right"/>
              <w:ind w:right="221"/>
              <w:spacing w:after="0" w:line="176" w:lineRule="exact"/>
              <w:rPr>
                <w:sz w:val="20"/>
                <w:szCs w:val="20"/>
                <w:color w:val="auto"/>
              </w:rPr>
            </w:pPr>
            <w:r>
              <w:rPr>
                <w:rFonts w:ascii="Arial" w:cs="Arial" w:eastAsia="Arial" w:hAnsi="Arial"/>
                <w:sz w:val="16"/>
                <w:szCs w:val="16"/>
                <w:color w:val="auto"/>
              </w:rPr>
              <w:t>―</w:t>
            </w:r>
          </w:p>
        </w:tc>
        <w:tc>
          <w:tcPr>
            <w:tcW w:w="1000" w:type="dxa"/>
            <w:vAlign w:val="bottom"/>
          </w:tcPr>
          <w:p>
            <w:pPr>
              <w:jc w:val="right"/>
              <w:spacing w:after="0" w:line="176" w:lineRule="exact"/>
              <w:rPr>
                <w:sz w:val="20"/>
                <w:szCs w:val="20"/>
                <w:color w:val="auto"/>
              </w:rPr>
            </w:pPr>
            <w:r>
              <w:rPr>
                <w:rFonts w:ascii="Arial" w:cs="Arial" w:eastAsia="Arial" w:hAnsi="Arial"/>
                <w:sz w:val="16"/>
                <w:szCs w:val="16"/>
                <w:color w:val="auto"/>
              </w:rPr>
              <w:t>(3)</w:t>
            </w:r>
          </w:p>
        </w:tc>
      </w:tr>
      <w:tr>
        <w:trPr>
          <w:trHeight w:val="194"/>
        </w:trPr>
        <w:tc>
          <w:tcPr>
            <w:tcW w:w="20" w:type="dxa"/>
            <w:vAlign w:val="bottom"/>
          </w:tcPr>
          <w:p>
            <w:pPr>
              <w:spacing w:after="0"/>
              <w:rPr>
                <w:sz w:val="16"/>
                <w:szCs w:val="16"/>
                <w:color w:val="auto"/>
              </w:rPr>
            </w:pPr>
          </w:p>
        </w:tc>
        <w:tc>
          <w:tcPr>
            <w:tcW w:w="3540" w:type="dxa"/>
            <w:vAlign w:val="bottom"/>
          </w:tcPr>
          <w:p>
            <w:pPr>
              <w:ind w:left="160"/>
              <w:spacing w:after="0"/>
              <w:rPr>
                <w:sz w:val="20"/>
                <w:szCs w:val="20"/>
                <w:color w:val="auto"/>
              </w:rPr>
            </w:pPr>
            <w:r>
              <w:rPr>
                <w:rFonts w:ascii="Arial" w:cs="Arial" w:eastAsia="Arial" w:hAnsi="Arial"/>
                <w:sz w:val="16"/>
                <w:szCs w:val="16"/>
                <w:color w:val="auto"/>
              </w:rPr>
              <w:t>Net actuarial gain</w:t>
            </w:r>
          </w:p>
        </w:tc>
        <w:tc>
          <w:tcPr>
            <w:tcW w:w="90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w:t>
            </w:r>
          </w:p>
        </w:tc>
        <w:tc>
          <w:tcPr>
            <w:tcW w:w="18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ind w:left="840"/>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tcPr>
          <w:p>
            <w:pPr>
              <w:jc w:val="right"/>
              <w:ind w:right="201"/>
              <w:spacing w:after="0"/>
              <w:rPr>
                <w:sz w:val="20"/>
                <w:szCs w:val="20"/>
                <w:color w:val="auto"/>
              </w:rPr>
            </w:pPr>
            <w:r>
              <w:rPr>
                <w:rFonts w:ascii="Arial" w:cs="Arial" w:eastAsia="Arial" w:hAnsi="Arial"/>
                <w:sz w:val="16"/>
                <w:szCs w:val="16"/>
                <w:color w:val="auto"/>
              </w:rPr>
              <w:t>7</w:t>
            </w:r>
          </w:p>
        </w:tc>
        <w:tc>
          <w:tcPr>
            <w:tcW w:w="116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w:t>
            </w:r>
          </w:p>
        </w:tc>
        <w:tc>
          <w:tcPr>
            <w:tcW w:w="18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221"/>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w:t>
            </w:r>
          </w:p>
        </w:tc>
      </w:tr>
      <w:tr>
        <w:trPr>
          <w:trHeight w:val="183"/>
        </w:trPr>
        <w:tc>
          <w:tcPr>
            <w:tcW w:w="20" w:type="dxa"/>
            <w:vAlign w:val="bottom"/>
          </w:tcPr>
          <w:p>
            <w:pPr>
              <w:spacing w:after="0"/>
              <w:rPr>
                <w:sz w:val="15"/>
                <w:szCs w:val="15"/>
                <w:color w:val="auto"/>
              </w:rPr>
            </w:pPr>
          </w:p>
        </w:tc>
        <w:tc>
          <w:tcPr>
            <w:tcW w:w="3540" w:type="dxa"/>
            <w:vAlign w:val="bottom"/>
            <w:tcBorders>
              <w:bottom w:val="single" w:sz="8" w:color="auto"/>
            </w:tcBorders>
          </w:tcPr>
          <w:p>
            <w:pPr>
              <w:ind w:left="160"/>
              <w:spacing w:after="0" w:line="176" w:lineRule="exact"/>
              <w:rPr>
                <w:sz w:val="20"/>
                <w:szCs w:val="20"/>
                <w:color w:val="auto"/>
              </w:rPr>
            </w:pPr>
            <w:r>
              <w:rPr>
                <w:rFonts w:ascii="Arial" w:cs="Arial" w:eastAsia="Arial" w:hAnsi="Arial"/>
                <w:sz w:val="16"/>
                <w:szCs w:val="16"/>
                <w:color w:val="auto"/>
              </w:rPr>
              <w:t>Comprehensive income (loss)</w:t>
            </w:r>
          </w:p>
        </w:tc>
        <w:tc>
          <w:tcPr>
            <w:tcW w:w="900" w:type="dxa"/>
            <w:vAlign w:val="bottom"/>
            <w:tcBorders>
              <w:bottom w:val="single" w:sz="8" w:color="auto"/>
            </w:tcBorders>
          </w:tcPr>
          <w:p>
            <w:pPr>
              <w:jc w:val="right"/>
              <w:ind w:right="722"/>
              <w:spacing w:after="0" w:line="176" w:lineRule="exact"/>
              <w:rPr>
                <w:sz w:val="20"/>
                <w:szCs w:val="20"/>
                <w:color w:val="auto"/>
              </w:rPr>
            </w:pPr>
            <w:r>
              <w:rPr>
                <w:rFonts w:ascii="Arial" w:cs="Arial" w:eastAsia="Arial" w:hAnsi="Arial"/>
                <w:sz w:val="16"/>
                <w:szCs w:val="16"/>
                <w:color w:val="auto"/>
                <w:w w:val="89"/>
              </w:rPr>
              <w:t>$</w:t>
            </w:r>
          </w:p>
        </w:tc>
        <w:tc>
          <w:tcPr>
            <w:tcW w:w="32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6"/>
                <w:szCs w:val="16"/>
                <w:color w:val="auto"/>
                <w:w w:val="97"/>
              </w:rPr>
              <w:t>746</w:t>
            </w:r>
          </w:p>
        </w:tc>
        <w:tc>
          <w:tcPr>
            <w:tcW w:w="18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auto"/>
                <w:w w:val="71"/>
              </w:rPr>
              <w:t>$</w:t>
            </w:r>
          </w:p>
        </w:tc>
        <w:tc>
          <w:tcPr>
            <w:tcW w:w="1300" w:type="dxa"/>
            <w:vAlign w:val="bottom"/>
            <w:tcBorders>
              <w:bottom w:val="single" w:sz="8" w:color="auto"/>
            </w:tcBorders>
          </w:tcPr>
          <w:p>
            <w:pPr>
              <w:jc w:val="right"/>
              <w:ind w:right="81"/>
              <w:spacing w:after="0" w:line="176" w:lineRule="exact"/>
              <w:rPr>
                <w:sz w:val="20"/>
                <w:szCs w:val="20"/>
                <w:color w:val="auto"/>
              </w:rPr>
            </w:pPr>
            <w:r>
              <w:rPr>
                <w:rFonts w:ascii="Arial" w:cs="Arial" w:eastAsia="Arial" w:hAnsi="Arial"/>
                <w:sz w:val="16"/>
                <w:szCs w:val="16"/>
                <w:color w:val="auto"/>
              </w:rPr>
              <w:t>(11)$</w:t>
            </w:r>
          </w:p>
        </w:tc>
        <w:tc>
          <w:tcPr>
            <w:tcW w:w="1200" w:type="dxa"/>
            <w:vAlign w:val="bottom"/>
            <w:tcBorders>
              <w:bottom w:val="single" w:sz="8" w:color="auto"/>
            </w:tcBorders>
          </w:tcPr>
          <w:p>
            <w:pPr>
              <w:jc w:val="right"/>
              <w:ind w:right="201"/>
              <w:spacing w:after="0" w:line="176" w:lineRule="exact"/>
              <w:rPr>
                <w:sz w:val="20"/>
                <w:szCs w:val="20"/>
                <w:color w:val="auto"/>
              </w:rPr>
            </w:pPr>
            <w:r>
              <w:rPr>
                <w:rFonts w:ascii="Arial" w:cs="Arial" w:eastAsia="Arial" w:hAnsi="Arial"/>
                <w:sz w:val="16"/>
                <w:szCs w:val="16"/>
                <w:color w:val="auto"/>
              </w:rPr>
              <w:t>735</w:t>
            </w:r>
          </w:p>
        </w:tc>
        <w:tc>
          <w:tcPr>
            <w:tcW w:w="1160" w:type="dxa"/>
            <w:vAlign w:val="bottom"/>
            <w:tcBorders>
              <w:bottom w:val="single" w:sz="8" w:color="auto"/>
            </w:tcBorders>
          </w:tcPr>
          <w:p>
            <w:pPr>
              <w:jc w:val="right"/>
              <w:ind w:right="742"/>
              <w:spacing w:after="0" w:line="176" w:lineRule="exact"/>
              <w:rPr>
                <w:sz w:val="20"/>
                <w:szCs w:val="20"/>
                <w:color w:val="auto"/>
              </w:rPr>
            </w:pPr>
            <w:r>
              <w:rPr>
                <w:rFonts w:ascii="Arial" w:cs="Arial" w:eastAsia="Arial" w:hAnsi="Arial"/>
                <w:sz w:val="16"/>
                <w:szCs w:val="16"/>
                <w:color w:val="auto"/>
              </w:rPr>
              <w:t>$</w:t>
            </w:r>
          </w:p>
        </w:tc>
        <w:tc>
          <w:tcPr>
            <w:tcW w:w="32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6"/>
                <w:szCs w:val="16"/>
                <w:color w:val="auto"/>
                <w:w w:val="97"/>
              </w:rPr>
              <w:t>303</w:t>
            </w:r>
          </w:p>
        </w:tc>
        <w:tc>
          <w:tcPr>
            <w:tcW w:w="18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auto"/>
                <w:w w:val="71"/>
              </w:rPr>
              <w:t>$</w:t>
            </w:r>
          </w:p>
        </w:tc>
        <w:tc>
          <w:tcPr>
            <w:tcW w:w="1300" w:type="dxa"/>
            <w:vAlign w:val="bottom"/>
            <w:tcBorders>
              <w:bottom w:val="single" w:sz="8" w:color="auto"/>
            </w:tcBorders>
          </w:tcPr>
          <w:p>
            <w:pPr>
              <w:jc w:val="right"/>
              <w:ind w:right="81"/>
              <w:spacing w:after="0" w:line="176" w:lineRule="exact"/>
              <w:rPr>
                <w:sz w:val="20"/>
                <w:szCs w:val="20"/>
                <w:color w:val="auto"/>
              </w:rPr>
            </w:pPr>
            <w:r>
              <w:rPr>
                <w:rFonts w:ascii="Arial" w:cs="Arial" w:eastAsia="Arial" w:hAnsi="Arial"/>
                <w:sz w:val="16"/>
                <w:szCs w:val="16"/>
                <w:color w:val="auto"/>
              </w:rPr>
              <w:t>(24)$</w:t>
            </w:r>
          </w:p>
        </w:tc>
        <w:tc>
          <w:tcPr>
            <w:tcW w:w="100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6"/>
                <w:szCs w:val="16"/>
                <w:color w:val="auto"/>
              </w:rPr>
              <w:t>279</w:t>
            </w:r>
          </w:p>
        </w:tc>
      </w:tr>
      <w:tr>
        <w:trPr>
          <w:trHeight w:val="164"/>
        </w:trPr>
        <w:tc>
          <w:tcPr>
            <w:tcW w:w="20" w:type="dxa"/>
            <w:vAlign w:val="bottom"/>
          </w:tcPr>
          <w:p>
            <w:pPr>
              <w:spacing w:after="0"/>
              <w:rPr>
                <w:sz w:val="14"/>
                <w:szCs w:val="14"/>
                <w:color w:val="auto"/>
              </w:rPr>
            </w:pPr>
          </w:p>
        </w:tc>
        <w:tc>
          <w:tcPr>
            <w:tcW w:w="3540" w:type="dxa"/>
            <w:vAlign w:val="bottom"/>
          </w:tcPr>
          <w:p>
            <w:pPr>
              <w:spacing w:after="0" w:line="164" w:lineRule="exact"/>
              <w:rPr>
                <w:sz w:val="20"/>
                <w:szCs w:val="20"/>
                <w:color w:val="auto"/>
              </w:rPr>
            </w:pPr>
            <w:r>
              <w:rPr>
                <w:rFonts w:ascii="Arial" w:cs="Arial" w:eastAsia="Arial" w:hAnsi="Arial"/>
                <w:sz w:val="16"/>
                <w:szCs w:val="16"/>
                <w:b w:val="1"/>
                <w:bCs w:val="1"/>
                <w:color w:val="auto"/>
              </w:rPr>
              <w:t>SDG&amp;E:</w:t>
            </w:r>
          </w:p>
        </w:tc>
        <w:tc>
          <w:tcPr>
            <w:tcW w:w="9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76"/>
        </w:trPr>
        <w:tc>
          <w:tcPr>
            <w:tcW w:w="20" w:type="dxa"/>
            <w:vAlign w:val="bottom"/>
          </w:tcPr>
          <w:p>
            <w:pPr>
              <w:spacing w:after="0"/>
              <w:rPr>
                <w:sz w:val="15"/>
                <w:szCs w:val="15"/>
                <w:color w:val="auto"/>
              </w:rPr>
            </w:pPr>
          </w:p>
        </w:tc>
        <w:tc>
          <w:tcPr>
            <w:tcW w:w="3540" w:type="dxa"/>
            <w:vAlign w:val="bottom"/>
          </w:tcPr>
          <w:p>
            <w:pPr>
              <w:ind w:left="160"/>
              <w:spacing w:after="0" w:line="176" w:lineRule="exact"/>
              <w:rPr>
                <w:sz w:val="20"/>
                <w:szCs w:val="20"/>
                <w:color w:val="auto"/>
              </w:rPr>
            </w:pPr>
            <w:r>
              <w:rPr>
                <w:rFonts w:ascii="Arial" w:cs="Arial" w:eastAsia="Arial" w:hAnsi="Arial"/>
                <w:sz w:val="16"/>
                <w:szCs w:val="16"/>
                <w:color w:val="auto"/>
              </w:rPr>
              <w:t>Net income (loss)</w:t>
            </w:r>
          </w:p>
        </w:tc>
        <w:tc>
          <w:tcPr>
            <w:tcW w:w="900" w:type="dxa"/>
            <w:vAlign w:val="bottom"/>
          </w:tcPr>
          <w:p>
            <w:pPr>
              <w:jc w:val="right"/>
              <w:ind w:right="722"/>
              <w:spacing w:after="0" w:line="176" w:lineRule="exact"/>
              <w:rPr>
                <w:sz w:val="20"/>
                <w:szCs w:val="20"/>
                <w:color w:val="auto"/>
              </w:rPr>
            </w:pPr>
            <w:r>
              <w:rPr>
                <w:rFonts w:ascii="Arial" w:cs="Arial" w:eastAsia="Arial" w:hAnsi="Arial"/>
                <w:sz w:val="16"/>
                <w:szCs w:val="16"/>
                <w:color w:val="auto"/>
                <w:w w:val="89"/>
              </w:rPr>
              <w:t>$</w:t>
            </w:r>
          </w:p>
        </w:tc>
        <w:tc>
          <w:tcPr>
            <w:tcW w:w="320" w:type="dxa"/>
            <w:vAlign w:val="bottom"/>
          </w:tcPr>
          <w:p>
            <w:pPr>
              <w:jc w:val="right"/>
              <w:spacing w:after="0" w:line="176" w:lineRule="exact"/>
              <w:rPr>
                <w:sz w:val="20"/>
                <w:szCs w:val="20"/>
                <w:color w:val="auto"/>
              </w:rPr>
            </w:pPr>
            <w:r>
              <w:rPr>
                <w:rFonts w:ascii="Arial" w:cs="Arial" w:eastAsia="Arial" w:hAnsi="Arial"/>
                <w:sz w:val="16"/>
                <w:szCs w:val="16"/>
                <w:color w:val="auto"/>
                <w:w w:val="97"/>
              </w:rPr>
              <w:t>162</w:t>
            </w:r>
          </w:p>
        </w:tc>
        <w:tc>
          <w:tcPr>
            <w:tcW w:w="180" w:type="dxa"/>
            <w:vAlign w:val="bottom"/>
          </w:tcPr>
          <w:p>
            <w:pPr>
              <w:jc w:val="right"/>
              <w:ind w:right="24"/>
              <w:spacing w:after="0"/>
              <w:rPr>
                <w:sz w:val="20"/>
                <w:szCs w:val="20"/>
                <w:color w:val="auto"/>
              </w:rPr>
            </w:pPr>
            <w:r>
              <w:rPr>
                <w:rFonts w:ascii="Arial" w:cs="Arial" w:eastAsia="Arial" w:hAnsi="Arial"/>
                <w:sz w:val="15"/>
                <w:szCs w:val="15"/>
                <w:color w:val="auto"/>
                <w:w w:val="71"/>
              </w:rPr>
              <w:t>$</w:t>
            </w:r>
          </w:p>
        </w:tc>
        <w:tc>
          <w:tcPr>
            <w:tcW w:w="1300" w:type="dxa"/>
            <w:vAlign w:val="bottom"/>
          </w:tcPr>
          <w:p>
            <w:pPr>
              <w:jc w:val="right"/>
              <w:ind w:right="81"/>
              <w:spacing w:after="0" w:line="176" w:lineRule="exact"/>
              <w:rPr>
                <w:sz w:val="20"/>
                <w:szCs w:val="20"/>
                <w:color w:val="auto"/>
              </w:rPr>
            </w:pPr>
            <w:r>
              <w:rPr>
                <w:rFonts w:ascii="Arial" w:cs="Arial" w:eastAsia="Arial" w:hAnsi="Arial"/>
                <w:sz w:val="16"/>
                <w:szCs w:val="16"/>
                <w:color w:val="auto"/>
              </w:rPr>
              <w:t>(15)$</w:t>
            </w:r>
          </w:p>
        </w:tc>
        <w:tc>
          <w:tcPr>
            <w:tcW w:w="1200" w:type="dxa"/>
            <w:vAlign w:val="bottom"/>
          </w:tcPr>
          <w:p>
            <w:pPr>
              <w:jc w:val="right"/>
              <w:ind w:right="201"/>
              <w:spacing w:after="0" w:line="176" w:lineRule="exact"/>
              <w:rPr>
                <w:sz w:val="20"/>
                <w:szCs w:val="20"/>
                <w:color w:val="auto"/>
              </w:rPr>
            </w:pPr>
            <w:r>
              <w:rPr>
                <w:rFonts w:ascii="Arial" w:cs="Arial" w:eastAsia="Arial" w:hAnsi="Arial"/>
                <w:sz w:val="16"/>
                <w:szCs w:val="16"/>
                <w:color w:val="auto"/>
              </w:rPr>
              <w:t>147</w:t>
            </w:r>
          </w:p>
        </w:tc>
        <w:tc>
          <w:tcPr>
            <w:tcW w:w="1160" w:type="dxa"/>
            <w:vAlign w:val="bottom"/>
          </w:tcPr>
          <w:p>
            <w:pPr>
              <w:jc w:val="right"/>
              <w:ind w:right="742"/>
              <w:spacing w:after="0" w:line="176" w:lineRule="exact"/>
              <w:rPr>
                <w:sz w:val="20"/>
                <w:szCs w:val="20"/>
                <w:color w:val="auto"/>
              </w:rPr>
            </w:pPr>
            <w:r>
              <w:rPr>
                <w:rFonts w:ascii="Arial" w:cs="Arial" w:eastAsia="Arial" w:hAnsi="Arial"/>
                <w:sz w:val="16"/>
                <w:szCs w:val="16"/>
                <w:color w:val="auto"/>
              </w:rPr>
              <w:t>$</w:t>
            </w:r>
          </w:p>
        </w:tc>
        <w:tc>
          <w:tcPr>
            <w:tcW w:w="320" w:type="dxa"/>
            <w:vAlign w:val="bottom"/>
          </w:tcPr>
          <w:p>
            <w:pPr>
              <w:jc w:val="right"/>
              <w:spacing w:after="0" w:line="176" w:lineRule="exact"/>
              <w:rPr>
                <w:sz w:val="20"/>
                <w:szCs w:val="20"/>
                <w:color w:val="auto"/>
              </w:rPr>
            </w:pPr>
            <w:r>
              <w:rPr>
                <w:rFonts w:ascii="Arial" w:cs="Arial" w:eastAsia="Arial" w:hAnsi="Arial"/>
                <w:sz w:val="16"/>
                <w:szCs w:val="16"/>
                <w:color w:val="auto"/>
                <w:w w:val="97"/>
              </w:rPr>
              <w:t>160</w:t>
            </w:r>
          </w:p>
        </w:tc>
        <w:tc>
          <w:tcPr>
            <w:tcW w:w="180" w:type="dxa"/>
            <w:vAlign w:val="bottom"/>
          </w:tcPr>
          <w:p>
            <w:pPr>
              <w:jc w:val="right"/>
              <w:ind w:right="24"/>
              <w:spacing w:after="0"/>
              <w:rPr>
                <w:sz w:val="20"/>
                <w:szCs w:val="20"/>
                <w:color w:val="auto"/>
              </w:rPr>
            </w:pPr>
            <w:r>
              <w:rPr>
                <w:rFonts w:ascii="Arial" w:cs="Arial" w:eastAsia="Arial" w:hAnsi="Arial"/>
                <w:sz w:val="15"/>
                <w:szCs w:val="15"/>
                <w:color w:val="auto"/>
                <w:w w:val="71"/>
              </w:rPr>
              <w:t>$</w:t>
            </w:r>
          </w:p>
        </w:tc>
        <w:tc>
          <w:tcPr>
            <w:tcW w:w="1300" w:type="dxa"/>
            <w:vAlign w:val="bottom"/>
          </w:tcPr>
          <w:p>
            <w:pPr>
              <w:jc w:val="right"/>
              <w:ind w:right="81"/>
              <w:spacing w:after="0" w:line="176" w:lineRule="exact"/>
              <w:rPr>
                <w:sz w:val="20"/>
                <w:szCs w:val="20"/>
                <w:color w:val="auto"/>
              </w:rPr>
            </w:pPr>
            <w:r>
              <w:rPr>
                <w:rFonts w:ascii="Arial" w:cs="Arial" w:eastAsia="Arial" w:hAnsi="Arial"/>
                <w:sz w:val="16"/>
                <w:szCs w:val="16"/>
                <w:color w:val="auto"/>
              </w:rPr>
              <w:t>(29)$</w:t>
            </w:r>
          </w:p>
        </w:tc>
        <w:tc>
          <w:tcPr>
            <w:tcW w:w="1000" w:type="dxa"/>
            <w:vAlign w:val="bottom"/>
          </w:tcPr>
          <w:p>
            <w:pPr>
              <w:jc w:val="right"/>
              <w:spacing w:after="0" w:line="176" w:lineRule="exact"/>
              <w:rPr>
                <w:sz w:val="20"/>
                <w:szCs w:val="20"/>
                <w:color w:val="auto"/>
              </w:rPr>
            </w:pPr>
            <w:r>
              <w:rPr>
                <w:rFonts w:ascii="Arial" w:cs="Arial" w:eastAsia="Arial" w:hAnsi="Arial"/>
                <w:sz w:val="16"/>
                <w:szCs w:val="16"/>
                <w:color w:val="auto"/>
              </w:rPr>
              <w:t>131</w:t>
            </w:r>
          </w:p>
        </w:tc>
      </w:tr>
      <w:tr>
        <w:trPr>
          <w:trHeight w:val="176"/>
        </w:trPr>
        <w:tc>
          <w:tcPr>
            <w:tcW w:w="20" w:type="dxa"/>
            <w:vAlign w:val="bottom"/>
          </w:tcPr>
          <w:p>
            <w:pPr>
              <w:spacing w:after="0"/>
              <w:rPr>
                <w:sz w:val="15"/>
                <w:szCs w:val="15"/>
                <w:color w:val="auto"/>
              </w:rPr>
            </w:pPr>
          </w:p>
        </w:tc>
        <w:tc>
          <w:tcPr>
            <w:tcW w:w="3540" w:type="dxa"/>
            <w:vAlign w:val="bottom"/>
          </w:tcPr>
          <w:p>
            <w:pPr>
              <w:ind w:left="160"/>
              <w:spacing w:after="0" w:line="176" w:lineRule="exact"/>
              <w:rPr>
                <w:sz w:val="20"/>
                <w:szCs w:val="20"/>
                <w:color w:val="auto"/>
              </w:rPr>
            </w:pPr>
            <w:r>
              <w:rPr>
                <w:rFonts w:ascii="Arial" w:cs="Arial" w:eastAsia="Arial" w:hAnsi="Arial"/>
                <w:sz w:val="16"/>
                <w:szCs w:val="16"/>
                <w:color w:val="auto"/>
              </w:rPr>
              <w:t>Financial instruments</w:t>
            </w:r>
          </w:p>
        </w:tc>
        <w:tc>
          <w:tcPr>
            <w:tcW w:w="900" w:type="dxa"/>
            <w:vAlign w:val="bottom"/>
          </w:tcPr>
          <w:p>
            <w:pPr>
              <w:spacing w:after="0"/>
              <w:rPr>
                <w:sz w:val="15"/>
                <w:szCs w:val="15"/>
                <w:color w:val="auto"/>
              </w:rPr>
            </w:pPr>
          </w:p>
        </w:tc>
        <w:tc>
          <w:tcPr>
            <w:tcW w:w="320" w:type="dxa"/>
            <w:vAlign w:val="bottom"/>
          </w:tcPr>
          <w:p>
            <w:pPr>
              <w:jc w:val="right"/>
              <w:spacing w:after="0" w:line="176" w:lineRule="exact"/>
              <w:rPr>
                <w:sz w:val="20"/>
                <w:szCs w:val="20"/>
                <w:color w:val="auto"/>
              </w:rPr>
            </w:pPr>
            <w:r>
              <w:rPr>
                <w:rFonts w:ascii="Arial" w:cs="Arial" w:eastAsia="Arial" w:hAnsi="Arial"/>
                <w:sz w:val="16"/>
                <w:szCs w:val="16"/>
                <w:color w:val="auto"/>
              </w:rPr>
              <w:t>―</w:t>
            </w:r>
          </w:p>
        </w:tc>
        <w:tc>
          <w:tcPr>
            <w:tcW w:w="180" w:type="dxa"/>
            <w:vAlign w:val="bottom"/>
          </w:tcPr>
          <w:p>
            <w:pPr>
              <w:spacing w:after="0"/>
              <w:rPr>
                <w:sz w:val="15"/>
                <w:szCs w:val="15"/>
                <w:color w:val="auto"/>
              </w:rPr>
            </w:pPr>
          </w:p>
        </w:tc>
        <w:tc>
          <w:tcPr>
            <w:tcW w:w="1300" w:type="dxa"/>
            <w:vAlign w:val="bottom"/>
          </w:tcPr>
          <w:p>
            <w:pPr>
              <w:jc w:val="right"/>
              <w:ind w:right="181"/>
              <w:spacing w:after="0" w:line="176" w:lineRule="exact"/>
              <w:rPr>
                <w:sz w:val="20"/>
                <w:szCs w:val="20"/>
                <w:color w:val="auto"/>
              </w:rPr>
            </w:pPr>
            <w:r>
              <w:rPr>
                <w:rFonts w:ascii="Arial" w:cs="Arial" w:eastAsia="Arial" w:hAnsi="Arial"/>
                <w:sz w:val="16"/>
                <w:szCs w:val="16"/>
                <w:color w:val="auto"/>
              </w:rPr>
              <w:t>(9)</w:t>
            </w:r>
          </w:p>
        </w:tc>
        <w:tc>
          <w:tcPr>
            <w:tcW w:w="1200" w:type="dxa"/>
            <w:vAlign w:val="bottom"/>
          </w:tcPr>
          <w:p>
            <w:pPr>
              <w:jc w:val="right"/>
              <w:ind w:right="141"/>
              <w:spacing w:after="0" w:line="176" w:lineRule="exact"/>
              <w:rPr>
                <w:sz w:val="20"/>
                <w:szCs w:val="20"/>
                <w:color w:val="auto"/>
              </w:rPr>
            </w:pPr>
            <w:r>
              <w:rPr>
                <w:rFonts w:ascii="Arial" w:cs="Arial" w:eastAsia="Arial" w:hAnsi="Arial"/>
                <w:sz w:val="16"/>
                <w:szCs w:val="16"/>
                <w:color w:val="auto"/>
              </w:rPr>
              <w:t>(9)</w:t>
            </w:r>
          </w:p>
        </w:tc>
        <w:tc>
          <w:tcPr>
            <w:tcW w:w="1160" w:type="dxa"/>
            <w:vAlign w:val="bottom"/>
          </w:tcPr>
          <w:p>
            <w:pPr>
              <w:spacing w:after="0"/>
              <w:rPr>
                <w:sz w:val="15"/>
                <w:szCs w:val="15"/>
                <w:color w:val="auto"/>
              </w:rPr>
            </w:pPr>
          </w:p>
        </w:tc>
        <w:tc>
          <w:tcPr>
            <w:tcW w:w="320" w:type="dxa"/>
            <w:vAlign w:val="bottom"/>
          </w:tcPr>
          <w:p>
            <w:pPr>
              <w:jc w:val="right"/>
              <w:spacing w:after="0" w:line="176" w:lineRule="exact"/>
              <w:rPr>
                <w:sz w:val="20"/>
                <w:szCs w:val="20"/>
                <w:color w:val="auto"/>
              </w:rPr>
            </w:pPr>
            <w:r>
              <w:rPr>
                <w:rFonts w:ascii="Arial" w:cs="Arial" w:eastAsia="Arial" w:hAnsi="Arial"/>
                <w:sz w:val="16"/>
                <w:szCs w:val="16"/>
                <w:color w:val="auto"/>
              </w:rPr>
              <w:t>―</w:t>
            </w:r>
          </w:p>
        </w:tc>
        <w:tc>
          <w:tcPr>
            <w:tcW w:w="180" w:type="dxa"/>
            <w:vAlign w:val="bottom"/>
          </w:tcPr>
          <w:p>
            <w:pPr>
              <w:spacing w:after="0"/>
              <w:rPr>
                <w:sz w:val="15"/>
                <w:szCs w:val="15"/>
                <w:color w:val="auto"/>
              </w:rPr>
            </w:pPr>
          </w:p>
        </w:tc>
        <w:tc>
          <w:tcPr>
            <w:tcW w:w="1300" w:type="dxa"/>
            <w:vAlign w:val="bottom"/>
          </w:tcPr>
          <w:p>
            <w:pPr>
              <w:jc w:val="right"/>
              <w:ind w:right="221"/>
              <w:spacing w:after="0" w:line="176" w:lineRule="exact"/>
              <w:rPr>
                <w:sz w:val="20"/>
                <w:szCs w:val="20"/>
                <w:color w:val="auto"/>
              </w:rPr>
            </w:pPr>
            <w:r>
              <w:rPr>
                <w:rFonts w:ascii="Arial" w:cs="Arial" w:eastAsia="Arial" w:hAnsi="Arial"/>
                <w:sz w:val="16"/>
                <w:szCs w:val="16"/>
                <w:color w:val="auto"/>
              </w:rPr>
              <w:t>4</w:t>
            </w:r>
          </w:p>
        </w:tc>
        <w:tc>
          <w:tcPr>
            <w:tcW w:w="1000" w:type="dxa"/>
            <w:vAlign w:val="bottom"/>
          </w:tcPr>
          <w:p>
            <w:pPr>
              <w:jc w:val="right"/>
              <w:spacing w:after="0" w:line="176" w:lineRule="exact"/>
              <w:rPr>
                <w:sz w:val="20"/>
                <w:szCs w:val="20"/>
                <w:color w:val="auto"/>
              </w:rPr>
            </w:pPr>
            <w:r>
              <w:rPr>
                <w:rFonts w:ascii="Arial" w:cs="Arial" w:eastAsia="Arial" w:hAnsi="Arial"/>
                <w:sz w:val="16"/>
                <w:szCs w:val="16"/>
                <w:color w:val="auto"/>
              </w:rPr>
              <w:t>4</w:t>
            </w:r>
          </w:p>
        </w:tc>
      </w:tr>
      <w:tr>
        <w:trPr>
          <w:trHeight w:val="194"/>
        </w:trPr>
        <w:tc>
          <w:tcPr>
            <w:tcW w:w="20" w:type="dxa"/>
            <w:vAlign w:val="bottom"/>
          </w:tcPr>
          <w:p>
            <w:pPr>
              <w:spacing w:after="0"/>
              <w:rPr>
                <w:sz w:val="16"/>
                <w:szCs w:val="16"/>
                <w:color w:val="auto"/>
              </w:rPr>
            </w:pPr>
          </w:p>
        </w:tc>
        <w:tc>
          <w:tcPr>
            <w:tcW w:w="3540" w:type="dxa"/>
            <w:vAlign w:val="bottom"/>
          </w:tcPr>
          <w:p>
            <w:pPr>
              <w:ind w:left="160"/>
              <w:spacing w:after="0"/>
              <w:rPr>
                <w:sz w:val="20"/>
                <w:szCs w:val="20"/>
                <w:color w:val="auto"/>
              </w:rPr>
            </w:pPr>
            <w:r>
              <w:rPr>
                <w:rFonts w:ascii="Arial" w:cs="Arial" w:eastAsia="Arial" w:hAnsi="Arial"/>
                <w:sz w:val="16"/>
                <w:szCs w:val="16"/>
                <w:color w:val="auto"/>
              </w:rPr>
              <w:t>Net actuarial gain</w:t>
            </w:r>
          </w:p>
        </w:tc>
        <w:tc>
          <w:tcPr>
            <w:tcW w:w="90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ind w:left="840"/>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tcPr>
          <w:p>
            <w:pPr>
              <w:jc w:val="right"/>
              <w:ind w:right="201"/>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18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221"/>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r>
      <w:tr>
        <w:trPr>
          <w:trHeight w:val="183"/>
        </w:trPr>
        <w:tc>
          <w:tcPr>
            <w:tcW w:w="20" w:type="dxa"/>
            <w:vAlign w:val="bottom"/>
          </w:tcPr>
          <w:p>
            <w:pPr>
              <w:spacing w:after="0"/>
              <w:rPr>
                <w:sz w:val="15"/>
                <w:szCs w:val="15"/>
                <w:color w:val="auto"/>
              </w:rPr>
            </w:pPr>
          </w:p>
        </w:tc>
        <w:tc>
          <w:tcPr>
            <w:tcW w:w="3540" w:type="dxa"/>
            <w:vAlign w:val="bottom"/>
            <w:tcBorders>
              <w:bottom w:val="single" w:sz="8" w:color="auto"/>
            </w:tcBorders>
          </w:tcPr>
          <w:p>
            <w:pPr>
              <w:ind w:left="160"/>
              <w:spacing w:after="0" w:line="176" w:lineRule="exact"/>
              <w:rPr>
                <w:sz w:val="20"/>
                <w:szCs w:val="20"/>
                <w:color w:val="auto"/>
              </w:rPr>
            </w:pPr>
            <w:r>
              <w:rPr>
                <w:rFonts w:ascii="Arial" w:cs="Arial" w:eastAsia="Arial" w:hAnsi="Arial"/>
                <w:sz w:val="16"/>
                <w:szCs w:val="16"/>
                <w:color w:val="auto"/>
              </w:rPr>
              <w:t>Comprehensive income (loss)</w:t>
            </w:r>
          </w:p>
        </w:tc>
        <w:tc>
          <w:tcPr>
            <w:tcW w:w="900" w:type="dxa"/>
            <w:vAlign w:val="bottom"/>
            <w:tcBorders>
              <w:bottom w:val="single" w:sz="8" w:color="auto"/>
            </w:tcBorders>
          </w:tcPr>
          <w:p>
            <w:pPr>
              <w:jc w:val="right"/>
              <w:ind w:right="722"/>
              <w:spacing w:after="0" w:line="176" w:lineRule="exact"/>
              <w:rPr>
                <w:sz w:val="20"/>
                <w:szCs w:val="20"/>
                <w:color w:val="auto"/>
              </w:rPr>
            </w:pPr>
            <w:r>
              <w:rPr>
                <w:rFonts w:ascii="Arial" w:cs="Arial" w:eastAsia="Arial" w:hAnsi="Arial"/>
                <w:sz w:val="16"/>
                <w:szCs w:val="16"/>
                <w:color w:val="auto"/>
                <w:w w:val="89"/>
              </w:rPr>
              <w:t>$</w:t>
            </w:r>
          </w:p>
        </w:tc>
        <w:tc>
          <w:tcPr>
            <w:tcW w:w="32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6"/>
                <w:szCs w:val="16"/>
                <w:color w:val="auto"/>
                <w:w w:val="97"/>
              </w:rPr>
              <w:t>162</w:t>
            </w:r>
          </w:p>
        </w:tc>
        <w:tc>
          <w:tcPr>
            <w:tcW w:w="18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auto"/>
                <w:w w:val="71"/>
              </w:rPr>
              <w:t>$</w:t>
            </w:r>
          </w:p>
        </w:tc>
        <w:tc>
          <w:tcPr>
            <w:tcW w:w="1300" w:type="dxa"/>
            <w:vAlign w:val="bottom"/>
            <w:tcBorders>
              <w:bottom w:val="single" w:sz="8" w:color="auto"/>
            </w:tcBorders>
          </w:tcPr>
          <w:p>
            <w:pPr>
              <w:jc w:val="right"/>
              <w:ind w:right="81"/>
              <w:spacing w:after="0" w:line="176" w:lineRule="exact"/>
              <w:rPr>
                <w:sz w:val="20"/>
                <w:szCs w:val="20"/>
                <w:color w:val="auto"/>
              </w:rPr>
            </w:pPr>
            <w:r>
              <w:rPr>
                <w:rFonts w:ascii="Arial" w:cs="Arial" w:eastAsia="Arial" w:hAnsi="Arial"/>
                <w:sz w:val="16"/>
                <w:szCs w:val="16"/>
                <w:color w:val="auto"/>
              </w:rPr>
              <w:t>(24)$</w:t>
            </w:r>
          </w:p>
        </w:tc>
        <w:tc>
          <w:tcPr>
            <w:tcW w:w="1200" w:type="dxa"/>
            <w:vAlign w:val="bottom"/>
            <w:tcBorders>
              <w:bottom w:val="single" w:sz="8" w:color="auto"/>
            </w:tcBorders>
          </w:tcPr>
          <w:p>
            <w:pPr>
              <w:jc w:val="right"/>
              <w:ind w:right="201"/>
              <w:spacing w:after="0" w:line="176" w:lineRule="exact"/>
              <w:rPr>
                <w:sz w:val="20"/>
                <w:szCs w:val="20"/>
                <w:color w:val="auto"/>
              </w:rPr>
            </w:pPr>
            <w:r>
              <w:rPr>
                <w:rFonts w:ascii="Arial" w:cs="Arial" w:eastAsia="Arial" w:hAnsi="Arial"/>
                <w:sz w:val="16"/>
                <w:szCs w:val="16"/>
                <w:color w:val="auto"/>
              </w:rPr>
              <w:t>138</w:t>
            </w:r>
          </w:p>
        </w:tc>
        <w:tc>
          <w:tcPr>
            <w:tcW w:w="1160" w:type="dxa"/>
            <w:vAlign w:val="bottom"/>
            <w:tcBorders>
              <w:bottom w:val="single" w:sz="8" w:color="auto"/>
            </w:tcBorders>
          </w:tcPr>
          <w:p>
            <w:pPr>
              <w:jc w:val="right"/>
              <w:ind w:right="742"/>
              <w:spacing w:after="0" w:line="176" w:lineRule="exact"/>
              <w:rPr>
                <w:sz w:val="20"/>
                <w:szCs w:val="20"/>
                <w:color w:val="auto"/>
              </w:rPr>
            </w:pPr>
            <w:r>
              <w:rPr>
                <w:rFonts w:ascii="Arial" w:cs="Arial" w:eastAsia="Arial" w:hAnsi="Arial"/>
                <w:sz w:val="16"/>
                <w:szCs w:val="16"/>
                <w:color w:val="auto"/>
              </w:rPr>
              <w:t>$</w:t>
            </w:r>
          </w:p>
        </w:tc>
        <w:tc>
          <w:tcPr>
            <w:tcW w:w="32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6"/>
                <w:szCs w:val="16"/>
                <w:color w:val="auto"/>
                <w:w w:val="97"/>
              </w:rPr>
              <w:t>161</w:t>
            </w:r>
          </w:p>
        </w:tc>
        <w:tc>
          <w:tcPr>
            <w:tcW w:w="18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auto"/>
                <w:w w:val="71"/>
              </w:rPr>
              <w:t>$</w:t>
            </w:r>
          </w:p>
        </w:tc>
        <w:tc>
          <w:tcPr>
            <w:tcW w:w="1300" w:type="dxa"/>
            <w:vAlign w:val="bottom"/>
            <w:tcBorders>
              <w:bottom w:val="single" w:sz="8" w:color="auto"/>
            </w:tcBorders>
          </w:tcPr>
          <w:p>
            <w:pPr>
              <w:jc w:val="right"/>
              <w:ind w:right="81"/>
              <w:spacing w:after="0" w:line="176" w:lineRule="exact"/>
              <w:rPr>
                <w:sz w:val="20"/>
                <w:szCs w:val="20"/>
                <w:color w:val="auto"/>
              </w:rPr>
            </w:pPr>
            <w:r>
              <w:rPr>
                <w:rFonts w:ascii="Arial" w:cs="Arial" w:eastAsia="Arial" w:hAnsi="Arial"/>
                <w:sz w:val="16"/>
                <w:szCs w:val="16"/>
                <w:color w:val="auto"/>
              </w:rPr>
              <w:t>(25)$</w:t>
            </w:r>
          </w:p>
        </w:tc>
        <w:tc>
          <w:tcPr>
            <w:tcW w:w="100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6"/>
                <w:szCs w:val="16"/>
                <w:color w:val="auto"/>
              </w:rPr>
              <w:t>136</w:t>
            </w:r>
          </w:p>
        </w:tc>
      </w:tr>
      <w:tr>
        <w:trPr>
          <w:trHeight w:val="164"/>
        </w:trPr>
        <w:tc>
          <w:tcPr>
            <w:tcW w:w="20" w:type="dxa"/>
            <w:vAlign w:val="bottom"/>
          </w:tcPr>
          <w:p>
            <w:pPr>
              <w:spacing w:after="0"/>
              <w:rPr>
                <w:sz w:val="14"/>
                <w:szCs w:val="14"/>
                <w:color w:val="auto"/>
              </w:rPr>
            </w:pPr>
          </w:p>
        </w:tc>
        <w:tc>
          <w:tcPr>
            <w:tcW w:w="3540" w:type="dxa"/>
            <w:vAlign w:val="bottom"/>
          </w:tcPr>
          <w:p>
            <w:pPr>
              <w:spacing w:after="0" w:line="164" w:lineRule="exact"/>
              <w:rPr>
                <w:sz w:val="20"/>
                <w:szCs w:val="20"/>
                <w:color w:val="auto"/>
              </w:rPr>
            </w:pPr>
            <w:r>
              <w:rPr>
                <w:rFonts w:ascii="Arial" w:cs="Arial" w:eastAsia="Arial" w:hAnsi="Arial"/>
                <w:sz w:val="16"/>
                <w:szCs w:val="16"/>
                <w:b w:val="1"/>
                <w:bCs w:val="1"/>
                <w:color w:val="auto"/>
              </w:rPr>
              <w:t>SoCalGas:</w:t>
            </w:r>
          </w:p>
        </w:tc>
        <w:tc>
          <w:tcPr>
            <w:tcW w:w="9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76"/>
        </w:trPr>
        <w:tc>
          <w:tcPr>
            <w:tcW w:w="20" w:type="dxa"/>
            <w:vAlign w:val="bottom"/>
          </w:tcPr>
          <w:p>
            <w:pPr>
              <w:spacing w:after="0"/>
              <w:rPr>
                <w:sz w:val="15"/>
                <w:szCs w:val="15"/>
                <w:color w:val="auto"/>
              </w:rPr>
            </w:pPr>
          </w:p>
        </w:tc>
        <w:tc>
          <w:tcPr>
            <w:tcW w:w="3540" w:type="dxa"/>
            <w:vAlign w:val="bottom"/>
          </w:tcPr>
          <w:p>
            <w:pPr>
              <w:ind w:left="160"/>
              <w:spacing w:after="0" w:line="176" w:lineRule="exact"/>
              <w:rPr>
                <w:sz w:val="20"/>
                <w:szCs w:val="20"/>
                <w:color w:val="auto"/>
              </w:rPr>
            </w:pPr>
            <w:r>
              <w:rPr>
                <w:rFonts w:ascii="Arial" w:cs="Arial" w:eastAsia="Arial" w:hAnsi="Arial"/>
                <w:sz w:val="16"/>
                <w:szCs w:val="16"/>
                <w:color w:val="auto"/>
              </w:rPr>
              <w:t>Net income</w:t>
            </w:r>
          </w:p>
        </w:tc>
        <w:tc>
          <w:tcPr>
            <w:tcW w:w="900" w:type="dxa"/>
            <w:vAlign w:val="bottom"/>
          </w:tcPr>
          <w:p>
            <w:pPr>
              <w:jc w:val="right"/>
              <w:ind w:right="722"/>
              <w:spacing w:after="0" w:line="176" w:lineRule="exact"/>
              <w:rPr>
                <w:sz w:val="20"/>
                <w:szCs w:val="20"/>
                <w:color w:val="auto"/>
              </w:rPr>
            </w:pPr>
            <w:r>
              <w:rPr>
                <w:rFonts w:ascii="Arial" w:cs="Arial" w:eastAsia="Arial" w:hAnsi="Arial"/>
                <w:sz w:val="16"/>
                <w:szCs w:val="16"/>
                <w:color w:val="auto"/>
                <w:w w:val="89"/>
              </w:rPr>
              <w:t>$</w:t>
            </w:r>
          </w:p>
        </w:tc>
        <w:tc>
          <w:tcPr>
            <w:tcW w:w="320" w:type="dxa"/>
            <w:vAlign w:val="bottom"/>
          </w:tcPr>
          <w:p>
            <w:pPr>
              <w:jc w:val="right"/>
              <w:spacing w:after="0" w:line="176" w:lineRule="exact"/>
              <w:rPr>
                <w:sz w:val="20"/>
                <w:szCs w:val="20"/>
                <w:color w:val="auto"/>
              </w:rPr>
            </w:pPr>
            <w:r>
              <w:rPr>
                <w:rFonts w:ascii="Arial" w:cs="Arial" w:eastAsia="Arial" w:hAnsi="Arial"/>
                <w:sz w:val="16"/>
                <w:szCs w:val="16"/>
                <w:color w:val="auto"/>
                <w:w w:val="97"/>
              </w:rPr>
              <w:t>128</w:t>
            </w:r>
          </w:p>
        </w:tc>
        <w:tc>
          <w:tcPr>
            <w:tcW w:w="180" w:type="dxa"/>
            <w:vAlign w:val="bottom"/>
          </w:tcPr>
          <w:p>
            <w:pPr>
              <w:jc w:val="right"/>
              <w:ind w:right="24"/>
              <w:spacing w:after="0"/>
              <w:rPr>
                <w:sz w:val="20"/>
                <w:szCs w:val="20"/>
                <w:color w:val="auto"/>
              </w:rPr>
            </w:pPr>
            <w:r>
              <w:rPr>
                <w:rFonts w:ascii="Arial" w:cs="Arial" w:eastAsia="Arial" w:hAnsi="Arial"/>
                <w:sz w:val="15"/>
                <w:szCs w:val="15"/>
                <w:color w:val="auto"/>
                <w:w w:val="71"/>
              </w:rPr>
              <w:t>$</w:t>
            </w:r>
          </w:p>
        </w:tc>
        <w:tc>
          <w:tcPr>
            <w:tcW w:w="1300" w:type="dxa"/>
            <w:vAlign w:val="bottom"/>
          </w:tcPr>
          <w:p>
            <w:pPr>
              <w:ind w:left="840"/>
              <w:spacing w:after="0" w:line="176" w:lineRule="exact"/>
              <w:rPr>
                <w:sz w:val="20"/>
                <w:szCs w:val="20"/>
                <w:color w:val="auto"/>
              </w:rPr>
            </w:pPr>
            <w:r>
              <w:rPr>
                <w:rFonts w:ascii="Arial" w:cs="Arial" w:eastAsia="Arial" w:hAnsi="Arial"/>
                <w:sz w:val="16"/>
                <w:szCs w:val="16"/>
                <w:color w:val="auto"/>
              </w:rPr>
              <w:t>― $</w:t>
            </w:r>
          </w:p>
        </w:tc>
        <w:tc>
          <w:tcPr>
            <w:tcW w:w="1200" w:type="dxa"/>
            <w:vAlign w:val="bottom"/>
          </w:tcPr>
          <w:p>
            <w:pPr>
              <w:jc w:val="right"/>
              <w:ind w:right="201"/>
              <w:spacing w:after="0" w:line="176" w:lineRule="exact"/>
              <w:rPr>
                <w:sz w:val="20"/>
                <w:szCs w:val="20"/>
                <w:color w:val="auto"/>
              </w:rPr>
            </w:pPr>
            <w:r>
              <w:rPr>
                <w:rFonts w:ascii="Arial" w:cs="Arial" w:eastAsia="Arial" w:hAnsi="Arial"/>
                <w:sz w:val="16"/>
                <w:szCs w:val="16"/>
                <w:color w:val="auto"/>
              </w:rPr>
              <w:t>128</w:t>
            </w:r>
          </w:p>
        </w:tc>
        <w:tc>
          <w:tcPr>
            <w:tcW w:w="1160" w:type="dxa"/>
            <w:vAlign w:val="bottom"/>
          </w:tcPr>
          <w:p>
            <w:pPr>
              <w:jc w:val="right"/>
              <w:ind w:right="742"/>
              <w:spacing w:after="0" w:line="176" w:lineRule="exact"/>
              <w:rPr>
                <w:sz w:val="20"/>
                <w:szCs w:val="20"/>
                <w:color w:val="auto"/>
              </w:rPr>
            </w:pPr>
            <w:r>
              <w:rPr>
                <w:rFonts w:ascii="Arial" w:cs="Arial" w:eastAsia="Arial" w:hAnsi="Arial"/>
                <w:sz w:val="16"/>
                <w:szCs w:val="16"/>
                <w:color w:val="auto"/>
              </w:rPr>
              <w:t>$</w:t>
            </w:r>
          </w:p>
        </w:tc>
        <w:tc>
          <w:tcPr>
            <w:tcW w:w="320" w:type="dxa"/>
            <w:vAlign w:val="bottom"/>
          </w:tcPr>
          <w:p>
            <w:pPr>
              <w:jc w:val="right"/>
              <w:spacing w:after="0" w:line="176" w:lineRule="exact"/>
              <w:rPr>
                <w:sz w:val="20"/>
                <w:szCs w:val="20"/>
                <w:color w:val="auto"/>
              </w:rPr>
            </w:pPr>
            <w:r>
              <w:rPr>
                <w:rFonts w:ascii="Arial" w:cs="Arial" w:eastAsia="Arial" w:hAnsi="Arial"/>
                <w:sz w:val="16"/>
                <w:szCs w:val="16"/>
                <w:color w:val="auto"/>
                <w:w w:val="97"/>
              </w:rPr>
              <w:t>135</w:t>
            </w:r>
          </w:p>
        </w:tc>
        <w:tc>
          <w:tcPr>
            <w:tcW w:w="180" w:type="dxa"/>
            <w:vAlign w:val="bottom"/>
          </w:tcPr>
          <w:p>
            <w:pPr>
              <w:jc w:val="right"/>
              <w:ind w:right="24"/>
              <w:spacing w:after="0"/>
              <w:rPr>
                <w:sz w:val="20"/>
                <w:szCs w:val="20"/>
                <w:color w:val="auto"/>
              </w:rPr>
            </w:pPr>
            <w:r>
              <w:rPr>
                <w:rFonts w:ascii="Arial" w:cs="Arial" w:eastAsia="Arial" w:hAnsi="Arial"/>
                <w:sz w:val="15"/>
                <w:szCs w:val="15"/>
                <w:color w:val="auto"/>
                <w:w w:val="71"/>
              </w:rPr>
              <w:t>$</w:t>
            </w:r>
          </w:p>
        </w:tc>
        <w:tc>
          <w:tcPr>
            <w:tcW w:w="1300" w:type="dxa"/>
            <w:vAlign w:val="bottom"/>
          </w:tcPr>
          <w:p>
            <w:pPr>
              <w:jc w:val="right"/>
              <w:ind w:right="81"/>
              <w:spacing w:after="0" w:line="176" w:lineRule="exact"/>
              <w:rPr>
                <w:sz w:val="20"/>
                <w:szCs w:val="20"/>
                <w:color w:val="auto"/>
              </w:rPr>
            </w:pPr>
            <w:r>
              <w:rPr>
                <w:rFonts w:ascii="Arial" w:cs="Arial" w:eastAsia="Arial" w:hAnsi="Arial"/>
                <w:sz w:val="16"/>
                <w:szCs w:val="16"/>
                <w:color w:val="auto"/>
              </w:rPr>
              <w:t>― $</w:t>
            </w:r>
          </w:p>
        </w:tc>
        <w:tc>
          <w:tcPr>
            <w:tcW w:w="1000" w:type="dxa"/>
            <w:vAlign w:val="bottom"/>
          </w:tcPr>
          <w:p>
            <w:pPr>
              <w:jc w:val="right"/>
              <w:spacing w:after="0" w:line="176" w:lineRule="exact"/>
              <w:rPr>
                <w:sz w:val="20"/>
                <w:szCs w:val="20"/>
                <w:color w:val="auto"/>
              </w:rPr>
            </w:pPr>
            <w:r>
              <w:rPr>
                <w:rFonts w:ascii="Arial" w:cs="Arial" w:eastAsia="Arial" w:hAnsi="Arial"/>
                <w:sz w:val="16"/>
                <w:szCs w:val="16"/>
                <w:color w:val="auto"/>
              </w:rPr>
              <w:t>135</w:t>
            </w:r>
          </w:p>
        </w:tc>
      </w:tr>
      <w:tr>
        <w:trPr>
          <w:trHeight w:val="194"/>
        </w:trPr>
        <w:tc>
          <w:tcPr>
            <w:tcW w:w="20" w:type="dxa"/>
            <w:vAlign w:val="bottom"/>
          </w:tcPr>
          <w:p>
            <w:pPr>
              <w:spacing w:after="0"/>
              <w:rPr>
                <w:sz w:val="16"/>
                <w:szCs w:val="16"/>
                <w:color w:val="auto"/>
              </w:rPr>
            </w:pPr>
          </w:p>
        </w:tc>
        <w:tc>
          <w:tcPr>
            <w:tcW w:w="3540" w:type="dxa"/>
            <w:vAlign w:val="bottom"/>
          </w:tcPr>
          <w:p>
            <w:pPr>
              <w:ind w:left="160"/>
              <w:spacing w:after="0"/>
              <w:rPr>
                <w:sz w:val="20"/>
                <w:szCs w:val="20"/>
                <w:color w:val="auto"/>
              </w:rPr>
            </w:pPr>
            <w:r>
              <w:rPr>
                <w:rFonts w:ascii="Arial" w:cs="Arial" w:eastAsia="Arial" w:hAnsi="Arial"/>
                <w:sz w:val="16"/>
                <w:szCs w:val="16"/>
                <w:color w:val="auto"/>
              </w:rPr>
              <w:t>Financial instruments</w:t>
            </w:r>
          </w:p>
        </w:tc>
        <w:tc>
          <w:tcPr>
            <w:tcW w:w="90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18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ind w:left="840"/>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tcPr>
          <w:p>
            <w:pPr>
              <w:jc w:val="right"/>
              <w:ind w:right="201"/>
              <w:spacing w:after="0"/>
              <w:rPr>
                <w:sz w:val="20"/>
                <w:szCs w:val="20"/>
                <w:color w:val="auto"/>
              </w:rPr>
            </w:pPr>
            <w:r>
              <w:rPr>
                <w:rFonts w:ascii="Arial" w:cs="Arial" w:eastAsia="Arial" w:hAnsi="Arial"/>
                <w:sz w:val="16"/>
                <w:szCs w:val="16"/>
                <w:color w:val="auto"/>
              </w:rPr>
              <w:t>1</w:t>
            </w:r>
          </w:p>
        </w:tc>
        <w:tc>
          <w:tcPr>
            <w:tcW w:w="116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18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221"/>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r>
      <w:tr>
        <w:trPr>
          <w:trHeight w:val="195"/>
        </w:trPr>
        <w:tc>
          <w:tcPr>
            <w:tcW w:w="20" w:type="dxa"/>
            <w:vAlign w:val="bottom"/>
          </w:tcPr>
          <w:p>
            <w:pPr>
              <w:spacing w:after="0"/>
              <w:rPr>
                <w:sz w:val="16"/>
                <w:szCs w:val="16"/>
                <w:color w:val="auto"/>
              </w:rPr>
            </w:pPr>
          </w:p>
        </w:tc>
        <w:tc>
          <w:tcPr>
            <w:tcW w:w="3540" w:type="dxa"/>
            <w:vAlign w:val="bottom"/>
          </w:tcPr>
          <w:p>
            <w:pPr>
              <w:ind w:left="160"/>
              <w:spacing w:after="0"/>
              <w:rPr>
                <w:sz w:val="20"/>
                <w:szCs w:val="20"/>
                <w:color w:val="auto"/>
              </w:rPr>
            </w:pPr>
            <w:r>
              <w:rPr>
                <w:rFonts w:ascii="Arial" w:cs="Arial" w:eastAsia="Arial" w:hAnsi="Arial"/>
                <w:sz w:val="16"/>
                <w:szCs w:val="16"/>
                <w:color w:val="auto"/>
              </w:rPr>
              <w:t>Comprehensive income</w:t>
            </w:r>
          </w:p>
        </w:tc>
        <w:tc>
          <w:tcPr>
            <w:tcW w:w="900" w:type="dxa"/>
            <w:vAlign w:val="bottom"/>
          </w:tcPr>
          <w:p>
            <w:pPr>
              <w:jc w:val="right"/>
              <w:ind w:right="722"/>
              <w:spacing w:after="0"/>
              <w:rPr>
                <w:sz w:val="20"/>
                <w:szCs w:val="20"/>
                <w:color w:val="auto"/>
              </w:rPr>
            </w:pPr>
            <w:r>
              <w:rPr>
                <w:rFonts w:ascii="Arial" w:cs="Arial" w:eastAsia="Arial" w:hAnsi="Arial"/>
                <w:sz w:val="16"/>
                <w:szCs w:val="16"/>
                <w:color w:val="auto"/>
                <w:w w:val="89"/>
              </w:rPr>
              <w:t>$</w:t>
            </w:r>
          </w:p>
        </w:tc>
        <w:tc>
          <w:tcPr>
            <w:tcW w:w="320" w:type="dxa"/>
            <w:vAlign w:val="bottom"/>
          </w:tcPr>
          <w:p>
            <w:pPr>
              <w:jc w:val="right"/>
              <w:spacing w:after="0"/>
              <w:rPr>
                <w:sz w:val="20"/>
                <w:szCs w:val="20"/>
                <w:color w:val="auto"/>
              </w:rPr>
            </w:pPr>
            <w:r>
              <w:rPr>
                <w:rFonts w:ascii="Arial" w:cs="Arial" w:eastAsia="Arial" w:hAnsi="Arial"/>
                <w:sz w:val="16"/>
                <w:szCs w:val="16"/>
                <w:color w:val="auto"/>
                <w:w w:val="97"/>
              </w:rPr>
              <w:t>129</w:t>
            </w:r>
          </w:p>
        </w:tc>
        <w:tc>
          <w:tcPr>
            <w:tcW w:w="180" w:type="dxa"/>
            <w:vAlign w:val="bottom"/>
          </w:tcPr>
          <w:p>
            <w:pPr>
              <w:jc w:val="right"/>
              <w:ind w:right="24"/>
              <w:spacing w:after="0"/>
              <w:rPr>
                <w:sz w:val="20"/>
                <w:szCs w:val="20"/>
                <w:color w:val="auto"/>
              </w:rPr>
            </w:pPr>
            <w:r>
              <w:rPr>
                <w:rFonts w:ascii="Arial" w:cs="Arial" w:eastAsia="Arial" w:hAnsi="Arial"/>
                <w:sz w:val="15"/>
                <w:szCs w:val="15"/>
                <w:color w:val="auto"/>
                <w:w w:val="71"/>
              </w:rPr>
              <w:t>$</w:t>
            </w:r>
          </w:p>
        </w:tc>
        <w:tc>
          <w:tcPr>
            <w:tcW w:w="1300" w:type="dxa"/>
            <w:vAlign w:val="bottom"/>
          </w:tcPr>
          <w:p>
            <w:pPr>
              <w:ind w:left="840"/>
              <w:spacing w:after="0"/>
              <w:rPr>
                <w:sz w:val="20"/>
                <w:szCs w:val="20"/>
                <w:color w:val="auto"/>
              </w:rPr>
            </w:pPr>
            <w:r>
              <w:rPr>
                <w:rFonts w:ascii="Arial" w:cs="Arial" w:eastAsia="Arial" w:hAnsi="Arial"/>
                <w:sz w:val="16"/>
                <w:szCs w:val="16"/>
                <w:color w:val="auto"/>
              </w:rPr>
              <w:t>― $</w:t>
            </w:r>
          </w:p>
        </w:tc>
        <w:tc>
          <w:tcPr>
            <w:tcW w:w="1200" w:type="dxa"/>
            <w:vAlign w:val="bottom"/>
          </w:tcPr>
          <w:p>
            <w:pPr>
              <w:jc w:val="right"/>
              <w:ind w:right="201"/>
              <w:spacing w:after="0"/>
              <w:rPr>
                <w:sz w:val="20"/>
                <w:szCs w:val="20"/>
                <w:color w:val="auto"/>
              </w:rPr>
            </w:pPr>
            <w:r>
              <w:rPr>
                <w:rFonts w:ascii="Arial" w:cs="Arial" w:eastAsia="Arial" w:hAnsi="Arial"/>
                <w:sz w:val="16"/>
                <w:szCs w:val="16"/>
                <w:color w:val="auto"/>
              </w:rPr>
              <w:t>129</w:t>
            </w:r>
          </w:p>
        </w:tc>
        <w:tc>
          <w:tcPr>
            <w:tcW w:w="1160" w:type="dxa"/>
            <w:vAlign w:val="bottom"/>
          </w:tcPr>
          <w:p>
            <w:pPr>
              <w:jc w:val="right"/>
              <w:ind w:right="742"/>
              <w:spacing w:after="0"/>
              <w:rPr>
                <w:sz w:val="20"/>
                <w:szCs w:val="20"/>
                <w:color w:val="auto"/>
              </w:rPr>
            </w:pPr>
            <w:r>
              <w:rPr>
                <w:rFonts w:ascii="Arial" w:cs="Arial" w:eastAsia="Arial" w:hAnsi="Arial"/>
                <w:sz w:val="16"/>
                <w:szCs w:val="16"/>
                <w:color w:val="auto"/>
              </w:rPr>
              <w:t>$</w:t>
            </w:r>
          </w:p>
        </w:tc>
        <w:tc>
          <w:tcPr>
            <w:tcW w:w="320" w:type="dxa"/>
            <w:vAlign w:val="bottom"/>
          </w:tcPr>
          <w:p>
            <w:pPr>
              <w:jc w:val="right"/>
              <w:spacing w:after="0"/>
              <w:rPr>
                <w:sz w:val="20"/>
                <w:szCs w:val="20"/>
                <w:color w:val="auto"/>
              </w:rPr>
            </w:pPr>
            <w:r>
              <w:rPr>
                <w:rFonts w:ascii="Arial" w:cs="Arial" w:eastAsia="Arial" w:hAnsi="Arial"/>
                <w:sz w:val="16"/>
                <w:szCs w:val="16"/>
                <w:color w:val="auto"/>
                <w:w w:val="97"/>
              </w:rPr>
              <w:t>136</w:t>
            </w:r>
          </w:p>
        </w:tc>
        <w:tc>
          <w:tcPr>
            <w:tcW w:w="180" w:type="dxa"/>
            <w:vAlign w:val="bottom"/>
          </w:tcPr>
          <w:p>
            <w:pPr>
              <w:jc w:val="right"/>
              <w:ind w:right="24"/>
              <w:spacing w:after="0"/>
              <w:rPr>
                <w:sz w:val="20"/>
                <w:szCs w:val="20"/>
                <w:color w:val="auto"/>
              </w:rPr>
            </w:pPr>
            <w:r>
              <w:rPr>
                <w:rFonts w:ascii="Arial" w:cs="Arial" w:eastAsia="Arial" w:hAnsi="Arial"/>
                <w:sz w:val="15"/>
                <w:szCs w:val="15"/>
                <w:color w:val="auto"/>
                <w:w w:val="71"/>
              </w:rPr>
              <w:t>$</w:t>
            </w:r>
          </w:p>
        </w:tc>
        <w:tc>
          <w:tcPr>
            <w:tcW w:w="1300" w:type="dxa"/>
            <w:vAlign w:val="bottom"/>
          </w:tcPr>
          <w:p>
            <w:pPr>
              <w:jc w:val="right"/>
              <w:ind w:right="81"/>
              <w:spacing w:after="0"/>
              <w:rPr>
                <w:sz w:val="20"/>
                <w:szCs w:val="20"/>
                <w:color w:val="auto"/>
              </w:rPr>
            </w:pPr>
            <w:r>
              <w:rPr>
                <w:rFonts w:ascii="Arial" w:cs="Arial" w:eastAsia="Arial" w:hAnsi="Arial"/>
                <w:sz w:val="16"/>
                <w:szCs w:val="16"/>
                <w:color w:val="auto"/>
              </w:rPr>
              <w:t>― $</w:t>
            </w:r>
          </w:p>
        </w:tc>
        <w:tc>
          <w:tcPr>
            <w:tcW w:w="1000" w:type="dxa"/>
            <w:vAlign w:val="bottom"/>
          </w:tcPr>
          <w:p>
            <w:pPr>
              <w:jc w:val="right"/>
              <w:spacing w:after="0"/>
              <w:rPr>
                <w:sz w:val="20"/>
                <w:szCs w:val="20"/>
                <w:color w:val="auto"/>
              </w:rPr>
            </w:pPr>
            <w:r>
              <w:rPr>
                <w:rFonts w:ascii="Arial" w:cs="Arial" w:eastAsia="Arial" w:hAnsi="Arial"/>
                <w:sz w:val="16"/>
                <w:szCs w:val="16"/>
                <w:color w:val="auto"/>
              </w:rPr>
              <w:t>136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2466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ind w:left="480" w:hanging="472"/>
        <w:spacing w:after="0"/>
        <w:tabs>
          <w:tab w:leader="none" w:pos="480" w:val="left"/>
        </w:tabs>
        <w:numPr>
          <w:ilvl w:val="0"/>
          <w:numId w:val="11"/>
        </w:numPr>
        <w:rPr>
          <w:rFonts w:ascii="Arial" w:cs="Arial" w:eastAsia="Arial" w:hAnsi="Arial"/>
          <w:sz w:val="14"/>
          <w:szCs w:val="14"/>
          <w:i w:val="1"/>
          <w:iCs w:val="1"/>
          <w:color w:val="auto"/>
        </w:rPr>
      </w:pPr>
      <w:r>
        <w:rPr>
          <w:rFonts w:ascii="Arial" w:cs="Arial" w:eastAsia="Arial" w:hAnsi="Arial"/>
          <w:sz w:val="14"/>
          <w:szCs w:val="14"/>
          <w:i w:val="1"/>
          <w:iCs w:val="1"/>
          <w:color w:val="auto"/>
        </w:rPr>
        <w:t>Shareholders' equity of Sempra Energy Consolidated, SDG&amp;E or SoCalGas as indicated in left margin.</w:t>
      </w:r>
    </w:p>
    <w:p>
      <w:pPr>
        <w:spacing w:after="0" w:line="13" w:lineRule="exact"/>
        <w:rPr>
          <w:rFonts w:ascii="Arial" w:cs="Arial" w:eastAsia="Arial" w:hAnsi="Arial"/>
          <w:sz w:val="14"/>
          <w:szCs w:val="14"/>
          <w:i w:val="1"/>
          <w:iCs w:val="1"/>
          <w:color w:val="auto"/>
        </w:rPr>
      </w:pPr>
    </w:p>
    <w:p>
      <w:pPr>
        <w:ind w:left="480" w:hanging="472"/>
        <w:spacing w:after="0"/>
        <w:tabs>
          <w:tab w:leader="none" w:pos="480" w:val="left"/>
        </w:tabs>
        <w:numPr>
          <w:ilvl w:val="0"/>
          <w:numId w:val="11"/>
        </w:numPr>
        <w:rPr>
          <w:rFonts w:ascii="Arial" w:cs="Arial" w:eastAsia="Arial" w:hAnsi="Arial"/>
          <w:sz w:val="14"/>
          <w:szCs w:val="14"/>
          <w:i w:val="1"/>
          <w:iCs w:val="1"/>
          <w:color w:val="auto"/>
        </w:rPr>
      </w:pPr>
      <w:r>
        <w:rPr>
          <w:rFonts w:ascii="Arial" w:cs="Arial" w:eastAsia="Arial" w:hAnsi="Arial"/>
          <w:sz w:val="14"/>
          <w:szCs w:val="14"/>
          <w:i w:val="1"/>
          <w:iCs w:val="1"/>
          <w:color w:val="auto"/>
        </w:rPr>
        <w:t>Before preferred dividends of subsidiaries.</w:t>
      </w:r>
    </w:p>
    <w:p>
      <w:pPr>
        <w:spacing w:after="0" w:line="1" w:lineRule="exact"/>
        <w:rPr>
          <w:rFonts w:ascii="Arial" w:cs="Arial" w:eastAsia="Arial" w:hAnsi="Arial"/>
          <w:sz w:val="14"/>
          <w:szCs w:val="14"/>
          <w:i w:val="1"/>
          <w:iCs w:val="1"/>
          <w:color w:val="auto"/>
        </w:rPr>
      </w:pPr>
    </w:p>
    <w:p>
      <w:pPr>
        <w:ind w:left="480" w:hanging="472"/>
        <w:spacing w:after="0"/>
        <w:tabs>
          <w:tab w:leader="none" w:pos="480" w:val="left"/>
        </w:tabs>
        <w:numPr>
          <w:ilvl w:val="0"/>
          <w:numId w:val="11"/>
        </w:numPr>
        <w:rPr>
          <w:rFonts w:ascii="Arial" w:cs="Arial" w:eastAsia="Arial" w:hAnsi="Arial"/>
          <w:sz w:val="14"/>
          <w:szCs w:val="14"/>
          <w:i w:val="1"/>
          <w:iCs w:val="1"/>
          <w:color w:val="auto"/>
        </w:rPr>
      </w:pPr>
      <w:r>
        <w:rPr>
          <w:rFonts w:ascii="Arial" w:cs="Arial" w:eastAsia="Arial" w:hAnsi="Arial"/>
          <w:sz w:val="14"/>
          <w:szCs w:val="14"/>
          <w:i w:val="1"/>
          <w:iCs w:val="1"/>
          <w:color w:val="auto"/>
        </w:rPr>
        <w:t>Related to the acquisition of Chilquinta Energía and Luz del Sur.</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color w:val="auto"/>
        </w:rPr>
        <w:t>The amounts for comprehensive income in the tables above are net of income tax expense (benefit) as follows:</w:t>
      </w:r>
    </w:p>
    <w:p>
      <w:pPr>
        <w:spacing w:after="0" w:line="200" w:lineRule="exact"/>
        <w:rPr>
          <w:sz w:val="20"/>
          <w:szCs w:val="20"/>
          <w:color w:val="auto"/>
        </w:rPr>
      </w:pPr>
    </w:p>
    <w:p>
      <w:pPr>
        <w:spacing w:after="0" w:line="265" w:lineRule="exact"/>
        <w:rPr>
          <w:sz w:val="20"/>
          <w:szCs w:val="20"/>
          <w:color w:val="auto"/>
        </w:rPr>
      </w:pPr>
    </w:p>
    <w:p>
      <w:pPr>
        <w:ind w:right="4420"/>
        <w:spacing w:after="0" w:line="252" w:lineRule="auto"/>
        <w:rPr>
          <w:sz w:val="20"/>
          <w:szCs w:val="20"/>
          <w:color w:val="auto"/>
        </w:rPr>
      </w:pPr>
      <w:r>
        <w:rPr>
          <w:rFonts w:ascii="Arial" w:cs="Arial" w:eastAsia="Arial" w:hAnsi="Arial"/>
          <w:sz w:val="16"/>
          <w:szCs w:val="16"/>
          <w:b w:val="1"/>
          <w:bCs w:val="1"/>
          <w:color w:val="auto"/>
        </w:rPr>
        <w:t xml:space="preserve">INCOME TAX EXPENSE (BENEFIT) ASSOCIATED WITH OTHER COMPREHENSIVE INCOME </w:t>
      </w:r>
      <w:r>
        <w:rPr>
          <w:rFonts w:ascii="Arial" w:cs="Arial" w:eastAsia="Arial" w:hAnsi="Arial"/>
          <w:sz w:val="14"/>
          <w:szCs w:val="14"/>
          <w:i w:val="1"/>
          <w:iCs w:val="1"/>
          <w:color w:val="auto"/>
        </w:rPr>
        <w:t>(Dollars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-233045</wp:posOffset>
            </wp:positionV>
            <wp:extent cx="7246620" cy="22288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46620" cy="22288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65"/>
        </w:trPr>
        <w:tc>
          <w:tcPr>
            <w:tcW w:w="20" w:type="dxa"/>
            <w:vAlign w:val="bottom"/>
          </w:tcPr>
          <w:p>
            <w:pPr>
              <w:spacing w:after="0"/>
              <w:rPr>
                <w:sz w:val="14"/>
                <w:szCs w:val="14"/>
                <w:color w:val="auto"/>
              </w:rPr>
            </w:pPr>
          </w:p>
        </w:tc>
        <w:tc>
          <w:tcPr>
            <w:tcW w:w="3900" w:type="dxa"/>
            <w:vAlign w:val="bottom"/>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100" w:type="dxa"/>
            <w:vAlign w:val="bottom"/>
            <w:tcBorders>
              <w:bottom w:val="single" w:sz="8" w:color="auto"/>
            </w:tcBorders>
            <w:gridSpan w:val="2"/>
          </w:tcPr>
          <w:p>
            <w:pPr>
              <w:jc w:val="right"/>
              <w:ind w:right="44"/>
              <w:spacing w:after="0" w:line="159" w:lineRule="exact"/>
              <w:rPr>
                <w:sz w:val="20"/>
                <w:szCs w:val="20"/>
                <w:color w:val="auto"/>
              </w:rPr>
            </w:pPr>
            <w:r>
              <w:rPr>
                <w:rFonts w:ascii="Arial" w:cs="Arial" w:eastAsia="Arial" w:hAnsi="Arial"/>
                <w:sz w:val="14"/>
                <w:szCs w:val="14"/>
                <w:color w:val="auto"/>
              </w:rPr>
              <w:t>Three months ended June 30,</w:t>
            </w:r>
          </w:p>
        </w:tc>
        <w:tc>
          <w:tcPr>
            <w:tcW w:w="3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r>
      <w:tr>
        <w:trPr>
          <w:trHeight w:val="183"/>
        </w:trPr>
        <w:tc>
          <w:tcPr>
            <w:tcW w:w="20" w:type="dxa"/>
            <w:vAlign w:val="bottom"/>
          </w:tcPr>
          <w:p>
            <w:pPr>
              <w:spacing w:after="0"/>
              <w:rPr>
                <w:sz w:val="15"/>
                <w:szCs w:val="15"/>
                <w:color w:val="auto"/>
              </w:rPr>
            </w:pPr>
          </w:p>
        </w:tc>
        <w:tc>
          <w:tcPr>
            <w:tcW w:w="3900" w:type="dxa"/>
            <w:vAlign w:val="bottom"/>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2011</w:t>
            </w:r>
          </w:p>
        </w:tc>
        <w:tc>
          <w:tcPr>
            <w:tcW w:w="34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center"/>
              <w:ind w:left="25"/>
              <w:spacing w:after="0"/>
              <w:rPr>
                <w:sz w:val="20"/>
                <w:szCs w:val="20"/>
                <w:color w:val="auto"/>
              </w:rPr>
            </w:pPr>
            <w:r>
              <w:rPr>
                <w:rFonts w:ascii="Arial" w:cs="Arial" w:eastAsia="Arial" w:hAnsi="Arial"/>
                <w:sz w:val="14"/>
                <w:szCs w:val="14"/>
                <w:color w:val="auto"/>
              </w:rPr>
              <w:t>2010</w:t>
            </w:r>
          </w:p>
        </w:tc>
        <w:tc>
          <w:tcPr>
            <w:tcW w:w="36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r>
      <w:tr>
        <w:trPr>
          <w:trHeight w:val="218"/>
        </w:trPr>
        <w:tc>
          <w:tcPr>
            <w:tcW w:w="20" w:type="dxa"/>
            <w:vAlign w:val="bottom"/>
          </w:tcPr>
          <w:p>
            <w:pPr>
              <w:spacing w:after="0"/>
              <w:rPr>
                <w:sz w:val="18"/>
                <w:szCs w:val="18"/>
                <w:color w:val="auto"/>
              </w:rPr>
            </w:pPr>
          </w:p>
        </w:tc>
        <w:tc>
          <w:tcPr>
            <w:tcW w:w="3900" w:type="dxa"/>
            <w:vAlign w:val="bottom"/>
          </w:tcPr>
          <w:p>
            <w:pPr>
              <w:spacing w:after="0"/>
              <w:rPr>
                <w:sz w:val="18"/>
                <w:szCs w:val="18"/>
                <w:color w:val="auto"/>
              </w:rPr>
            </w:pPr>
          </w:p>
        </w:tc>
        <w:tc>
          <w:tcPr>
            <w:tcW w:w="920" w:type="dxa"/>
            <w:vAlign w:val="bottom"/>
          </w:tcPr>
          <w:p>
            <w:pPr>
              <w:jc w:val="center"/>
              <w:ind w:left="184"/>
              <w:spacing w:after="0"/>
              <w:rPr>
                <w:sz w:val="20"/>
                <w:szCs w:val="20"/>
                <w:color w:val="auto"/>
              </w:rPr>
            </w:pPr>
            <w:r>
              <w:rPr>
                <w:rFonts w:ascii="Arial" w:cs="Arial" w:eastAsia="Arial" w:hAnsi="Arial"/>
                <w:sz w:val="14"/>
                <w:szCs w:val="14"/>
                <w:color w:val="auto"/>
                <w:w w:val="99"/>
              </w:rPr>
              <w:t>Share-</w:t>
            </w:r>
          </w:p>
        </w:tc>
        <w:tc>
          <w:tcPr>
            <w:tcW w:w="400" w:type="dxa"/>
            <w:vAlign w:val="bottom"/>
          </w:tcPr>
          <w:p>
            <w:pPr>
              <w:spacing w:after="0"/>
              <w:rPr>
                <w:sz w:val="18"/>
                <w:szCs w:val="18"/>
                <w:color w:val="auto"/>
              </w:rPr>
            </w:pPr>
          </w:p>
        </w:tc>
        <w:tc>
          <w:tcPr>
            <w:tcW w:w="820" w:type="dxa"/>
            <w:vAlign w:val="bottom"/>
          </w:tcPr>
          <w:p>
            <w:pPr>
              <w:jc w:val="center"/>
              <w:ind w:left="5"/>
              <w:spacing w:after="0"/>
              <w:rPr>
                <w:sz w:val="20"/>
                <w:szCs w:val="20"/>
                <w:color w:val="auto"/>
              </w:rPr>
            </w:pPr>
            <w:r>
              <w:rPr>
                <w:rFonts w:ascii="Arial" w:cs="Arial" w:eastAsia="Arial" w:hAnsi="Arial"/>
                <w:sz w:val="14"/>
                <w:szCs w:val="14"/>
                <w:color w:val="auto"/>
                <w:w w:val="98"/>
              </w:rPr>
              <w:t>Non-</w:t>
            </w: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980" w:type="dxa"/>
            <w:vAlign w:val="bottom"/>
          </w:tcPr>
          <w:p>
            <w:pPr>
              <w:jc w:val="center"/>
              <w:ind w:left="224"/>
              <w:spacing w:after="0"/>
              <w:rPr>
                <w:sz w:val="20"/>
                <w:szCs w:val="20"/>
                <w:color w:val="auto"/>
              </w:rPr>
            </w:pPr>
            <w:r>
              <w:rPr>
                <w:rFonts w:ascii="Arial" w:cs="Arial" w:eastAsia="Arial" w:hAnsi="Arial"/>
                <w:sz w:val="14"/>
                <w:szCs w:val="14"/>
                <w:color w:val="auto"/>
              </w:rPr>
              <w:t>Share-</w:t>
            </w:r>
          </w:p>
        </w:tc>
        <w:tc>
          <w:tcPr>
            <w:tcW w:w="380" w:type="dxa"/>
            <w:vAlign w:val="bottom"/>
          </w:tcPr>
          <w:p>
            <w:pPr>
              <w:spacing w:after="0"/>
              <w:rPr>
                <w:sz w:val="18"/>
                <w:szCs w:val="18"/>
                <w:color w:val="auto"/>
              </w:rPr>
            </w:pPr>
          </w:p>
        </w:tc>
        <w:tc>
          <w:tcPr>
            <w:tcW w:w="820" w:type="dxa"/>
            <w:vAlign w:val="bottom"/>
          </w:tcPr>
          <w:p>
            <w:pPr>
              <w:jc w:val="center"/>
              <w:ind w:left="45"/>
              <w:spacing w:after="0"/>
              <w:rPr>
                <w:sz w:val="20"/>
                <w:szCs w:val="20"/>
                <w:color w:val="auto"/>
              </w:rPr>
            </w:pPr>
            <w:r>
              <w:rPr>
                <w:rFonts w:ascii="Arial" w:cs="Arial" w:eastAsia="Arial" w:hAnsi="Arial"/>
                <w:sz w:val="14"/>
                <w:szCs w:val="14"/>
                <w:color w:val="auto"/>
                <w:w w:val="98"/>
              </w:rPr>
              <w:t>Non-</w:t>
            </w: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203"/>
        </w:trPr>
        <w:tc>
          <w:tcPr>
            <w:tcW w:w="20" w:type="dxa"/>
            <w:vAlign w:val="bottom"/>
          </w:tcPr>
          <w:p>
            <w:pPr>
              <w:spacing w:after="0"/>
              <w:rPr>
                <w:sz w:val="17"/>
                <w:szCs w:val="17"/>
                <w:color w:val="auto"/>
              </w:rPr>
            </w:pPr>
          </w:p>
        </w:tc>
        <w:tc>
          <w:tcPr>
            <w:tcW w:w="3900" w:type="dxa"/>
            <w:vAlign w:val="bottom"/>
          </w:tcPr>
          <w:p>
            <w:pPr>
              <w:spacing w:after="0"/>
              <w:rPr>
                <w:sz w:val="17"/>
                <w:szCs w:val="17"/>
                <w:color w:val="auto"/>
              </w:rPr>
            </w:pPr>
          </w:p>
        </w:tc>
        <w:tc>
          <w:tcPr>
            <w:tcW w:w="920" w:type="dxa"/>
            <w:vAlign w:val="bottom"/>
          </w:tcPr>
          <w:p>
            <w:pPr>
              <w:jc w:val="center"/>
              <w:ind w:left="184"/>
              <w:spacing w:after="0"/>
              <w:rPr>
                <w:sz w:val="20"/>
                <w:szCs w:val="20"/>
                <w:color w:val="auto"/>
              </w:rPr>
            </w:pPr>
            <w:r>
              <w:rPr>
                <w:rFonts w:ascii="Arial" w:cs="Arial" w:eastAsia="Arial" w:hAnsi="Arial"/>
                <w:sz w:val="14"/>
                <w:szCs w:val="14"/>
                <w:color w:val="auto"/>
              </w:rPr>
              <w:t>holders'</w:t>
            </w:r>
          </w:p>
        </w:tc>
        <w:tc>
          <w:tcPr>
            <w:tcW w:w="400" w:type="dxa"/>
            <w:vAlign w:val="bottom"/>
          </w:tcPr>
          <w:p>
            <w:pPr>
              <w:spacing w:after="0"/>
              <w:rPr>
                <w:sz w:val="17"/>
                <w:szCs w:val="17"/>
                <w:color w:val="auto"/>
              </w:rPr>
            </w:pPr>
          </w:p>
        </w:tc>
        <w:tc>
          <w:tcPr>
            <w:tcW w:w="820" w:type="dxa"/>
            <w:vAlign w:val="bottom"/>
          </w:tcPr>
          <w:p>
            <w:pPr>
              <w:jc w:val="center"/>
              <w:ind w:left="5"/>
              <w:spacing w:after="0"/>
              <w:rPr>
                <w:sz w:val="20"/>
                <w:szCs w:val="20"/>
                <w:color w:val="auto"/>
              </w:rPr>
            </w:pPr>
            <w:r>
              <w:rPr>
                <w:rFonts w:ascii="Arial" w:cs="Arial" w:eastAsia="Arial" w:hAnsi="Arial"/>
                <w:sz w:val="14"/>
                <w:szCs w:val="14"/>
                <w:color w:val="auto"/>
              </w:rPr>
              <w:t>controlling</w:t>
            </w:r>
          </w:p>
        </w:tc>
        <w:tc>
          <w:tcPr>
            <w:tcW w:w="3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20" w:type="dxa"/>
            <w:vAlign w:val="bottom"/>
          </w:tcPr>
          <w:p>
            <w:pPr>
              <w:jc w:val="center"/>
              <w:ind w:right="583"/>
              <w:spacing w:after="0"/>
              <w:rPr>
                <w:sz w:val="20"/>
                <w:szCs w:val="20"/>
                <w:color w:val="auto"/>
              </w:rPr>
            </w:pPr>
            <w:r>
              <w:rPr>
                <w:rFonts w:ascii="Arial" w:cs="Arial" w:eastAsia="Arial" w:hAnsi="Arial"/>
                <w:sz w:val="14"/>
                <w:szCs w:val="14"/>
                <w:color w:val="auto"/>
                <w:w w:val="96"/>
              </w:rPr>
              <w:t>Total</w:t>
            </w:r>
          </w:p>
        </w:tc>
        <w:tc>
          <w:tcPr>
            <w:tcW w:w="980" w:type="dxa"/>
            <w:vAlign w:val="bottom"/>
          </w:tcPr>
          <w:p>
            <w:pPr>
              <w:jc w:val="center"/>
              <w:ind w:left="244"/>
              <w:spacing w:after="0"/>
              <w:rPr>
                <w:sz w:val="20"/>
                <w:szCs w:val="20"/>
                <w:color w:val="auto"/>
              </w:rPr>
            </w:pPr>
            <w:r>
              <w:rPr>
                <w:rFonts w:ascii="Arial" w:cs="Arial" w:eastAsia="Arial" w:hAnsi="Arial"/>
                <w:sz w:val="14"/>
                <w:szCs w:val="14"/>
                <w:color w:val="auto"/>
              </w:rPr>
              <w:t>holders'</w:t>
            </w:r>
          </w:p>
        </w:tc>
        <w:tc>
          <w:tcPr>
            <w:tcW w:w="380" w:type="dxa"/>
            <w:vAlign w:val="bottom"/>
          </w:tcPr>
          <w:p>
            <w:pPr>
              <w:spacing w:after="0"/>
              <w:rPr>
                <w:sz w:val="17"/>
                <w:szCs w:val="17"/>
                <w:color w:val="auto"/>
              </w:rPr>
            </w:pPr>
          </w:p>
        </w:tc>
        <w:tc>
          <w:tcPr>
            <w:tcW w:w="820" w:type="dxa"/>
            <w:vAlign w:val="bottom"/>
          </w:tcPr>
          <w:p>
            <w:pPr>
              <w:jc w:val="center"/>
              <w:ind w:left="45"/>
              <w:spacing w:after="0"/>
              <w:rPr>
                <w:sz w:val="20"/>
                <w:szCs w:val="20"/>
                <w:color w:val="auto"/>
              </w:rPr>
            </w:pPr>
            <w:r>
              <w:rPr>
                <w:rFonts w:ascii="Arial" w:cs="Arial" w:eastAsia="Arial" w:hAnsi="Arial"/>
                <w:sz w:val="14"/>
                <w:szCs w:val="14"/>
                <w:color w:val="auto"/>
              </w:rPr>
              <w:t>controlling</w:t>
            </w:r>
          </w:p>
        </w:tc>
        <w:tc>
          <w:tcPr>
            <w:tcW w:w="3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40" w:type="dxa"/>
            <w:vAlign w:val="bottom"/>
          </w:tcPr>
          <w:p>
            <w:pPr>
              <w:jc w:val="center"/>
              <w:ind w:right="302"/>
              <w:spacing w:after="0"/>
              <w:rPr>
                <w:sz w:val="20"/>
                <w:szCs w:val="20"/>
                <w:color w:val="auto"/>
              </w:rPr>
            </w:pPr>
            <w:r>
              <w:rPr>
                <w:rFonts w:ascii="Arial" w:cs="Arial" w:eastAsia="Arial" w:hAnsi="Arial"/>
                <w:sz w:val="14"/>
                <w:szCs w:val="14"/>
                <w:color w:val="auto"/>
                <w:w w:val="96"/>
              </w:rPr>
              <w:t>Total</w:t>
            </w:r>
          </w:p>
        </w:tc>
      </w:tr>
      <w:tr>
        <w:trPr>
          <w:trHeight w:val="195"/>
        </w:trPr>
        <w:tc>
          <w:tcPr>
            <w:tcW w:w="20" w:type="dxa"/>
            <w:vAlign w:val="bottom"/>
          </w:tcPr>
          <w:p>
            <w:pPr>
              <w:spacing w:after="0"/>
              <w:rPr>
                <w:sz w:val="16"/>
                <w:szCs w:val="16"/>
                <w:color w:val="auto"/>
              </w:rPr>
            </w:pPr>
          </w:p>
        </w:tc>
        <w:tc>
          <w:tcPr>
            <w:tcW w:w="39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center"/>
              <w:ind w:left="184"/>
              <w:spacing w:after="0"/>
              <w:rPr>
                <w:sz w:val="20"/>
                <w:szCs w:val="20"/>
                <w:color w:val="auto"/>
              </w:rPr>
            </w:pPr>
            <w:r>
              <w:rPr>
                <w:rFonts w:ascii="Arial" w:cs="Arial" w:eastAsia="Arial" w:hAnsi="Arial"/>
                <w:sz w:val="14"/>
                <w:szCs w:val="14"/>
                <w:color w:val="auto"/>
              </w:rPr>
              <w:t>Equity(1)</w:t>
            </w:r>
          </w:p>
        </w:tc>
        <w:tc>
          <w:tcPr>
            <w:tcW w:w="4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center"/>
              <w:ind w:left="5"/>
              <w:spacing w:after="0"/>
              <w:rPr>
                <w:sz w:val="20"/>
                <w:szCs w:val="20"/>
                <w:color w:val="auto"/>
              </w:rPr>
            </w:pPr>
            <w:r>
              <w:rPr>
                <w:rFonts w:ascii="Arial" w:cs="Arial" w:eastAsia="Arial" w:hAnsi="Arial"/>
                <w:sz w:val="14"/>
                <w:szCs w:val="14"/>
                <w:color w:val="auto"/>
              </w:rPr>
              <w:t>Interests</w:t>
            </w:r>
          </w:p>
        </w:tc>
        <w:tc>
          <w:tcPr>
            <w:tcW w:w="34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center"/>
              <w:ind w:right="603"/>
              <w:spacing w:after="0"/>
              <w:rPr>
                <w:sz w:val="20"/>
                <w:szCs w:val="20"/>
                <w:color w:val="auto"/>
              </w:rPr>
            </w:pPr>
            <w:r>
              <w:rPr>
                <w:rFonts w:ascii="Arial" w:cs="Arial" w:eastAsia="Arial" w:hAnsi="Arial"/>
                <w:sz w:val="14"/>
                <w:szCs w:val="14"/>
                <w:color w:val="auto"/>
              </w:rPr>
              <w:t>Equity</w:t>
            </w:r>
          </w:p>
        </w:tc>
        <w:tc>
          <w:tcPr>
            <w:tcW w:w="980" w:type="dxa"/>
            <w:vAlign w:val="bottom"/>
            <w:tcBorders>
              <w:bottom w:val="single" w:sz="8" w:color="auto"/>
            </w:tcBorders>
          </w:tcPr>
          <w:p>
            <w:pPr>
              <w:jc w:val="center"/>
              <w:ind w:left="224"/>
              <w:spacing w:after="0"/>
              <w:rPr>
                <w:sz w:val="20"/>
                <w:szCs w:val="20"/>
                <w:color w:val="auto"/>
              </w:rPr>
            </w:pPr>
            <w:r>
              <w:rPr>
                <w:rFonts w:ascii="Arial" w:cs="Arial" w:eastAsia="Arial" w:hAnsi="Arial"/>
                <w:sz w:val="14"/>
                <w:szCs w:val="14"/>
                <w:color w:val="auto"/>
                <w:w w:val="99"/>
              </w:rPr>
              <w:t>Equity(1)</w:t>
            </w:r>
          </w:p>
        </w:tc>
        <w:tc>
          <w:tcPr>
            <w:tcW w:w="38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center"/>
              <w:ind w:left="45"/>
              <w:spacing w:after="0"/>
              <w:rPr>
                <w:sz w:val="20"/>
                <w:szCs w:val="20"/>
                <w:color w:val="auto"/>
              </w:rPr>
            </w:pPr>
            <w:r>
              <w:rPr>
                <w:rFonts w:ascii="Arial" w:cs="Arial" w:eastAsia="Arial" w:hAnsi="Arial"/>
                <w:sz w:val="14"/>
                <w:szCs w:val="14"/>
                <w:color w:val="auto"/>
              </w:rPr>
              <w:t>Interests</w:t>
            </w:r>
          </w:p>
        </w:tc>
        <w:tc>
          <w:tcPr>
            <w:tcW w:w="36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center"/>
              <w:ind w:right="282"/>
              <w:spacing w:after="0"/>
              <w:rPr>
                <w:sz w:val="20"/>
                <w:szCs w:val="20"/>
                <w:color w:val="auto"/>
              </w:rPr>
            </w:pPr>
            <w:r>
              <w:rPr>
                <w:rFonts w:ascii="Arial" w:cs="Arial" w:eastAsia="Arial" w:hAnsi="Arial"/>
                <w:sz w:val="14"/>
                <w:szCs w:val="14"/>
                <w:color w:val="auto"/>
              </w:rPr>
              <w:t>Equity</w:t>
            </w:r>
          </w:p>
        </w:tc>
      </w:tr>
      <w:tr>
        <w:trPr>
          <w:trHeight w:val="164"/>
        </w:trPr>
        <w:tc>
          <w:tcPr>
            <w:tcW w:w="20" w:type="dxa"/>
            <w:vAlign w:val="bottom"/>
          </w:tcPr>
          <w:p>
            <w:pPr>
              <w:spacing w:after="0"/>
              <w:rPr>
                <w:sz w:val="14"/>
                <w:szCs w:val="14"/>
                <w:color w:val="auto"/>
              </w:rPr>
            </w:pPr>
          </w:p>
        </w:tc>
        <w:tc>
          <w:tcPr>
            <w:tcW w:w="3900" w:type="dxa"/>
            <w:vAlign w:val="bottom"/>
          </w:tcPr>
          <w:p>
            <w:pPr>
              <w:spacing w:after="0" w:line="164" w:lineRule="exact"/>
              <w:rPr>
                <w:sz w:val="20"/>
                <w:szCs w:val="20"/>
                <w:color w:val="auto"/>
              </w:rPr>
            </w:pPr>
            <w:r>
              <w:rPr>
                <w:rFonts w:ascii="Arial" w:cs="Arial" w:eastAsia="Arial" w:hAnsi="Arial"/>
                <w:sz w:val="16"/>
                <w:szCs w:val="16"/>
                <w:b w:val="1"/>
                <w:bCs w:val="1"/>
                <w:color w:val="auto"/>
              </w:rPr>
              <w:t>Sempra Energy Consolidated:</w:t>
            </w:r>
          </w:p>
        </w:tc>
        <w:tc>
          <w:tcPr>
            <w:tcW w:w="9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76"/>
        </w:trPr>
        <w:tc>
          <w:tcPr>
            <w:tcW w:w="20" w:type="dxa"/>
            <w:vAlign w:val="bottom"/>
          </w:tcPr>
          <w:p>
            <w:pPr>
              <w:spacing w:after="0"/>
              <w:rPr>
                <w:sz w:val="15"/>
                <w:szCs w:val="15"/>
                <w:color w:val="auto"/>
              </w:rPr>
            </w:pPr>
          </w:p>
        </w:tc>
        <w:tc>
          <w:tcPr>
            <w:tcW w:w="3900" w:type="dxa"/>
            <w:vAlign w:val="bottom"/>
          </w:tcPr>
          <w:p>
            <w:pPr>
              <w:ind w:left="160"/>
              <w:spacing w:after="0" w:line="176" w:lineRule="exact"/>
              <w:rPr>
                <w:sz w:val="20"/>
                <w:szCs w:val="20"/>
                <w:color w:val="auto"/>
              </w:rPr>
            </w:pPr>
            <w:r>
              <w:rPr>
                <w:rFonts w:ascii="Arial" w:cs="Arial" w:eastAsia="Arial" w:hAnsi="Arial"/>
                <w:sz w:val="16"/>
                <w:szCs w:val="16"/>
                <w:color w:val="auto"/>
              </w:rPr>
              <w:t>Financial instruments</w:t>
            </w:r>
          </w:p>
        </w:tc>
        <w:tc>
          <w:tcPr>
            <w:tcW w:w="920" w:type="dxa"/>
            <w:vAlign w:val="bottom"/>
          </w:tcPr>
          <w:p>
            <w:pPr>
              <w:jc w:val="right"/>
              <w:ind w:right="484"/>
              <w:spacing w:after="0" w:line="176" w:lineRule="exact"/>
              <w:rPr>
                <w:sz w:val="20"/>
                <w:szCs w:val="20"/>
                <w:color w:val="auto"/>
              </w:rPr>
            </w:pPr>
            <w:r>
              <w:rPr>
                <w:rFonts w:ascii="Arial" w:cs="Arial" w:eastAsia="Arial" w:hAnsi="Arial"/>
                <w:sz w:val="16"/>
                <w:szCs w:val="16"/>
                <w:color w:val="auto"/>
              </w:rPr>
              <w:t>$</w:t>
            </w:r>
          </w:p>
        </w:tc>
        <w:tc>
          <w:tcPr>
            <w:tcW w:w="400" w:type="dxa"/>
            <w:vAlign w:val="bottom"/>
          </w:tcPr>
          <w:p>
            <w:pPr>
              <w:jc w:val="right"/>
              <w:ind w:right="59"/>
              <w:spacing w:after="0" w:line="176" w:lineRule="exact"/>
              <w:rPr>
                <w:sz w:val="20"/>
                <w:szCs w:val="20"/>
                <w:color w:val="auto"/>
              </w:rPr>
            </w:pPr>
            <w:r>
              <w:rPr>
                <w:rFonts w:ascii="Arial" w:cs="Arial" w:eastAsia="Arial" w:hAnsi="Arial"/>
                <w:sz w:val="16"/>
                <w:szCs w:val="16"/>
                <w:color w:val="auto"/>
              </w:rPr>
              <w:t>(1)</w:t>
            </w:r>
          </w:p>
        </w:tc>
        <w:tc>
          <w:tcPr>
            <w:tcW w:w="820" w:type="dxa"/>
            <w:vAlign w:val="bottom"/>
          </w:tcPr>
          <w:p>
            <w:pPr>
              <w:jc w:val="right"/>
              <w:ind w:right="525"/>
              <w:spacing w:after="0" w:line="176" w:lineRule="exact"/>
              <w:rPr>
                <w:sz w:val="20"/>
                <w:szCs w:val="20"/>
                <w:color w:val="auto"/>
              </w:rPr>
            </w:pPr>
            <w:r>
              <w:rPr>
                <w:rFonts w:ascii="Arial" w:cs="Arial" w:eastAsia="Arial" w:hAnsi="Arial"/>
                <w:sz w:val="16"/>
                <w:szCs w:val="16"/>
                <w:color w:val="auto"/>
              </w:rPr>
              <w:t>$</w:t>
            </w:r>
          </w:p>
        </w:tc>
        <w:tc>
          <w:tcPr>
            <w:tcW w:w="340" w:type="dxa"/>
            <w:vAlign w:val="bottom"/>
          </w:tcPr>
          <w:p>
            <w:pPr>
              <w:ind w:left="20"/>
              <w:spacing w:after="0" w:line="176" w:lineRule="exact"/>
              <w:rPr>
                <w:sz w:val="20"/>
                <w:szCs w:val="20"/>
                <w:color w:val="auto"/>
              </w:rPr>
            </w:pPr>
            <w:r>
              <w:rPr>
                <w:rFonts w:ascii="Arial" w:cs="Arial" w:eastAsia="Arial" w:hAnsi="Arial"/>
                <w:sz w:val="16"/>
                <w:szCs w:val="16"/>
                <w:color w:val="auto"/>
              </w:rPr>
              <w:t>―</w:t>
            </w:r>
          </w:p>
        </w:tc>
        <w:tc>
          <w:tcPr>
            <w:tcW w:w="260" w:type="dxa"/>
            <w:vAlign w:val="bottom"/>
          </w:tcPr>
          <w:p>
            <w:pPr>
              <w:jc w:val="right"/>
              <w:spacing w:after="0" w:line="176" w:lineRule="exact"/>
              <w:rPr>
                <w:sz w:val="20"/>
                <w:szCs w:val="20"/>
                <w:color w:val="auto"/>
              </w:rPr>
            </w:pPr>
            <w:r>
              <w:rPr>
                <w:rFonts w:ascii="Arial" w:cs="Arial" w:eastAsia="Arial" w:hAnsi="Arial"/>
                <w:sz w:val="16"/>
                <w:szCs w:val="16"/>
                <w:color w:val="auto"/>
              </w:rPr>
              <w:t>$</w:t>
            </w:r>
          </w:p>
        </w:tc>
        <w:tc>
          <w:tcPr>
            <w:tcW w:w="1120" w:type="dxa"/>
            <w:vAlign w:val="bottom"/>
          </w:tcPr>
          <w:p>
            <w:pPr>
              <w:jc w:val="right"/>
              <w:ind w:right="223"/>
              <w:spacing w:after="0" w:line="176" w:lineRule="exact"/>
              <w:rPr>
                <w:sz w:val="20"/>
                <w:szCs w:val="20"/>
                <w:color w:val="auto"/>
              </w:rPr>
            </w:pPr>
            <w:r>
              <w:rPr>
                <w:rFonts w:ascii="Arial" w:cs="Arial" w:eastAsia="Arial" w:hAnsi="Arial"/>
                <w:sz w:val="16"/>
                <w:szCs w:val="16"/>
                <w:color w:val="auto"/>
              </w:rPr>
              <w:t>(1)</w:t>
            </w:r>
          </w:p>
        </w:tc>
        <w:tc>
          <w:tcPr>
            <w:tcW w:w="980" w:type="dxa"/>
            <w:vAlign w:val="bottom"/>
          </w:tcPr>
          <w:p>
            <w:pPr>
              <w:jc w:val="right"/>
              <w:ind w:right="504"/>
              <w:spacing w:after="0" w:line="176" w:lineRule="exact"/>
              <w:rPr>
                <w:sz w:val="20"/>
                <w:szCs w:val="20"/>
                <w:color w:val="auto"/>
              </w:rPr>
            </w:pPr>
            <w:r>
              <w:rPr>
                <w:rFonts w:ascii="Arial" w:cs="Arial" w:eastAsia="Arial" w:hAnsi="Arial"/>
                <w:sz w:val="16"/>
                <w:szCs w:val="16"/>
                <w:color w:val="auto"/>
              </w:rPr>
              <w:t>$</w:t>
            </w:r>
          </w:p>
        </w:tc>
        <w:tc>
          <w:tcPr>
            <w:tcW w:w="380" w:type="dxa"/>
            <w:vAlign w:val="bottom"/>
          </w:tcPr>
          <w:p>
            <w:pPr>
              <w:jc w:val="center"/>
              <w:spacing w:after="0" w:line="176" w:lineRule="exact"/>
              <w:rPr>
                <w:sz w:val="20"/>
                <w:szCs w:val="20"/>
                <w:color w:val="auto"/>
              </w:rPr>
            </w:pPr>
            <w:r>
              <w:rPr>
                <w:rFonts w:ascii="Arial" w:cs="Arial" w:eastAsia="Arial" w:hAnsi="Arial"/>
                <w:sz w:val="16"/>
                <w:szCs w:val="16"/>
                <w:color w:val="auto"/>
              </w:rPr>
              <w:t>(6)</w:t>
            </w:r>
          </w:p>
        </w:tc>
        <w:tc>
          <w:tcPr>
            <w:tcW w:w="820" w:type="dxa"/>
            <w:vAlign w:val="bottom"/>
          </w:tcPr>
          <w:p>
            <w:pPr>
              <w:jc w:val="right"/>
              <w:ind w:right="525"/>
              <w:spacing w:after="0" w:line="176" w:lineRule="exact"/>
              <w:rPr>
                <w:sz w:val="20"/>
                <w:szCs w:val="20"/>
                <w:color w:val="auto"/>
              </w:rPr>
            </w:pPr>
            <w:r>
              <w:rPr>
                <w:rFonts w:ascii="Arial" w:cs="Arial" w:eastAsia="Arial" w:hAnsi="Arial"/>
                <w:sz w:val="16"/>
                <w:szCs w:val="16"/>
                <w:color w:val="auto"/>
              </w:rPr>
              <w:t>$</w:t>
            </w:r>
          </w:p>
        </w:tc>
        <w:tc>
          <w:tcPr>
            <w:tcW w:w="360" w:type="dxa"/>
            <w:vAlign w:val="bottom"/>
          </w:tcPr>
          <w:p>
            <w:pPr>
              <w:ind w:left="40"/>
              <w:spacing w:after="0" w:line="176" w:lineRule="exact"/>
              <w:rPr>
                <w:sz w:val="20"/>
                <w:szCs w:val="20"/>
                <w:color w:val="auto"/>
              </w:rPr>
            </w:pPr>
            <w:r>
              <w:rPr>
                <w:rFonts w:ascii="Arial" w:cs="Arial" w:eastAsia="Arial" w:hAnsi="Arial"/>
                <w:sz w:val="16"/>
                <w:szCs w:val="16"/>
                <w:color w:val="auto"/>
              </w:rPr>
              <w:t>―</w:t>
            </w:r>
          </w:p>
        </w:tc>
        <w:tc>
          <w:tcPr>
            <w:tcW w:w="260" w:type="dxa"/>
            <w:vAlign w:val="bottom"/>
          </w:tcPr>
          <w:p>
            <w:pPr>
              <w:jc w:val="right"/>
              <w:spacing w:after="0" w:line="176" w:lineRule="exact"/>
              <w:rPr>
                <w:sz w:val="20"/>
                <w:szCs w:val="20"/>
                <w:color w:val="auto"/>
              </w:rPr>
            </w:pPr>
            <w:r>
              <w:rPr>
                <w:rFonts w:ascii="Arial" w:cs="Arial" w:eastAsia="Arial" w:hAnsi="Arial"/>
                <w:sz w:val="16"/>
                <w:szCs w:val="16"/>
                <w:color w:val="auto"/>
              </w:rPr>
              <w:t>$</w:t>
            </w:r>
          </w:p>
        </w:tc>
        <w:tc>
          <w:tcPr>
            <w:tcW w:w="840" w:type="dxa"/>
            <w:vAlign w:val="bottom"/>
          </w:tcPr>
          <w:p>
            <w:pPr>
              <w:jc w:val="center"/>
              <w:ind w:left="562"/>
              <w:spacing w:after="0" w:line="176" w:lineRule="exact"/>
              <w:rPr>
                <w:sz w:val="20"/>
                <w:szCs w:val="20"/>
                <w:color w:val="auto"/>
              </w:rPr>
            </w:pPr>
            <w:r>
              <w:rPr>
                <w:rFonts w:ascii="Arial" w:cs="Arial" w:eastAsia="Arial" w:hAnsi="Arial"/>
                <w:sz w:val="16"/>
                <w:szCs w:val="16"/>
                <w:color w:val="auto"/>
              </w:rPr>
              <w:t>(6)</w:t>
            </w:r>
          </w:p>
        </w:tc>
      </w:tr>
      <w:tr>
        <w:trPr>
          <w:trHeight w:val="176"/>
        </w:trPr>
        <w:tc>
          <w:tcPr>
            <w:tcW w:w="20" w:type="dxa"/>
            <w:vAlign w:val="bottom"/>
          </w:tcPr>
          <w:p>
            <w:pPr>
              <w:spacing w:after="0"/>
              <w:rPr>
                <w:sz w:val="15"/>
                <w:szCs w:val="15"/>
                <w:color w:val="auto"/>
              </w:rPr>
            </w:pPr>
          </w:p>
        </w:tc>
        <w:tc>
          <w:tcPr>
            <w:tcW w:w="3900" w:type="dxa"/>
            <w:vAlign w:val="bottom"/>
          </w:tcPr>
          <w:p>
            <w:pPr>
              <w:ind w:left="160"/>
              <w:spacing w:after="0" w:line="176" w:lineRule="exact"/>
              <w:rPr>
                <w:sz w:val="20"/>
                <w:szCs w:val="20"/>
                <w:color w:val="auto"/>
              </w:rPr>
            </w:pPr>
            <w:r>
              <w:rPr>
                <w:rFonts w:ascii="Arial" w:cs="Arial" w:eastAsia="Arial" w:hAnsi="Arial"/>
                <w:sz w:val="16"/>
                <w:szCs w:val="16"/>
                <w:color w:val="auto"/>
              </w:rPr>
              <w:t>Available-for-sale securities</w:t>
            </w:r>
          </w:p>
        </w:tc>
        <w:tc>
          <w:tcPr>
            <w:tcW w:w="920" w:type="dxa"/>
            <w:vAlign w:val="bottom"/>
          </w:tcPr>
          <w:p>
            <w:pPr>
              <w:spacing w:after="0"/>
              <w:rPr>
                <w:sz w:val="15"/>
                <w:szCs w:val="15"/>
                <w:color w:val="auto"/>
              </w:rPr>
            </w:pPr>
          </w:p>
        </w:tc>
        <w:tc>
          <w:tcPr>
            <w:tcW w:w="400" w:type="dxa"/>
            <w:vAlign w:val="bottom"/>
          </w:tcPr>
          <w:p>
            <w:pPr>
              <w:jc w:val="right"/>
              <w:ind w:right="99"/>
              <w:spacing w:after="0" w:line="176" w:lineRule="exact"/>
              <w:rPr>
                <w:sz w:val="20"/>
                <w:szCs w:val="20"/>
                <w:color w:val="auto"/>
              </w:rPr>
            </w:pPr>
            <w:r>
              <w:rPr>
                <w:rFonts w:ascii="Arial" w:cs="Arial" w:eastAsia="Arial" w:hAnsi="Arial"/>
                <w:sz w:val="16"/>
                <w:szCs w:val="16"/>
                <w:color w:val="auto"/>
              </w:rPr>
              <w:t>―</w:t>
            </w:r>
          </w:p>
        </w:tc>
        <w:tc>
          <w:tcPr>
            <w:tcW w:w="820" w:type="dxa"/>
            <w:vAlign w:val="bottom"/>
          </w:tcPr>
          <w:p>
            <w:pPr>
              <w:spacing w:after="0"/>
              <w:rPr>
                <w:sz w:val="15"/>
                <w:szCs w:val="15"/>
                <w:color w:val="auto"/>
              </w:rPr>
            </w:pPr>
          </w:p>
        </w:tc>
        <w:tc>
          <w:tcPr>
            <w:tcW w:w="340" w:type="dxa"/>
            <w:vAlign w:val="bottom"/>
          </w:tcPr>
          <w:p>
            <w:pPr>
              <w:ind w:left="20"/>
              <w:spacing w:after="0" w:line="176" w:lineRule="exact"/>
              <w:rPr>
                <w:sz w:val="20"/>
                <w:szCs w:val="20"/>
                <w:color w:val="auto"/>
              </w:rPr>
            </w:pPr>
            <w:r>
              <w:rPr>
                <w:rFonts w:ascii="Arial" w:cs="Arial" w:eastAsia="Arial" w:hAnsi="Arial"/>
                <w:sz w:val="16"/>
                <w:szCs w:val="16"/>
                <w:color w:val="auto"/>
              </w:rPr>
              <w:t>―</w:t>
            </w:r>
          </w:p>
        </w:tc>
        <w:tc>
          <w:tcPr>
            <w:tcW w:w="260" w:type="dxa"/>
            <w:vAlign w:val="bottom"/>
          </w:tcPr>
          <w:p>
            <w:pPr>
              <w:spacing w:after="0"/>
              <w:rPr>
                <w:sz w:val="15"/>
                <w:szCs w:val="15"/>
                <w:color w:val="auto"/>
              </w:rPr>
            </w:pPr>
          </w:p>
        </w:tc>
        <w:tc>
          <w:tcPr>
            <w:tcW w:w="1120" w:type="dxa"/>
            <w:vAlign w:val="bottom"/>
          </w:tcPr>
          <w:p>
            <w:pPr>
              <w:jc w:val="right"/>
              <w:ind w:right="263"/>
              <w:spacing w:after="0" w:line="176" w:lineRule="exact"/>
              <w:rPr>
                <w:sz w:val="20"/>
                <w:szCs w:val="20"/>
                <w:color w:val="auto"/>
              </w:rPr>
            </w:pPr>
            <w:r>
              <w:rPr>
                <w:rFonts w:ascii="Arial" w:cs="Arial" w:eastAsia="Arial" w:hAnsi="Arial"/>
                <w:sz w:val="16"/>
                <w:szCs w:val="16"/>
                <w:color w:val="auto"/>
              </w:rPr>
              <w:t>―</w:t>
            </w:r>
          </w:p>
        </w:tc>
        <w:tc>
          <w:tcPr>
            <w:tcW w:w="980" w:type="dxa"/>
            <w:vAlign w:val="bottom"/>
          </w:tcPr>
          <w:p>
            <w:pPr>
              <w:spacing w:after="0"/>
              <w:rPr>
                <w:sz w:val="15"/>
                <w:szCs w:val="15"/>
                <w:color w:val="auto"/>
              </w:rPr>
            </w:pPr>
          </w:p>
        </w:tc>
        <w:tc>
          <w:tcPr>
            <w:tcW w:w="380" w:type="dxa"/>
            <w:vAlign w:val="bottom"/>
          </w:tcPr>
          <w:p>
            <w:pPr>
              <w:jc w:val="center"/>
              <w:spacing w:after="0" w:line="176" w:lineRule="exact"/>
              <w:rPr>
                <w:sz w:val="20"/>
                <w:szCs w:val="20"/>
                <w:color w:val="auto"/>
              </w:rPr>
            </w:pPr>
            <w:r>
              <w:rPr>
                <w:rFonts w:ascii="Arial" w:cs="Arial" w:eastAsia="Arial" w:hAnsi="Arial"/>
                <w:sz w:val="16"/>
                <w:szCs w:val="16"/>
                <w:color w:val="auto"/>
              </w:rPr>
              <w:t>(1)</w:t>
            </w:r>
          </w:p>
        </w:tc>
        <w:tc>
          <w:tcPr>
            <w:tcW w:w="820" w:type="dxa"/>
            <w:vAlign w:val="bottom"/>
          </w:tcPr>
          <w:p>
            <w:pPr>
              <w:spacing w:after="0"/>
              <w:rPr>
                <w:sz w:val="15"/>
                <w:szCs w:val="15"/>
                <w:color w:val="auto"/>
              </w:rPr>
            </w:pPr>
          </w:p>
        </w:tc>
        <w:tc>
          <w:tcPr>
            <w:tcW w:w="360" w:type="dxa"/>
            <w:vAlign w:val="bottom"/>
          </w:tcPr>
          <w:p>
            <w:pPr>
              <w:ind w:left="40"/>
              <w:spacing w:after="0" w:line="176" w:lineRule="exact"/>
              <w:rPr>
                <w:sz w:val="20"/>
                <w:szCs w:val="20"/>
                <w:color w:val="auto"/>
              </w:rPr>
            </w:pPr>
            <w:r>
              <w:rPr>
                <w:rFonts w:ascii="Arial" w:cs="Arial" w:eastAsia="Arial" w:hAnsi="Arial"/>
                <w:sz w:val="16"/>
                <w:szCs w:val="16"/>
                <w:color w:val="auto"/>
              </w:rPr>
              <w:t>―</w:t>
            </w:r>
          </w:p>
        </w:tc>
        <w:tc>
          <w:tcPr>
            <w:tcW w:w="260" w:type="dxa"/>
            <w:vAlign w:val="bottom"/>
          </w:tcPr>
          <w:p>
            <w:pPr>
              <w:spacing w:after="0"/>
              <w:rPr>
                <w:sz w:val="15"/>
                <w:szCs w:val="15"/>
                <w:color w:val="auto"/>
              </w:rPr>
            </w:pPr>
          </w:p>
        </w:tc>
        <w:tc>
          <w:tcPr>
            <w:tcW w:w="840" w:type="dxa"/>
            <w:vAlign w:val="bottom"/>
          </w:tcPr>
          <w:p>
            <w:pPr>
              <w:jc w:val="center"/>
              <w:ind w:left="562"/>
              <w:spacing w:after="0" w:line="176" w:lineRule="exact"/>
              <w:rPr>
                <w:sz w:val="20"/>
                <w:szCs w:val="20"/>
                <w:color w:val="auto"/>
              </w:rPr>
            </w:pPr>
            <w:r>
              <w:rPr>
                <w:rFonts w:ascii="Arial" w:cs="Arial" w:eastAsia="Arial" w:hAnsi="Arial"/>
                <w:sz w:val="16"/>
                <w:szCs w:val="16"/>
                <w:color w:val="auto"/>
              </w:rPr>
              <w:t>(1)</w:t>
            </w:r>
          </w:p>
        </w:tc>
      </w:tr>
      <w:tr>
        <w:trPr>
          <w:trHeight w:val="194"/>
        </w:trPr>
        <w:tc>
          <w:tcPr>
            <w:tcW w:w="20" w:type="dxa"/>
            <w:vAlign w:val="bottom"/>
          </w:tcPr>
          <w:p>
            <w:pPr>
              <w:spacing w:after="0"/>
              <w:rPr>
                <w:sz w:val="16"/>
                <w:szCs w:val="16"/>
                <w:color w:val="auto"/>
              </w:rPr>
            </w:pPr>
          </w:p>
        </w:tc>
        <w:tc>
          <w:tcPr>
            <w:tcW w:w="3900" w:type="dxa"/>
            <w:vAlign w:val="bottom"/>
            <w:tcBorders>
              <w:bottom w:val="single" w:sz="8" w:color="auto"/>
            </w:tcBorders>
          </w:tcPr>
          <w:p>
            <w:pPr>
              <w:ind w:left="160"/>
              <w:spacing w:after="0"/>
              <w:rPr>
                <w:sz w:val="20"/>
                <w:szCs w:val="20"/>
                <w:color w:val="auto"/>
              </w:rPr>
            </w:pPr>
            <w:r>
              <w:rPr>
                <w:rFonts w:ascii="Arial" w:cs="Arial" w:eastAsia="Arial" w:hAnsi="Arial"/>
                <w:sz w:val="16"/>
                <w:szCs w:val="16"/>
                <w:color w:val="auto"/>
              </w:rPr>
              <w:t>Net actuarial gain</w:t>
            </w:r>
          </w:p>
        </w:tc>
        <w:tc>
          <w:tcPr>
            <w:tcW w:w="92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3</w:t>
            </w:r>
          </w:p>
        </w:tc>
        <w:tc>
          <w:tcPr>
            <w:tcW w:w="82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263"/>
              <w:spacing w:after="0"/>
              <w:rPr>
                <w:sz w:val="20"/>
                <w:szCs w:val="20"/>
                <w:color w:val="auto"/>
              </w:rPr>
            </w:pPr>
            <w:r>
              <w:rPr>
                <w:rFonts w:ascii="Arial" w:cs="Arial" w:eastAsia="Arial" w:hAnsi="Arial"/>
                <w:sz w:val="16"/>
                <w:szCs w:val="16"/>
                <w:color w:val="auto"/>
              </w:rPr>
              <w:t>3</w:t>
            </w:r>
          </w:p>
        </w:tc>
        <w:tc>
          <w:tcPr>
            <w:tcW w:w="98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1</w:t>
            </w:r>
          </w:p>
        </w:tc>
        <w:tc>
          <w:tcPr>
            <w:tcW w:w="82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ind w:left="4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center"/>
              <w:ind w:left="582"/>
              <w:spacing w:after="0"/>
              <w:rPr>
                <w:sz w:val="20"/>
                <w:szCs w:val="20"/>
                <w:color w:val="auto"/>
              </w:rPr>
            </w:pPr>
            <w:r>
              <w:rPr>
                <w:rFonts w:ascii="Arial" w:cs="Arial" w:eastAsia="Arial" w:hAnsi="Arial"/>
                <w:sz w:val="16"/>
                <w:szCs w:val="16"/>
                <w:color w:val="auto"/>
              </w:rPr>
              <w:t>1</w:t>
            </w:r>
          </w:p>
        </w:tc>
      </w:tr>
      <w:tr>
        <w:trPr>
          <w:trHeight w:val="164"/>
        </w:trPr>
        <w:tc>
          <w:tcPr>
            <w:tcW w:w="20" w:type="dxa"/>
            <w:vAlign w:val="bottom"/>
          </w:tcPr>
          <w:p>
            <w:pPr>
              <w:spacing w:after="0"/>
              <w:rPr>
                <w:sz w:val="14"/>
                <w:szCs w:val="14"/>
                <w:color w:val="auto"/>
              </w:rPr>
            </w:pPr>
          </w:p>
        </w:tc>
        <w:tc>
          <w:tcPr>
            <w:tcW w:w="3900" w:type="dxa"/>
            <w:vAlign w:val="bottom"/>
          </w:tcPr>
          <w:p>
            <w:pPr>
              <w:spacing w:after="0" w:line="164" w:lineRule="exact"/>
              <w:rPr>
                <w:sz w:val="20"/>
                <w:szCs w:val="20"/>
                <w:color w:val="auto"/>
              </w:rPr>
            </w:pPr>
            <w:r>
              <w:rPr>
                <w:rFonts w:ascii="Arial" w:cs="Arial" w:eastAsia="Arial" w:hAnsi="Arial"/>
                <w:sz w:val="16"/>
                <w:szCs w:val="16"/>
                <w:b w:val="1"/>
                <w:bCs w:val="1"/>
                <w:color w:val="auto"/>
              </w:rPr>
              <w:t>SoCalGas:</w:t>
            </w:r>
          </w:p>
        </w:tc>
        <w:tc>
          <w:tcPr>
            <w:tcW w:w="9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94"/>
        </w:trPr>
        <w:tc>
          <w:tcPr>
            <w:tcW w:w="20" w:type="dxa"/>
            <w:vAlign w:val="bottom"/>
          </w:tcPr>
          <w:p>
            <w:pPr>
              <w:spacing w:after="0"/>
              <w:rPr>
                <w:sz w:val="16"/>
                <w:szCs w:val="16"/>
                <w:color w:val="auto"/>
              </w:rPr>
            </w:pPr>
          </w:p>
        </w:tc>
        <w:tc>
          <w:tcPr>
            <w:tcW w:w="3900" w:type="dxa"/>
            <w:vAlign w:val="bottom"/>
            <w:tcBorders>
              <w:bottom w:val="single" w:sz="8" w:color="auto"/>
            </w:tcBorders>
          </w:tcPr>
          <w:p>
            <w:pPr>
              <w:ind w:left="160"/>
              <w:spacing w:after="0"/>
              <w:rPr>
                <w:sz w:val="20"/>
                <w:szCs w:val="20"/>
                <w:color w:val="auto"/>
              </w:rPr>
            </w:pPr>
            <w:r>
              <w:rPr>
                <w:rFonts w:ascii="Arial" w:cs="Arial" w:eastAsia="Arial" w:hAnsi="Arial"/>
                <w:sz w:val="16"/>
                <w:szCs w:val="16"/>
                <w:color w:val="auto"/>
              </w:rPr>
              <w:t>Financial instruments</w:t>
            </w:r>
          </w:p>
        </w:tc>
        <w:tc>
          <w:tcPr>
            <w:tcW w:w="920" w:type="dxa"/>
            <w:vAlign w:val="bottom"/>
            <w:tcBorders>
              <w:bottom w:val="single" w:sz="8" w:color="auto"/>
            </w:tcBorders>
          </w:tcPr>
          <w:p>
            <w:pPr>
              <w:jc w:val="right"/>
              <w:ind w:right="484"/>
              <w:spacing w:after="0"/>
              <w:rPr>
                <w:sz w:val="20"/>
                <w:szCs w:val="20"/>
                <w:color w:val="auto"/>
              </w:rPr>
            </w:pPr>
            <w:r>
              <w:rPr>
                <w:rFonts w:ascii="Arial" w:cs="Arial" w:eastAsia="Arial" w:hAnsi="Arial"/>
                <w:sz w:val="16"/>
                <w:szCs w:val="16"/>
                <w:color w:val="auto"/>
              </w:rPr>
              <w:t>$</w:t>
            </w:r>
          </w:p>
        </w:tc>
        <w:tc>
          <w:tcPr>
            <w:tcW w:w="4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1</w:t>
            </w:r>
          </w:p>
        </w:tc>
        <w:tc>
          <w:tcPr>
            <w:tcW w:w="820" w:type="dxa"/>
            <w:vAlign w:val="bottom"/>
            <w:tcBorders>
              <w:bottom w:val="single" w:sz="8" w:color="auto"/>
            </w:tcBorders>
          </w:tcPr>
          <w:p>
            <w:pPr>
              <w:jc w:val="right"/>
              <w:ind w:right="525"/>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tcPr>
          <w:p>
            <w:pPr>
              <w:jc w:val="right"/>
              <w:ind w:right="263"/>
              <w:spacing w:after="0"/>
              <w:rPr>
                <w:sz w:val="20"/>
                <w:szCs w:val="20"/>
                <w:color w:val="auto"/>
              </w:rPr>
            </w:pPr>
            <w:r>
              <w:rPr>
                <w:rFonts w:ascii="Arial" w:cs="Arial" w:eastAsia="Arial" w:hAnsi="Arial"/>
                <w:sz w:val="16"/>
                <w:szCs w:val="16"/>
                <w:color w:val="auto"/>
              </w:rPr>
              <w:t>1</w:t>
            </w:r>
          </w:p>
        </w:tc>
        <w:tc>
          <w:tcPr>
            <w:tcW w:w="980" w:type="dxa"/>
            <w:vAlign w:val="bottom"/>
            <w:tcBorders>
              <w:bottom w:val="single" w:sz="8" w:color="auto"/>
            </w:tcBorders>
          </w:tcPr>
          <w:p>
            <w:pPr>
              <w:jc w:val="right"/>
              <w:ind w:right="504"/>
              <w:spacing w:after="0"/>
              <w:rPr>
                <w:sz w:val="20"/>
                <w:szCs w:val="20"/>
                <w:color w:val="auto"/>
              </w:rPr>
            </w:pPr>
            <w:r>
              <w:rPr>
                <w:rFonts w:ascii="Arial" w:cs="Arial" w:eastAsia="Arial" w:hAnsi="Arial"/>
                <w:sz w:val="16"/>
                <w:szCs w:val="16"/>
                <w:color w:val="auto"/>
              </w:rPr>
              <w:t>$</w:t>
            </w:r>
          </w:p>
        </w:tc>
        <w:tc>
          <w:tcPr>
            <w:tcW w:w="38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1</w:t>
            </w:r>
          </w:p>
        </w:tc>
        <w:tc>
          <w:tcPr>
            <w:tcW w:w="820" w:type="dxa"/>
            <w:vAlign w:val="bottom"/>
            <w:tcBorders>
              <w:bottom w:val="single" w:sz="8" w:color="auto"/>
            </w:tcBorders>
          </w:tcPr>
          <w:p>
            <w:pPr>
              <w:jc w:val="right"/>
              <w:ind w:right="525"/>
              <w:spacing w:after="0"/>
              <w:rPr>
                <w:sz w:val="20"/>
                <w:szCs w:val="20"/>
                <w:color w:val="auto"/>
              </w:rPr>
            </w:pPr>
            <w:r>
              <w:rPr>
                <w:rFonts w:ascii="Arial" w:cs="Arial" w:eastAsia="Arial" w:hAnsi="Arial"/>
                <w:sz w:val="16"/>
                <w:szCs w:val="16"/>
                <w:color w:val="auto"/>
              </w:rPr>
              <w:t>$</w:t>
            </w:r>
          </w:p>
        </w:tc>
        <w:tc>
          <w:tcPr>
            <w:tcW w:w="360" w:type="dxa"/>
            <w:vAlign w:val="bottom"/>
            <w:tcBorders>
              <w:bottom w:val="single" w:sz="8" w:color="auto"/>
            </w:tcBorders>
          </w:tcPr>
          <w:p>
            <w:pPr>
              <w:ind w:left="4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tcPr>
          <w:p>
            <w:pPr>
              <w:jc w:val="center"/>
              <w:ind w:left="582"/>
              <w:spacing w:after="0"/>
              <w:rPr>
                <w:sz w:val="20"/>
                <w:szCs w:val="20"/>
                <w:color w:val="auto"/>
              </w:rPr>
            </w:pPr>
            <w:r>
              <w:rPr>
                <w:rFonts w:ascii="Arial" w:cs="Arial" w:eastAsia="Arial" w:hAnsi="Arial"/>
                <w:sz w:val="16"/>
                <w:szCs w:val="16"/>
                <w:color w:val="auto"/>
              </w:rPr>
              <w:t>1</w:t>
            </w:r>
          </w:p>
        </w:tc>
      </w:tr>
      <w:tr>
        <w:trPr>
          <w:trHeight w:val="345"/>
        </w:trPr>
        <w:tc>
          <w:tcPr>
            <w:tcW w:w="20" w:type="dxa"/>
            <w:vAlign w:val="bottom"/>
          </w:tcPr>
          <w:p>
            <w:pPr>
              <w:spacing w:after="0"/>
              <w:rPr>
                <w:sz w:val="24"/>
                <w:szCs w:val="24"/>
                <w:color w:val="auto"/>
              </w:rPr>
            </w:pPr>
          </w:p>
        </w:tc>
        <w:tc>
          <w:tcPr>
            <w:tcW w:w="3900" w:type="dxa"/>
            <w:vAlign w:val="bottom"/>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100" w:type="dxa"/>
            <w:vAlign w:val="bottom"/>
            <w:tcBorders>
              <w:bottom w:val="single" w:sz="8" w:color="auto"/>
            </w:tcBorders>
            <w:gridSpan w:val="2"/>
          </w:tcPr>
          <w:p>
            <w:pPr>
              <w:jc w:val="right"/>
              <w:ind w:right="144"/>
              <w:spacing w:after="0"/>
              <w:rPr>
                <w:sz w:val="20"/>
                <w:szCs w:val="20"/>
                <w:color w:val="auto"/>
              </w:rPr>
            </w:pPr>
            <w:r>
              <w:rPr>
                <w:rFonts w:ascii="Arial" w:cs="Arial" w:eastAsia="Arial" w:hAnsi="Arial"/>
                <w:sz w:val="14"/>
                <w:szCs w:val="14"/>
                <w:color w:val="auto"/>
              </w:rPr>
              <w:t>Six months ended June 30,</w:t>
            </w:r>
          </w:p>
        </w:tc>
        <w:tc>
          <w:tcPr>
            <w:tcW w:w="38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r>
      <w:tr>
        <w:trPr>
          <w:trHeight w:val="183"/>
        </w:trPr>
        <w:tc>
          <w:tcPr>
            <w:tcW w:w="20" w:type="dxa"/>
            <w:vAlign w:val="bottom"/>
          </w:tcPr>
          <w:p>
            <w:pPr>
              <w:spacing w:after="0"/>
              <w:rPr>
                <w:sz w:val="15"/>
                <w:szCs w:val="15"/>
                <w:color w:val="auto"/>
              </w:rPr>
            </w:pPr>
          </w:p>
        </w:tc>
        <w:tc>
          <w:tcPr>
            <w:tcW w:w="3900" w:type="dxa"/>
            <w:vAlign w:val="bottom"/>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2011</w:t>
            </w:r>
          </w:p>
        </w:tc>
        <w:tc>
          <w:tcPr>
            <w:tcW w:w="34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center"/>
              <w:ind w:left="25"/>
              <w:spacing w:after="0"/>
              <w:rPr>
                <w:sz w:val="20"/>
                <w:szCs w:val="20"/>
                <w:color w:val="auto"/>
              </w:rPr>
            </w:pPr>
            <w:r>
              <w:rPr>
                <w:rFonts w:ascii="Arial" w:cs="Arial" w:eastAsia="Arial" w:hAnsi="Arial"/>
                <w:sz w:val="14"/>
                <w:szCs w:val="14"/>
                <w:color w:val="auto"/>
              </w:rPr>
              <w:t>2010</w:t>
            </w:r>
          </w:p>
        </w:tc>
        <w:tc>
          <w:tcPr>
            <w:tcW w:w="36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r>
      <w:tr>
        <w:trPr>
          <w:trHeight w:val="218"/>
        </w:trPr>
        <w:tc>
          <w:tcPr>
            <w:tcW w:w="20" w:type="dxa"/>
            <w:vAlign w:val="bottom"/>
          </w:tcPr>
          <w:p>
            <w:pPr>
              <w:spacing w:after="0"/>
              <w:rPr>
                <w:sz w:val="18"/>
                <w:szCs w:val="18"/>
                <w:color w:val="auto"/>
              </w:rPr>
            </w:pPr>
          </w:p>
        </w:tc>
        <w:tc>
          <w:tcPr>
            <w:tcW w:w="3900" w:type="dxa"/>
            <w:vAlign w:val="bottom"/>
          </w:tcPr>
          <w:p>
            <w:pPr>
              <w:spacing w:after="0"/>
              <w:rPr>
                <w:sz w:val="18"/>
                <w:szCs w:val="18"/>
                <w:color w:val="auto"/>
              </w:rPr>
            </w:pPr>
          </w:p>
        </w:tc>
        <w:tc>
          <w:tcPr>
            <w:tcW w:w="920" w:type="dxa"/>
            <w:vAlign w:val="bottom"/>
          </w:tcPr>
          <w:p>
            <w:pPr>
              <w:jc w:val="center"/>
              <w:ind w:left="184"/>
              <w:spacing w:after="0"/>
              <w:rPr>
                <w:sz w:val="20"/>
                <w:szCs w:val="20"/>
                <w:color w:val="auto"/>
              </w:rPr>
            </w:pPr>
            <w:r>
              <w:rPr>
                <w:rFonts w:ascii="Arial" w:cs="Arial" w:eastAsia="Arial" w:hAnsi="Arial"/>
                <w:sz w:val="14"/>
                <w:szCs w:val="14"/>
                <w:color w:val="auto"/>
                <w:w w:val="99"/>
              </w:rPr>
              <w:t>Share-</w:t>
            </w:r>
          </w:p>
        </w:tc>
        <w:tc>
          <w:tcPr>
            <w:tcW w:w="400" w:type="dxa"/>
            <w:vAlign w:val="bottom"/>
          </w:tcPr>
          <w:p>
            <w:pPr>
              <w:spacing w:after="0"/>
              <w:rPr>
                <w:sz w:val="18"/>
                <w:szCs w:val="18"/>
                <w:color w:val="auto"/>
              </w:rPr>
            </w:pPr>
          </w:p>
        </w:tc>
        <w:tc>
          <w:tcPr>
            <w:tcW w:w="820" w:type="dxa"/>
            <w:vAlign w:val="bottom"/>
          </w:tcPr>
          <w:p>
            <w:pPr>
              <w:jc w:val="center"/>
              <w:ind w:left="5"/>
              <w:spacing w:after="0"/>
              <w:rPr>
                <w:sz w:val="20"/>
                <w:szCs w:val="20"/>
                <w:color w:val="auto"/>
              </w:rPr>
            </w:pPr>
            <w:r>
              <w:rPr>
                <w:rFonts w:ascii="Arial" w:cs="Arial" w:eastAsia="Arial" w:hAnsi="Arial"/>
                <w:sz w:val="14"/>
                <w:szCs w:val="14"/>
                <w:color w:val="auto"/>
                <w:w w:val="98"/>
              </w:rPr>
              <w:t>Non-</w:t>
            </w: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980" w:type="dxa"/>
            <w:vAlign w:val="bottom"/>
          </w:tcPr>
          <w:p>
            <w:pPr>
              <w:jc w:val="center"/>
              <w:ind w:left="224"/>
              <w:spacing w:after="0"/>
              <w:rPr>
                <w:sz w:val="20"/>
                <w:szCs w:val="20"/>
                <w:color w:val="auto"/>
              </w:rPr>
            </w:pPr>
            <w:r>
              <w:rPr>
                <w:rFonts w:ascii="Arial" w:cs="Arial" w:eastAsia="Arial" w:hAnsi="Arial"/>
                <w:sz w:val="14"/>
                <w:szCs w:val="14"/>
                <w:color w:val="auto"/>
              </w:rPr>
              <w:t>Share-</w:t>
            </w:r>
          </w:p>
        </w:tc>
        <w:tc>
          <w:tcPr>
            <w:tcW w:w="380" w:type="dxa"/>
            <w:vAlign w:val="bottom"/>
          </w:tcPr>
          <w:p>
            <w:pPr>
              <w:spacing w:after="0"/>
              <w:rPr>
                <w:sz w:val="18"/>
                <w:szCs w:val="18"/>
                <w:color w:val="auto"/>
              </w:rPr>
            </w:pPr>
          </w:p>
        </w:tc>
        <w:tc>
          <w:tcPr>
            <w:tcW w:w="820" w:type="dxa"/>
            <w:vAlign w:val="bottom"/>
          </w:tcPr>
          <w:p>
            <w:pPr>
              <w:jc w:val="center"/>
              <w:ind w:left="45"/>
              <w:spacing w:after="0"/>
              <w:rPr>
                <w:sz w:val="20"/>
                <w:szCs w:val="20"/>
                <w:color w:val="auto"/>
              </w:rPr>
            </w:pPr>
            <w:r>
              <w:rPr>
                <w:rFonts w:ascii="Arial" w:cs="Arial" w:eastAsia="Arial" w:hAnsi="Arial"/>
                <w:sz w:val="14"/>
                <w:szCs w:val="14"/>
                <w:color w:val="auto"/>
                <w:w w:val="98"/>
              </w:rPr>
              <w:t>Non-</w:t>
            </w: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203"/>
        </w:trPr>
        <w:tc>
          <w:tcPr>
            <w:tcW w:w="20" w:type="dxa"/>
            <w:vAlign w:val="bottom"/>
          </w:tcPr>
          <w:p>
            <w:pPr>
              <w:spacing w:after="0"/>
              <w:rPr>
                <w:sz w:val="17"/>
                <w:szCs w:val="17"/>
                <w:color w:val="auto"/>
              </w:rPr>
            </w:pPr>
          </w:p>
        </w:tc>
        <w:tc>
          <w:tcPr>
            <w:tcW w:w="3900" w:type="dxa"/>
            <w:vAlign w:val="bottom"/>
          </w:tcPr>
          <w:p>
            <w:pPr>
              <w:spacing w:after="0"/>
              <w:rPr>
                <w:sz w:val="17"/>
                <w:szCs w:val="17"/>
                <w:color w:val="auto"/>
              </w:rPr>
            </w:pPr>
          </w:p>
        </w:tc>
        <w:tc>
          <w:tcPr>
            <w:tcW w:w="920" w:type="dxa"/>
            <w:vAlign w:val="bottom"/>
          </w:tcPr>
          <w:p>
            <w:pPr>
              <w:jc w:val="center"/>
              <w:ind w:left="184"/>
              <w:spacing w:after="0"/>
              <w:rPr>
                <w:sz w:val="20"/>
                <w:szCs w:val="20"/>
                <w:color w:val="auto"/>
              </w:rPr>
            </w:pPr>
            <w:r>
              <w:rPr>
                <w:rFonts w:ascii="Arial" w:cs="Arial" w:eastAsia="Arial" w:hAnsi="Arial"/>
                <w:sz w:val="14"/>
                <w:szCs w:val="14"/>
                <w:color w:val="auto"/>
              </w:rPr>
              <w:t>holders'</w:t>
            </w:r>
          </w:p>
        </w:tc>
        <w:tc>
          <w:tcPr>
            <w:tcW w:w="400" w:type="dxa"/>
            <w:vAlign w:val="bottom"/>
          </w:tcPr>
          <w:p>
            <w:pPr>
              <w:spacing w:after="0"/>
              <w:rPr>
                <w:sz w:val="17"/>
                <w:szCs w:val="17"/>
                <w:color w:val="auto"/>
              </w:rPr>
            </w:pPr>
          </w:p>
        </w:tc>
        <w:tc>
          <w:tcPr>
            <w:tcW w:w="820" w:type="dxa"/>
            <w:vAlign w:val="bottom"/>
          </w:tcPr>
          <w:p>
            <w:pPr>
              <w:jc w:val="center"/>
              <w:ind w:left="5"/>
              <w:spacing w:after="0"/>
              <w:rPr>
                <w:sz w:val="20"/>
                <w:szCs w:val="20"/>
                <w:color w:val="auto"/>
              </w:rPr>
            </w:pPr>
            <w:r>
              <w:rPr>
                <w:rFonts w:ascii="Arial" w:cs="Arial" w:eastAsia="Arial" w:hAnsi="Arial"/>
                <w:sz w:val="14"/>
                <w:szCs w:val="14"/>
                <w:color w:val="auto"/>
              </w:rPr>
              <w:t>controlling</w:t>
            </w:r>
          </w:p>
        </w:tc>
        <w:tc>
          <w:tcPr>
            <w:tcW w:w="3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20" w:type="dxa"/>
            <w:vAlign w:val="bottom"/>
          </w:tcPr>
          <w:p>
            <w:pPr>
              <w:jc w:val="center"/>
              <w:ind w:right="583"/>
              <w:spacing w:after="0"/>
              <w:rPr>
                <w:sz w:val="20"/>
                <w:szCs w:val="20"/>
                <w:color w:val="auto"/>
              </w:rPr>
            </w:pPr>
            <w:r>
              <w:rPr>
                <w:rFonts w:ascii="Arial" w:cs="Arial" w:eastAsia="Arial" w:hAnsi="Arial"/>
                <w:sz w:val="14"/>
                <w:szCs w:val="14"/>
                <w:color w:val="auto"/>
                <w:w w:val="96"/>
              </w:rPr>
              <w:t>Total</w:t>
            </w:r>
          </w:p>
        </w:tc>
        <w:tc>
          <w:tcPr>
            <w:tcW w:w="980" w:type="dxa"/>
            <w:vAlign w:val="bottom"/>
          </w:tcPr>
          <w:p>
            <w:pPr>
              <w:jc w:val="center"/>
              <w:ind w:left="244"/>
              <w:spacing w:after="0"/>
              <w:rPr>
                <w:sz w:val="20"/>
                <w:szCs w:val="20"/>
                <w:color w:val="auto"/>
              </w:rPr>
            </w:pPr>
            <w:r>
              <w:rPr>
                <w:rFonts w:ascii="Arial" w:cs="Arial" w:eastAsia="Arial" w:hAnsi="Arial"/>
                <w:sz w:val="14"/>
                <w:szCs w:val="14"/>
                <w:color w:val="auto"/>
              </w:rPr>
              <w:t>holders'</w:t>
            </w:r>
          </w:p>
        </w:tc>
        <w:tc>
          <w:tcPr>
            <w:tcW w:w="380" w:type="dxa"/>
            <w:vAlign w:val="bottom"/>
          </w:tcPr>
          <w:p>
            <w:pPr>
              <w:spacing w:after="0"/>
              <w:rPr>
                <w:sz w:val="17"/>
                <w:szCs w:val="17"/>
                <w:color w:val="auto"/>
              </w:rPr>
            </w:pPr>
          </w:p>
        </w:tc>
        <w:tc>
          <w:tcPr>
            <w:tcW w:w="820" w:type="dxa"/>
            <w:vAlign w:val="bottom"/>
          </w:tcPr>
          <w:p>
            <w:pPr>
              <w:jc w:val="center"/>
              <w:ind w:left="45"/>
              <w:spacing w:after="0"/>
              <w:rPr>
                <w:sz w:val="20"/>
                <w:szCs w:val="20"/>
                <w:color w:val="auto"/>
              </w:rPr>
            </w:pPr>
            <w:r>
              <w:rPr>
                <w:rFonts w:ascii="Arial" w:cs="Arial" w:eastAsia="Arial" w:hAnsi="Arial"/>
                <w:sz w:val="14"/>
                <w:szCs w:val="14"/>
                <w:color w:val="auto"/>
              </w:rPr>
              <w:t>controlling</w:t>
            </w:r>
          </w:p>
        </w:tc>
        <w:tc>
          <w:tcPr>
            <w:tcW w:w="3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40" w:type="dxa"/>
            <w:vAlign w:val="bottom"/>
          </w:tcPr>
          <w:p>
            <w:pPr>
              <w:jc w:val="center"/>
              <w:ind w:right="302"/>
              <w:spacing w:after="0"/>
              <w:rPr>
                <w:sz w:val="20"/>
                <w:szCs w:val="20"/>
                <w:color w:val="auto"/>
              </w:rPr>
            </w:pPr>
            <w:r>
              <w:rPr>
                <w:rFonts w:ascii="Arial" w:cs="Arial" w:eastAsia="Arial" w:hAnsi="Arial"/>
                <w:sz w:val="14"/>
                <w:szCs w:val="14"/>
                <w:color w:val="auto"/>
                <w:w w:val="96"/>
              </w:rPr>
              <w:t>Total</w:t>
            </w:r>
          </w:p>
        </w:tc>
      </w:tr>
      <w:tr>
        <w:trPr>
          <w:trHeight w:val="195"/>
        </w:trPr>
        <w:tc>
          <w:tcPr>
            <w:tcW w:w="20" w:type="dxa"/>
            <w:vAlign w:val="bottom"/>
          </w:tcPr>
          <w:p>
            <w:pPr>
              <w:spacing w:after="0"/>
              <w:rPr>
                <w:sz w:val="16"/>
                <w:szCs w:val="16"/>
                <w:color w:val="auto"/>
              </w:rPr>
            </w:pPr>
          </w:p>
        </w:tc>
        <w:tc>
          <w:tcPr>
            <w:tcW w:w="39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center"/>
              <w:ind w:left="184"/>
              <w:spacing w:after="0"/>
              <w:rPr>
                <w:sz w:val="20"/>
                <w:szCs w:val="20"/>
                <w:color w:val="auto"/>
              </w:rPr>
            </w:pPr>
            <w:r>
              <w:rPr>
                <w:rFonts w:ascii="Arial" w:cs="Arial" w:eastAsia="Arial" w:hAnsi="Arial"/>
                <w:sz w:val="14"/>
                <w:szCs w:val="14"/>
                <w:color w:val="auto"/>
              </w:rPr>
              <w:t>Equity(1)</w:t>
            </w:r>
          </w:p>
        </w:tc>
        <w:tc>
          <w:tcPr>
            <w:tcW w:w="4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center"/>
              <w:ind w:left="5"/>
              <w:spacing w:after="0"/>
              <w:rPr>
                <w:sz w:val="20"/>
                <w:szCs w:val="20"/>
                <w:color w:val="auto"/>
              </w:rPr>
            </w:pPr>
            <w:r>
              <w:rPr>
                <w:rFonts w:ascii="Arial" w:cs="Arial" w:eastAsia="Arial" w:hAnsi="Arial"/>
                <w:sz w:val="14"/>
                <w:szCs w:val="14"/>
                <w:color w:val="auto"/>
              </w:rPr>
              <w:t>Interests</w:t>
            </w:r>
          </w:p>
        </w:tc>
        <w:tc>
          <w:tcPr>
            <w:tcW w:w="34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center"/>
              <w:ind w:right="603"/>
              <w:spacing w:after="0"/>
              <w:rPr>
                <w:sz w:val="20"/>
                <w:szCs w:val="20"/>
                <w:color w:val="auto"/>
              </w:rPr>
            </w:pPr>
            <w:r>
              <w:rPr>
                <w:rFonts w:ascii="Arial" w:cs="Arial" w:eastAsia="Arial" w:hAnsi="Arial"/>
                <w:sz w:val="14"/>
                <w:szCs w:val="14"/>
                <w:color w:val="auto"/>
              </w:rPr>
              <w:t>Equity</w:t>
            </w:r>
          </w:p>
        </w:tc>
        <w:tc>
          <w:tcPr>
            <w:tcW w:w="980" w:type="dxa"/>
            <w:vAlign w:val="bottom"/>
            <w:tcBorders>
              <w:bottom w:val="single" w:sz="8" w:color="auto"/>
            </w:tcBorders>
          </w:tcPr>
          <w:p>
            <w:pPr>
              <w:jc w:val="center"/>
              <w:ind w:left="224"/>
              <w:spacing w:after="0"/>
              <w:rPr>
                <w:sz w:val="20"/>
                <w:szCs w:val="20"/>
                <w:color w:val="auto"/>
              </w:rPr>
            </w:pPr>
            <w:r>
              <w:rPr>
                <w:rFonts w:ascii="Arial" w:cs="Arial" w:eastAsia="Arial" w:hAnsi="Arial"/>
                <w:sz w:val="14"/>
                <w:szCs w:val="14"/>
                <w:color w:val="auto"/>
                <w:w w:val="99"/>
              </w:rPr>
              <w:t>Equity(1)</w:t>
            </w:r>
          </w:p>
        </w:tc>
        <w:tc>
          <w:tcPr>
            <w:tcW w:w="38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center"/>
              <w:ind w:left="45"/>
              <w:spacing w:after="0"/>
              <w:rPr>
                <w:sz w:val="20"/>
                <w:szCs w:val="20"/>
                <w:color w:val="auto"/>
              </w:rPr>
            </w:pPr>
            <w:r>
              <w:rPr>
                <w:rFonts w:ascii="Arial" w:cs="Arial" w:eastAsia="Arial" w:hAnsi="Arial"/>
                <w:sz w:val="14"/>
                <w:szCs w:val="14"/>
                <w:color w:val="auto"/>
              </w:rPr>
              <w:t>Interests</w:t>
            </w:r>
          </w:p>
        </w:tc>
        <w:tc>
          <w:tcPr>
            <w:tcW w:w="36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center"/>
              <w:ind w:right="282"/>
              <w:spacing w:after="0"/>
              <w:rPr>
                <w:sz w:val="20"/>
                <w:szCs w:val="20"/>
                <w:color w:val="auto"/>
              </w:rPr>
            </w:pPr>
            <w:r>
              <w:rPr>
                <w:rFonts w:ascii="Arial" w:cs="Arial" w:eastAsia="Arial" w:hAnsi="Arial"/>
                <w:sz w:val="14"/>
                <w:szCs w:val="14"/>
                <w:color w:val="auto"/>
              </w:rPr>
              <w:t>Equity</w:t>
            </w:r>
          </w:p>
        </w:tc>
      </w:tr>
      <w:tr>
        <w:trPr>
          <w:trHeight w:val="164"/>
        </w:trPr>
        <w:tc>
          <w:tcPr>
            <w:tcW w:w="20" w:type="dxa"/>
            <w:vAlign w:val="bottom"/>
          </w:tcPr>
          <w:p>
            <w:pPr>
              <w:spacing w:after="0"/>
              <w:rPr>
                <w:sz w:val="14"/>
                <w:szCs w:val="14"/>
                <w:color w:val="auto"/>
              </w:rPr>
            </w:pPr>
          </w:p>
        </w:tc>
        <w:tc>
          <w:tcPr>
            <w:tcW w:w="3900" w:type="dxa"/>
            <w:vAlign w:val="bottom"/>
          </w:tcPr>
          <w:p>
            <w:pPr>
              <w:spacing w:after="0" w:line="164" w:lineRule="exact"/>
              <w:rPr>
                <w:sz w:val="20"/>
                <w:szCs w:val="20"/>
                <w:color w:val="auto"/>
              </w:rPr>
            </w:pPr>
            <w:r>
              <w:rPr>
                <w:rFonts w:ascii="Arial" w:cs="Arial" w:eastAsia="Arial" w:hAnsi="Arial"/>
                <w:sz w:val="16"/>
                <w:szCs w:val="16"/>
                <w:b w:val="1"/>
                <w:bCs w:val="1"/>
                <w:color w:val="auto"/>
              </w:rPr>
              <w:t>Sempra Energy Consolidated:</w:t>
            </w:r>
          </w:p>
        </w:tc>
        <w:tc>
          <w:tcPr>
            <w:tcW w:w="9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76"/>
        </w:trPr>
        <w:tc>
          <w:tcPr>
            <w:tcW w:w="20" w:type="dxa"/>
            <w:vAlign w:val="bottom"/>
          </w:tcPr>
          <w:p>
            <w:pPr>
              <w:spacing w:after="0"/>
              <w:rPr>
                <w:sz w:val="15"/>
                <w:szCs w:val="15"/>
                <w:color w:val="auto"/>
              </w:rPr>
            </w:pPr>
          </w:p>
        </w:tc>
        <w:tc>
          <w:tcPr>
            <w:tcW w:w="3900" w:type="dxa"/>
            <w:vAlign w:val="bottom"/>
          </w:tcPr>
          <w:p>
            <w:pPr>
              <w:ind w:left="160"/>
              <w:spacing w:after="0" w:line="176" w:lineRule="exact"/>
              <w:rPr>
                <w:sz w:val="20"/>
                <w:szCs w:val="20"/>
                <w:color w:val="auto"/>
              </w:rPr>
            </w:pPr>
            <w:r>
              <w:rPr>
                <w:rFonts w:ascii="Arial" w:cs="Arial" w:eastAsia="Arial" w:hAnsi="Arial"/>
                <w:sz w:val="16"/>
                <w:szCs w:val="16"/>
                <w:color w:val="auto"/>
              </w:rPr>
              <w:t>Financial instruments</w:t>
            </w:r>
          </w:p>
        </w:tc>
        <w:tc>
          <w:tcPr>
            <w:tcW w:w="920" w:type="dxa"/>
            <w:vAlign w:val="bottom"/>
          </w:tcPr>
          <w:p>
            <w:pPr>
              <w:jc w:val="right"/>
              <w:ind w:right="484"/>
              <w:spacing w:after="0" w:line="176" w:lineRule="exact"/>
              <w:rPr>
                <w:sz w:val="20"/>
                <w:szCs w:val="20"/>
                <w:color w:val="auto"/>
              </w:rPr>
            </w:pPr>
            <w:r>
              <w:rPr>
                <w:rFonts w:ascii="Arial" w:cs="Arial" w:eastAsia="Arial" w:hAnsi="Arial"/>
                <w:sz w:val="16"/>
                <w:szCs w:val="16"/>
                <w:color w:val="auto"/>
              </w:rPr>
              <w:t>$</w:t>
            </w:r>
          </w:p>
        </w:tc>
        <w:tc>
          <w:tcPr>
            <w:tcW w:w="400" w:type="dxa"/>
            <w:vAlign w:val="bottom"/>
          </w:tcPr>
          <w:p>
            <w:pPr>
              <w:jc w:val="right"/>
              <w:ind w:right="99"/>
              <w:spacing w:after="0" w:line="176" w:lineRule="exact"/>
              <w:rPr>
                <w:sz w:val="20"/>
                <w:szCs w:val="20"/>
                <w:color w:val="auto"/>
              </w:rPr>
            </w:pPr>
            <w:r>
              <w:rPr>
                <w:rFonts w:ascii="Arial" w:cs="Arial" w:eastAsia="Arial" w:hAnsi="Arial"/>
                <w:sz w:val="16"/>
                <w:szCs w:val="16"/>
                <w:color w:val="auto"/>
              </w:rPr>
              <w:t>―</w:t>
            </w:r>
          </w:p>
        </w:tc>
        <w:tc>
          <w:tcPr>
            <w:tcW w:w="820" w:type="dxa"/>
            <w:vAlign w:val="bottom"/>
          </w:tcPr>
          <w:p>
            <w:pPr>
              <w:jc w:val="right"/>
              <w:ind w:right="525"/>
              <w:spacing w:after="0" w:line="176" w:lineRule="exact"/>
              <w:rPr>
                <w:sz w:val="20"/>
                <w:szCs w:val="20"/>
                <w:color w:val="auto"/>
              </w:rPr>
            </w:pPr>
            <w:r>
              <w:rPr>
                <w:rFonts w:ascii="Arial" w:cs="Arial" w:eastAsia="Arial" w:hAnsi="Arial"/>
                <w:sz w:val="16"/>
                <w:szCs w:val="16"/>
                <w:color w:val="auto"/>
              </w:rPr>
              <w:t>$</w:t>
            </w:r>
          </w:p>
        </w:tc>
        <w:tc>
          <w:tcPr>
            <w:tcW w:w="340" w:type="dxa"/>
            <w:vAlign w:val="bottom"/>
          </w:tcPr>
          <w:p>
            <w:pPr>
              <w:ind w:left="20"/>
              <w:spacing w:after="0" w:line="176" w:lineRule="exact"/>
              <w:rPr>
                <w:sz w:val="20"/>
                <w:szCs w:val="20"/>
                <w:color w:val="auto"/>
              </w:rPr>
            </w:pPr>
            <w:r>
              <w:rPr>
                <w:rFonts w:ascii="Arial" w:cs="Arial" w:eastAsia="Arial" w:hAnsi="Arial"/>
                <w:sz w:val="16"/>
                <w:szCs w:val="16"/>
                <w:color w:val="auto"/>
              </w:rPr>
              <w:t>―</w:t>
            </w:r>
          </w:p>
        </w:tc>
        <w:tc>
          <w:tcPr>
            <w:tcW w:w="260" w:type="dxa"/>
            <w:vAlign w:val="bottom"/>
          </w:tcPr>
          <w:p>
            <w:pPr>
              <w:jc w:val="right"/>
              <w:spacing w:after="0" w:line="176" w:lineRule="exact"/>
              <w:rPr>
                <w:sz w:val="20"/>
                <w:szCs w:val="20"/>
                <w:color w:val="auto"/>
              </w:rPr>
            </w:pPr>
            <w:r>
              <w:rPr>
                <w:rFonts w:ascii="Arial" w:cs="Arial" w:eastAsia="Arial" w:hAnsi="Arial"/>
                <w:sz w:val="16"/>
                <w:szCs w:val="16"/>
                <w:color w:val="auto"/>
              </w:rPr>
              <w:t>$</w:t>
            </w:r>
          </w:p>
        </w:tc>
        <w:tc>
          <w:tcPr>
            <w:tcW w:w="1120" w:type="dxa"/>
            <w:vAlign w:val="bottom"/>
          </w:tcPr>
          <w:p>
            <w:pPr>
              <w:jc w:val="right"/>
              <w:ind w:right="263"/>
              <w:spacing w:after="0" w:line="176" w:lineRule="exact"/>
              <w:rPr>
                <w:sz w:val="20"/>
                <w:szCs w:val="20"/>
                <w:color w:val="auto"/>
              </w:rPr>
            </w:pPr>
            <w:r>
              <w:rPr>
                <w:rFonts w:ascii="Arial" w:cs="Arial" w:eastAsia="Arial" w:hAnsi="Arial"/>
                <w:sz w:val="16"/>
                <w:szCs w:val="16"/>
                <w:color w:val="auto"/>
              </w:rPr>
              <w:t>―</w:t>
            </w:r>
          </w:p>
        </w:tc>
        <w:tc>
          <w:tcPr>
            <w:tcW w:w="980" w:type="dxa"/>
            <w:vAlign w:val="bottom"/>
          </w:tcPr>
          <w:p>
            <w:pPr>
              <w:jc w:val="right"/>
              <w:ind w:right="504"/>
              <w:spacing w:after="0" w:line="176" w:lineRule="exact"/>
              <w:rPr>
                <w:sz w:val="20"/>
                <w:szCs w:val="20"/>
                <w:color w:val="auto"/>
              </w:rPr>
            </w:pPr>
            <w:r>
              <w:rPr>
                <w:rFonts w:ascii="Arial" w:cs="Arial" w:eastAsia="Arial" w:hAnsi="Arial"/>
                <w:sz w:val="16"/>
                <w:szCs w:val="16"/>
                <w:color w:val="auto"/>
              </w:rPr>
              <w:t>$</w:t>
            </w:r>
          </w:p>
        </w:tc>
        <w:tc>
          <w:tcPr>
            <w:tcW w:w="380" w:type="dxa"/>
            <w:vAlign w:val="bottom"/>
          </w:tcPr>
          <w:p>
            <w:pPr>
              <w:jc w:val="center"/>
              <w:spacing w:after="0" w:line="176" w:lineRule="exact"/>
              <w:rPr>
                <w:sz w:val="20"/>
                <w:szCs w:val="20"/>
                <w:color w:val="auto"/>
              </w:rPr>
            </w:pPr>
            <w:r>
              <w:rPr>
                <w:rFonts w:ascii="Arial" w:cs="Arial" w:eastAsia="Arial" w:hAnsi="Arial"/>
                <w:sz w:val="16"/>
                <w:szCs w:val="16"/>
                <w:color w:val="auto"/>
              </w:rPr>
              <w:t>(6)</w:t>
            </w:r>
          </w:p>
        </w:tc>
        <w:tc>
          <w:tcPr>
            <w:tcW w:w="820" w:type="dxa"/>
            <w:vAlign w:val="bottom"/>
          </w:tcPr>
          <w:p>
            <w:pPr>
              <w:jc w:val="right"/>
              <w:ind w:right="525"/>
              <w:spacing w:after="0" w:line="176" w:lineRule="exact"/>
              <w:rPr>
                <w:sz w:val="20"/>
                <w:szCs w:val="20"/>
                <w:color w:val="auto"/>
              </w:rPr>
            </w:pPr>
            <w:r>
              <w:rPr>
                <w:rFonts w:ascii="Arial" w:cs="Arial" w:eastAsia="Arial" w:hAnsi="Arial"/>
                <w:sz w:val="16"/>
                <w:szCs w:val="16"/>
                <w:color w:val="auto"/>
              </w:rPr>
              <w:t>$</w:t>
            </w:r>
          </w:p>
        </w:tc>
        <w:tc>
          <w:tcPr>
            <w:tcW w:w="360" w:type="dxa"/>
            <w:vAlign w:val="bottom"/>
          </w:tcPr>
          <w:p>
            <w:pPr>
              <w:ind w:left="40"/>
              <w:spacing w:after="0" w:line="176" w:lineRule="exact"/>
              <w:rPr>
                <w:sz w:val="20"/>
                <w:szCs w:val="20"/>
                <w:color w:val="auto"/>
              </w:rPr>
            </w:pPr>
            <w:r>
              <w:rPr>
                <w:rFonts w:ascii="Arial" w:cs="Arial" w:eastAsia="Arial" w:hAnsi="Arial"/>
                <w:sz w:val="16"/>
                <w:szCs w:val="16"/>
                <w:color w:val="auto"/>
              </w:rPr>
              <w:t>―</w:t>
            </w:r>
          </w:p>
        </w:tc>
        <w:tc>
          <w:tcPr>
            <w:tcW w:w="260" w:type="dxa"/>
            <w:vAlign w:val="bottom"/>
          </w:tcPr>
          <w:p>
            <w:pPr>
              <w:jc w:val="right"/>
              <w:spacing w:after="0" w:line="176" w:lineRule="exact"/>
              <w:rPr>
                <w:sz w:val="20"/>
                <w:szCs w:val="20"/>
                <w:color w:val="auto"/>
              </w:rPr>
            </w:pPr>
            <w:r>
              <w:rPr>
                <w:rFonts w:ascii="Arial" w:cs="Arial" w:eastAsia="Arial" w:hAnsi="Arial"/>
                <w:sz w:val="16"/>
                <w:szCs w:val="16"/>
                <w:color w:val="auto"/>
              </w:rPr>
              <w:t>$</w:t>
            </w:r>
          </w:p>
        </w:tc>
        <w:tc>
          <w:tcPr>
            <w:tcW w:w="840" w:type="dxa"/>
            <w:vAlign w:val="bottom"/>
          </w:tcPr>
          <w:p>
            <w:pPr>
              <w:jc w:val="center"/>
              <w:ind w:left="562"/>
              <w:spacing w:after="0" w:line="176" w:lineRule="exact"/>
              <w:rPr>
                <w:sz w:val="20"/>
                <w:szCs w:val="20"/>
                <w:color w:val="auto"/>
              </w:rPr>
            </w:pPr>
            <w:r>
              <w:rPr>
                <w:rFonts w:ascii="Arial" w:cs="Arial" w:eastAsia="Arial" w:hAnsi="Arial"/>
                <w:sz w:val="16"/>
                <w:szCs w:val="16"/>
                <w:color w:val="auto"/>
              </w:rPr>
              <w:t>(6)</w:t>
            </w:r>
          </w:p>
        </w:tc>
      </w:tr>
      <w:tr>
        <w:trPr>
          <w:trHeight w:val="176"/>
        </w:trPr>
        <w:tc>
          <w:tcPr>
            <w:tcW w:w="20" w:type="dxa"/>
            <w:vAlign w:val="bottom"/>
          </w:tcPr>
          <w:p>
            <w:pPr>
              <w:spacing w:after="0"/>
              <w:rPr>
                <w:sz w:val="15"/>
                <w:szCs w:val="15"/>
                <w:color w:val="auto"/>
              </w:rPr>
            </w:pPr>
          </w:p>
        </w:tc>
        <w:tc>
          <w:tcPr>
            <w:tcW w:w="3900" w:type="dxa"/>
            <w:vAlign w:val="bottom"/>
          </w:tcPr>
          <w:p>
            <w:pPr>
              <w:ind w:left="160"/>
              <w:spacing w:after="0" w:line="176" w:lineRule="exact"/>
              <w:rPr>
                <w:sz w:val="20"/>
                <w:szCs w:val="20"/>
                <w:color w:val="auto"/>
              </w:rPr>
            </w:pPr>
            <w:r>
              <w:rPr>
                <w:rFonts w:ascii="Arial" w:cs="Arial" w:eastAsia="Arial" w:hAnsi="Arial"/>
                <w:sz w:val="16"/>
                <w:szCs w:val="16"/>
                <w:color w:val="auto"/>
              </w:rPr>
              <w:t>Available-for-sale securities</w:t>
            </w:r>
          </w:p>
        </w:tc>
        <w:tc>
          <w:tcPr>
            <w:tcW w:w="920" w:type="dxa"/>
            <w:vAlign w:val="bottom"/>
          </w:tcPr>
          <w:p>
            <w:pPr>
              <w:spacing w:after="0"/>
              <w:rPr>
                <w:sz w:val="15"/>
                <w:szCs w:val="15"/>
                <w:color w:val="auto"/>
              </w:rPr>
            </w:pPr>
          </w:p>
        </w:tc>
        <w:tc>
          <w:tcPr>
            <w:tcW w:w="400" w:type="dxa"/>
            <w:vAlign w:val="bottom"/>
          </w:tcPr>
          <w:p>
            <w:pPr>
              <w:jc w:val="right"/>
              <w:ind w:right="99"/>
              <w:spacing w:after="0" w:line="176" w:lineRule="exact"/>
              <w:rPr>
                <w:sz w:val="20"/>
                <w:szCs w:val="20"/>
                <w:color w:val="auto"/>
              </w:rPr>
            </w:pPr>
            <w:r>
              <w:rPr>
                <w:rFonts w:ascii="Arial" w:cs="Arial" w:eastAsia="Arial" w:hAnsi="Arial"/>
                <w:sz w:val="16"/>
                <w:szCs w:val="16"/>
                <w:color w:val="auto"/>
              </w:rPr>
              <w:t>―</w:t>
            </w:r>
          </w:p>
        </w:tc>
        <w:tc>
          <w:tcPr>
            <w:tcW w:w="820" w:type="dxa"/>
            <w:vAlign w:val="bottom"/>
          </w:tcPr>
          <w:p>
            <w:pPr>
              <w:spacing w:after="0"/>
              <w:rPr>
                <w:sz w:val="15"/>
                <w:szCs w:val="15"/>
                <w:color w:val="auto"/>
              </w:rPr>
            </w:pPr>
          </w:p>
        </w:tc>
        <w:tc>
          <w:tcPr>
            <w:tcW w:w="340" w:type="dxa"/>
            <w:vAlign w:val="bottom"/>
          </w:tcPr>
          <w:p>
            <w:pPr>
              <w:ind w:left="20"/>
              <w:spacing w:after="0" w:line="176" w:lineRule="exact"/>
              <w:rPr>
                <w:sz w:val="20"/>
                <w:szCs w:val="20"/>
                <w:color w:val="auto"/>
              </w:rPr>
            </w:pPr>
            <w:r>
              <w:rPr>
                <w:rFonts w:ascii="Arial" w:cs="Arial" w:eastAsia="Arial" w:hAnsi="Arial"/>
                <w:sz w:val="16"/>
                <w:szCs w:val="16"/>
                <w:color w:val="auto"/>
              </w:rPr>
              <w:t>―</w:t>
            </w:r>
          </w:p>
        </w:tc>
        <w:tc>
          <w:tcPr>
            <w:tcW w:w="260" w:type="dxa"/>
            <w:vAlign w:val="bottom"/>
          </w:tcPr>
          <w:p>
            <w:pPr>
              <w:spacing w:after="0"/>
              <w:rPr>
                <w:sz w:val="15"/>
                <w:szCs w:val="15"/>
                <w:color w:val="auto"/>
              </w:rPr>
            </w:pPr>
          </w:p>
        </w:tc>
        <w:tc>
          <w:tcPr>
            <w:tcW w:w="1120" w:type="dxa"/>
            <w:vAlign w:val="bottom"/>
          </w:tcPr>
          <w:p>
            <w:pPr>
              <w:jc w:val="right"/>
              <w:ind w:right="263"/>
              <w:spacing w:after="0" w:line="176" w:lineRule="exact"/>
              <w:rPr>
                <w:sz w:val="20"/>
                <w:szCs w:val="20"/>
                <w:color w:val="auto"/>
              </w:rPr>
            </w:pPr>
            <w:r>
              <w:rPr>
                <w:rFonts w:ascii="Arial" w:cs="Arial" w:eastAsia="Arial" w:hAnsi="Arial"/>
                <w:sz w:val="16"/>
                <w:szCs w:val="16"/>
                <w:color w:val="auto"/>
              </w:rPr>
              <w:t>―</w:t>
            </w:r>
          </w:p>
        </w:tc>
        <w:tc>
          <w:tcPr>
            <w:tcW w:w="980" w:type="dxa"/>
            <w:vAlign w:val="bottom"/>
          </w:tcPr>
          <w:p>
            <w:pPr>
              <w:spacing w:after="0"/>
              <w:rPr>
                <w:sz w:val="15"/>
                <w:szCs w:val="15"/>
                <w:color w:val="auto"/>
              </w:rPr>
            </w:pPr>
          </w:p>
        </w:tc>
        <w:tc>
          <w:tcPr>
            <w:tcW w:w="380" w:type="dxa"/>
            <w:vAlign w:val="bottom"/>
          </w:tcPr>
          <w:p>
            <w:pPr>
              <w:jc w:val="center"/>
              <w:spacing w:after="0" w:line="176" w:lineRule="exact"/>
              <w:rPr>
                <w:sz w:val="20"/>
                <w:szCs w:val="20"/>
                <w:color w:val="auto"/>
              </w:rPr>
            </w:pPr>
            <w:r>
              <w:rPr>
                <w:rFonts w:ascii="Arial" w:cs="Arial" w:eastAsia="Arial" w:hAnsi="Arial"/>
                <w:sz w:val="16"/>
                <w:szCs w:val="16"/>
                <w:color w:val="auto"/>
              </w:rPr>
              <w:t>(1)</w:t>
            </w:r>
          </w:p>
        </w:tc>
        <w:tc>
          <w:tcPr>
            <w:tcW w:w="820" w:type="dxa"/>
            <w:vAlign w:val="bottom"/>
          </w:tcPr>
          <w:p>
            <w:pPr>
              <w:spacing w:after="0"/>
              <w:rPr>
                <w:sz w:val="15"/>
                <w:szCs w:val="15"/>
                <w:color w:val="auto"/>
              </w:rPr>
            </w:pPr>
          </w:p>
        </w:tc>
        <w:tc>
          <w:tcPr>
            <w:tcW w:w="360" w:type="dxa"/>
            <w:vAlign w:val="bottom"/>
          </w:tcPr>
          <w:p>
            <w:pPr>
              <w:ind w:left="40"/>
              <w:spacing w:after="0" w:line="176" w:lineRule="exact"/>
              <w:rPr>
                <w:sz w:val="20"/>
                <w:szCs w:val="20"/>
                <w:color w:val="auto"/>
              </w:rPr>
            </w:pPr>
            <w:r>
              <w:rPr>
                <w:rFonts w:ascii="Arial" w:cs="Arial" w:eastAsia="Arial" w:hAnsi="Arial"/>
                <w:sz w:val="16"/>
                <w:szCs w:val="16"/>
                <w:color w:val="auto"/>
              </w:rPr>
              <w:t>―</w:t>
            </w:r>
          </w:p>
        </w:tc>
        <w:tc>
          <w:tcPr>
            <w:tcW w:w="260" w:type="dxa"/>
            <w:vAlign w:val="bottom"/>
          </w:tcPr>
          <w:p>
            <w:pPr>
              <w:spacing w:after="0"/>
              <w:rPr>
                <w:sz w:val="15"/>
                <w:szCs w:val="15"/>
                <w:color w:val="auto"/>
              </w:rPr>
            </w:pPr>
          </w:p>
        </w:tc>
        <w:tc>
          <w:tcPr>
            <w:tcW w:w="840" w:type="dxa"/>
            <w:vAlign w:val="bottom"/>
          </w:tcPr>
          <w:p>
            <w:pPr>
              <w:jc w:val="center"/>
              <w:ind w:left="562"/>
              <w:spacing w:after="0" w:line="176" w:lineRule="exact"/>
              <w:rPr>
                <w:sz w:val="20"/>
                <w:szCs w:val="20"/>
                <w:color w:val="auto"/>
              </w:rPr>
            </w:pPr>
            <w:r>
              <w:rPr>
                <w:rFonts w:ascii="Arial" w:cs="Arial" w:eastAsia="Arial" w:hAnsi="Arial"/>
                <w:sz w:val="16"/>
                <w:szCs w:val="16"/>
                <w:color w:val="auto"/>
              </w:rPr>
              <w:t>(1)</w:t>
            </w:r>
          </w:p>
        </w:tc>
      </w:tr>
      <w:tr>
        <w:trPr>
          <w:trHeight w:val="194"/>
        </w:trPr>
        <w:tc>
          <w:tcPr>
            <w:tcW w:w="20" w:type="dxa"/>
            <w:vAlign w:val="bottom"/>
          </w:tcPr>
          <w:p>
            <w:pPr>
              <w:spacing w:after="0"/>
              <w:rPr>
                <w:sz w:val="16"/>
                <w:szCs w:val="16"/>
                <w:color w:val="auto"/>
              </w:rPr>
            </w:pPr>
          </w:p>
        </w:tc>
        <w:tc>
          <w:tcPr>
            <w:tcW w:w="3900" w:type="dxa"/>
            <w:vAlign w:val="bottom"/>
            <w:tcBorders>
              <w:bottom w:val="single" w:sz="8" w:color="auto"/>
            </w:tcBorders>
          </w:tcPr>
          <w:p>
            <w:pPr>
              <w:ind w:left="160"/>
              <w:spacing w:after="0"/>
              <w:rPr>
                <w:sz w:val="20"/>
                <w:szCs w:val="20"/>
                <w:color w:val="auto"/>
              </w:rPr>
            </w:pPr>
            <w:r>
              <w:rPr>
                <w:rFonts w:ascii="Arial" w:cs="Arial" w:eastAsia="Arial" w:hAnsi="Arial"/>
                <w:sz w:val="16"/>
                <w:szCs w:val="16"/>
                <w:color w:val="auto"/>
              </w:rPr>
              <w:t>Net actuarial gain</w:t>
            </w:r>
          </w:p>
        </w:tc>
        <w:tc>
          <w:tcPr>
            <w:tcW w:w="92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4</w:t>
            </w:r>
          </w:p>
        </w:tc>
        <w:tc>
          <w:tcPr>
            <w:tcW w:w="82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263"/>
              <w:spacing w:after="0"/>
              <w:rPr>
                <w:sz w:val="20"/>
                <w:szCs w:val="20"/>
                <w:color w:val="auto"/>
              </w:rPr>
            </w:pPr>
            <w:r>
              <w:rPr>
                <w:rFonts w:ascii="Arial" w:cs="Arial" w:eastAsia="Arial" w:hAnsi="Arial"/>
                <w:sz w:val="16"/>
                <w:szCs w:val="16"/>
                <w:color w:val="auto"/>
              </w:rPr>
              <w:t>4</w:t>
            </w:r>
          </w:p>
        </w:tc>
        <w:tc>
          <w:tcPr>
            <w:tcW w:w="98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2</w:t>
            </w:r>
          </w:p>
        </w:tc>
        <w:tc>
          <w:tcPr>
            <w:tcW w:w="82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ind w:left="4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center"/>
              <w:ind w:left="582"/>
              <w:spacing w:after="0"/>
              <w:rPr>
                <w:sz w:val="20"/>
                <w:szCs w:val="20"/>
                <w:color w:val="auto"/>
              </w:rPr>
            </w:pPr>
            <w:r>
              <w:rPr>
                <w:rFonts w:ascii="Arial" w:cs="Arial" w:eastAsia="Arial" w:hAnsi="Arial"/>
                <w:sz w:val="16"/>
                <w:szCs w:val="16"/>
                <w:color w:val="auto"/>
              </w:rPr>
              <w:t>2</w:t>
            </w:r>
          </w:p>
        </w:tc>
      </w:tr>
      <w:tr>
        <w:trPr>
          <w:trHeight w:val="164"/>
        </w:trPr>
        <w:tc>
          <w:tcPr>
            <w:tcW w:w="20" w:type="dxa"/>
            <w:vAlign w:val="bottom"/>
          </w:tcPr>
          <w:p>
            <w:pPr>
              <w:spacing w:after="0"/>
              <w:rPr>
                <w:sz w:val="14"/>
                <w:szCs w:val="14"/>
                <w:color w:val="auto"/>
              </w:rPr>
            </w:pPr>
          </w:p>
        </w:tc>
        <w:tc>
          <w:tcPr>
            <w:tcW w:w="3900" w:type="dxa"/>
            <w:vAlign w:val="bottom"/>
          </w:tcPr>
          <w:p>
            <w:pPr>
              <w:spacing w:after="0" w:line="164" w:lineRule="exact"/>
              <w:rPr>
                <w:sz w:val="20"/>
                <w:szCs w:val="20"/>
                <w:color w:val="auto"/>
              </w:rPr>
            </w:pPr>
            <w:r>
              <w:rPr>
                <w:rFonts w:ascii="Arial" w:cs="Arial" w:eastAsia="Arial" w:hAnsi="Arial"/>
                <w:sz w:val="16"/>
                <w:szCs w:val="16"/>
                <w:b w:val="1"/>
                <w:bCs w:val="1"/>
                <w:color w:val="auto"/>
              </w:rPr>
              <w:t>SoCalGas:</w:t>
            </w:r>
          </w:p>
        </w:tc>
        <w:tc>
          <w:tcPr>
            <w:tcW w:w="9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94"/>
        </w:trPr>
        <w:tc>
          <w:tcPr>
            <w:tcW w:w="20" w:type="dxa"/>
            <w:vAlign w:val="bottom"/>
          </w:tcPr>
          <w:p>
            <w:pPr>
              <w:spacing w:after="0"/>
              <w:rPr>
                <w:sz w:val="16"/>
                <w:szCs w:val="16"/>
                <w:color w:val="auto"/>
              </w:rPr>
            </w:pPr>
          </w:p>
        </w:tc>
        <w:tc>
          <w:tcPr>
            <w:tcW w:w="3900" w:type="dxa"/>
            <w:vAlign w:val="bottom"/>
            <w:tcBorders>
              <w:bottom w:val="single" w:sz="8" w:color="auto"/>
            </w:tcBorders>
          </w:tcPr>
          <w:p>
            <w:pPr>
              <w:ind w:left="160"/>
              <w:spacing w:after="0"/>
              <w:rPr>
                <w:sz w:val="20"/>
                <w:szCs w:val="20"/>
                <w:color w:val="auto"/>
              </w:rPr>
            </w:pPr>
            <w:r>
              <w:rPr>
                <w:rFonts w:ascii="Arial" w:cs="Arial" w:eastAsia="Arial" w:hAnsi="Arial"/>
                <w:sz w:val="16"/>
                <w:szCs w:val="16"/>
                <w:color w:val="auto"/>
              </w:rPr>
              <w:t>Financial instruments</w:t>
            </w:r>
          </w:p>
        </w:tc>
        <w:tc>
          <w:tcPr>
            <w:tcW w:w="920" w:type="dxa"/>
            <w:vAlign w:val="bottom"/>
            <w:tcBorders>
              <w:bottom w:val="single" w:sz="8" w:color="auto"/>
            </w:tcBorders>
          </w:tcPr>
          <w:p>
            <w:pPr>
              <w:jc w:val="right"/>
              <w:ind w:right="484"/>
              <w:spacing w:after="0"/>
              <w:rPr>
                <w:sz w:val="20"/>
                <w:szCs w:val="20"/>
                <w:color w:val="auto"/>
              </w:rPr>
            </w:pPr>
            <w:r>
              <w:rPr>
                <w:rFonts w:ascii="Arial" w:cs="Arial" w:eastAsia="Arial" w:hAnsi="Arial"/>
                <w:sz w:val="16"/>
                <w:szCs w:val="16"/>
                <w:color w:val="auto"/>
              </w:rPr>
              <w:t>$</w:t>
            </w:r>
          </w:p>
        </w:tc>
        <w:tc>
          <w:tcPr>
            <w:tcW w:w="4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1</w:t>
            </w:r>
          </w:p>
        </w:tc>
        <w:tc>
          <w:tcPr>
            <w:tcW w:w="820" w:type="dxa"/>
            <w:vAlign w:val="bottom"/>
            <w:tcBorders>
              <w:bottom w:val="single" w:sz="8" w:color="auto"/>
            </w:tcBorders>
          </w:tcPr>
          <w:p>
            <w:pPr>
              <w:jc w:val="right"/>
              <w:ind w:right="525"/>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tcPr>
          <w:p>
            <w:pPr>
              <w:jc w:val="right"/>
              <w:ind w:right="263"/>
              <w:spacing w:after="0"/>
              <w:rPr>
                <w:sz w:val="20"/>
                <w:szCs w:val="20"/>
                <w:color w:val="auto"/>
              </w:rPr>
            </w:pPr>
            <w:r>
              <w:rPr>
                <w:rFonts w:ascii="Arial" w:cs="Arial" w:eastAsia="Arial" w:hAnsi="Arial"/>
                <w:sz w:val="16"/>
                <w:szCs w:val="16"/>
                <w:color w:val="auto"/>
              </w:rPr>
              <w:t>1</w:t>
            </w:r>
          </w:p>
        </w:tc>
        <w:tc>
          <w:tcPr>
            <w:tcW w:w="980" w:type="dxa"/>
            <w:vAlign w:val="bottom"/>
            <w:tcBorders>
              <w:bottom w:val="single" w:sz="8" w:color="auto"/>
            </w:tcBorders>
          </w:tcPr>
          <w:p>
            <w:pPr>
              <w:jc w:val="right"/>
              <w:ind w:right="504"/>
              <w:spacing w:after="0"/>
              <w:rPr>
                <w:sz w:val="20"/>
                <w:szCs w:val="20"/>
                <w:color w:val="auto"/>
              </w:rPr>
            </w:pPr>
            <w:r>
              <w:rPr>
                <w:rFonts w:ascii="Arial" w:cs="Arial" w:eastAsia="Arial" w:hAnsi="Arial"/>
                <w:sz w:val="16"/>
                <w:szCs w:val="16"/>
                <w:color w:val="auto"/>
              </w:rPr>
              <w:t>$</w:t>
            </w:r>
          </w:p>
        </w:tc>
        <w:tc>
          <w:tcPr>
            <w:tcW w:w="38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1</w:t>
            </w:r>
          </w:p>
        </w:tc>
        <w:tc>
          <w:tcPr>
            <w:tcW w:w="820" w:type="dxa"/>
            <w:vAlign w:val="bottom"/>
            <w:tcBorders>
              <w:bottom w:val="single" w:sz="8" w:color="auto"/>
            </w:tcBorders>
          </w:tcPr>
          <w:p>
            <w:pPr>
              <w:jc w:val="right"/>
              <w:ind w:right="525"/>
              <w:spacing w:after="0"/>
              <w:rPr>
                <w:sz w:val="20"/>
                <w:szCs w:val="20"/>
                <w:color w:val="auto"/>
              </w:rPr>
            </w:pPr>
            <w:r>
              <w:rPr>
                <w:rFonts w:ascii="Arial" w:cs="Arial" w:eastAsia="Arial" w:hAnsi="Arial"/>
                <w:sz w:val="16"/>
                <w:szCs w:val="16"/>
                <w:color w:val="auto"/>
              </w:rPr>
              <w:t>$</w:t>
            </w:r>
          </w:p>
        </w:tc>
        <w:tc>
          <w:tcPr>
            <w:tcW w:w="360" w:type="dxa"/>
            <w:vAlign w:val="bottom"/>
            <w:tcBorders>
              <w:bottom w:val="single" w:sz="8" w:color="auto"/>
            </w:tcBorders>
          </w:tcPr>
          <w:p>
            <w:pPr>
              <w:ind w:left="4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tcPr>
          <w:p>
            <w:pPr>
              <w:jc w:val="center"/>
              <w:ind w:left="582"/>
              <w:spacing w:after="0"/>
              <w:rPr>
                <w:sz w:val="20"/>
                <w:szCs w:val="20"/>
                <w:color w:val="auto"/>
              </w:rPr>
            </w:pPr>
            <w:r>
              <w:rPr>
                <w:rFonts w:ascii="Arial" w:cs="Arial" w:eastAsia="Arial" w:hAnsi="Arial"/>
                <w:sz w:val="16"/>
                <w:szCs w:val="16"/>
                <w:color w:val="auto"/>
              </w:rPr>
              <w:t>1</w:t>
            </w:r>
          </w:p>
        </w:tc>
      </w:tr>
    </w:tbl>
    <w:p>
      <w:pPr>
        <w:spacing w:after="0" w:line="31" w:lineRule="exact"/>
        <w:rPr>
          <w:sz w:val="20"/>
          <w:szCs w:val="20"/>
          <w:color w:val="auto"/>
        </w:rPr>
      </w:pPr>
    </w:p>
    <w:p>
      <w:pPr>
        <w:ind w:left="300"/>
        <w:spacing w:after="0"/>
        <w:rPr>
          <w:sz w:val="20"/>
          <w:szCs w:val="20"/>
          <w:color w:val="auto"/>
        </w:rPr>
      </w:pPr>
      <w:r>
        <w:rPr>
          <w:rFonts w:ascii="Arial" w:cs="Arial" w:eastAsia="Arial" w:hAnsi="Arial"/>
          <w:sz w:val="14"/>
          <w:szCs w:val="14"/>
          <w:i w:val="1"/>
          <w:iCs w:val="1"/>
          <w:color w:val="auto"/>
        </w:rPr>
        <w:t>(1)Shareholders' equity of Sempra Energy Consolidated or SoCalGas as indicated in left margin.</w:t>
      </w:r>
    </w:p>
    <w:p>
      <w:pPr>
        <w:sectPr>
          <w:pgSz w:w="11900" w:h="16838" w:orient="portrait"/>
          <w:cols w:equalWidth="0" w:num="1">
            <w:col w:w="11420"/>
          </w:cols>
          <w:pgMar w:left="240" w:top="357" w:right="239" w:bottom="0" w:gutter="0" w:footer="0" w:header="0"/>
        </w:sectPr>
      </w:pPr>
    </w:p>
    <w:bookmarkStart w:id="29" w:name="page30"/>
    <w:bookmarkEnd w:id="29"/>
    <w:p>
      <w:pPr>
        <w:ind w:right="340"/>
        <w:spacing w:after="0" w:line="277" w:lineRule="auto"/>
        <w:rPr>
          <w:sz w:val="20"/>
          <w:szCs w:val="20"/>
          <w:color w:val="auto"/>
        </w:rPr>
      </w:pPr>
      <w:r>
        <w:rPr>
          <w:rFonts w:ascii="Arial" w:cs="Arial" w:eastAsia="Arial" w:hAnsi="Arial"/>
          <w:sz w:val="18"/>
          <w:szCs w:val="18"/>
          <w:color w:val="auto"/>
        </w:rPr>
        <w:t>Income tax amounts associated with other comprehensive income during the three months and six months ended June 30, 2011 and 2010 at SDG&amp;E were negligible.</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SHAREHOLDERS’ EQUITY AND NONCONTROLLING INTERESTS</w:t>
      </w:r>
    </w:p>
    <w:p>
      <w:pPr>
        <w:spacing w:after="0" w:line="234"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The following two tables provide a reconciliation of Sempra Energy’s and SDG&amp;E’s shareholders’ equity and noncontrolling interests for the six months ended June 30, 2011 and 2010.</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SHAREHOLDERS' EQUITY AND NONCONTROLLING INTERESTS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-104775</wp:posOffset>
            </wp:positionV>
            <wp:extent cx="7246620" cy="22288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46620" cy="222885"/>
                    </a:xfrm>
                    <a:prstGeom prst="rect">
                      <a:avLst/>
                    </a:prstGeom>
                    <a:noFill/>
                  </pic:spPr>
                </pic:pic>
              </a:graphicData>
            </a:graphic>
          </wp:anchor>
        </w:drawing>
      </w:r>
    </w:p>
    <w:p>
      <w:pPr>
        <w:spacing w:after="0" w:line="8"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(Dollars in millions)</w:t>
      </w:r>
    </w:p>
    <w:p>
      <w:pPr>
        <w:spacing w:after="0" w:line="42"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56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0" w:type="dxa"/>
            <w:vAlign w:val="bottom"/>
          </w:tcPr>
          <w:p>
            <w:pPr>
              <w:jc w:val="center"/>
              <w:ind w:right="141"/>
              <w:spacing w:after="0"/>
              <w:rPr>
                <w:sz w:val="20"/>
                <w:szCs w:val="20"/>
                <w:color w:val="auto"/>
              </w:rPr>
            </w:pPr>
            <w:r>
              <w:rPr>
                <w:rFonts w:ascii="Arial" w:cs="Arial" w:eastAsia="Arial" w:hAnsi="Arial"/>
                <w:sz w:val="14"/>
                <w:szCs w:val="14"/>
                <w:color w:val="auto"/>
              </w:rPr>
              <w:t>Sempra</w:t>
            </w:r>
          </w:p>
        </w:tc>
        <w:tc>
          <w:tcPr>
            <w:tcW w:w="2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176"/>
        </w:trPr>
        <w:tc>
          <w:tcPr>
            <w:tcW w:w="20" w:type="dxa"/>
            <w:vAlign w:val="bottom"/>
          </w:tcPr>
          <w:p>
            <w:pPr>
              <w:spacing w:after="0"/>
              <w:rPr>
                <w:sz w:val="15"/>
                <w:szCs w:val="15"/>
                <w:color w:val="auto"/>
              </w:rPr>
            </w:pPr>
          </w:p>
        </w:tc>
        <w:tc>
          <w:tcPr>
            <w:tcW w:w="56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00" w:type="dxa"/>
            <w:vAlign w:val="bottom"/>
          </w:tcPr>
          <w:p>
            <w:pPr>
              <w:jc w:val="center"/>
              <w:ind w:right="141"/>
              <w:spacing w:after="0"/>
              <w:rPr>
                <w:sz w:val="20"/>
                <w:szCs w:val="20"/>
                <w:color w:val="auto"/>
              </w:rPr>
            </w:pPr>
            <w:r>
              <w:rPr>
                <w:rFonts w:ascii="Arial" w:cs="Arial" w:eastAsia="Arial" w:hAnsi="Arial"/>
                <w:sz w:val="14"/>
                <w:szCs w:val="14"/>
                <w:color w:val="auto"/>
              </w:rPr>
              <w:t>Energy</w:t>
            </w:r>
          </w:p>
        </w:tc>
        <w:tc>
          <w:tcPr>
            <w:tcW w:w="2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320" w:type="dxa"/>
            <w:vAlign w:val="bottom"/>
          </w:tcPr>
          <w:p>
            <w:pPr>
              <w:jc w:val="center"/>
              <w:ind w:right="40"/>
              <w:spacing w:after="0"/>
              <w:rPr>
                <w:sz w:val="20"/>
                <w:szCs w:val="20"/>
                <w:color w:val="auto"/>
              </w:rPr>
            </w:pPr>
            <w:r>
              <w:rPr>
                <w:rFonts w:ascii="Arial" w:cs="Arial" w:eastAsia="Arial" w:hAnsi="Arial"/>
                <w:sz w:val="14"/>
                <w:szCs w:val="14"/>
                <w:color w:val="auto"/>
              </w:rPr>
              <w:t>Non-</w:t>
            </w: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220" w:type="dxa"/>
            <w:vAlign w:val="bottom"/>
          </w:tcPr>
          <w:p>
            <w:pPr>
              <w:spacing w:after="0"/>
              <w:rPr>
                <w:sz w:val="15"/>
                <w:szCs w:val="15"/>
                <w:color w:val="auto"/>
              </w:rPr>
            </w:pPr>
          </w:p>
        </w:tc>
      </w:tr>
      <w:tr>
        <w:trPr>
          <w:trHeight w:val="176"/>
        </w:trPr>
        <w:tc>
          <w:tcPr>
            <w:tcW w:w="20" w:type="dxa"/>
            <w:vAlign w:val="bottom"/>
          </w:tcPr>
          <w:p>
            <w:pPr>
              <w:spacing w:after="0"/>
              <w:rPr>
                <w:sz w:val="15"/>
                <w:szCs w:val="15"/>
                <w:color w:val="auto"/>
              </w:rPr>
            </w:pPr>
          </w:p>
        </w:tc>
        <w:tc>
          <w:tcPr>
            <w:tcW w:w="56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00" w:type="dxa"/>
            <w:vAlign w:val="bottom"/>
          </w:tcPr>
          <w:p>
            <w:pPr>
              <w:jc w:val="center"/>
              <w:ind w:right="121"/>
              <w:spacing w:after="0"/>
              <w:rPr>
                <w:sz w:val="20"/>
                <w:szCs w:val="20"/>
                <w:color w:val="auto"/>
              </w:rPr>
            </w:pPr>
            <w:r>
              <w:rPr>
                <w:rFonts w:ascii="Arial" w:cs="Arial" w:eastAsia="Arial" w:hAnsi="Arial"/>
                <w:sz w:val="14"/>
                <w:szCs w:val="14"/>
                <w:color w:val="auto"/>
              </w:rPr>
              <w:t>Shareholders'</w:t>
            </w:r>
          </w:p>
        </w:tc>
        <w:tc>
          <w:tcPr>
            <w:tcW w:w="2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320" w:type="dxa"/>
            <w:vAlign w:val="bottom"/>
          </w:tcPr>
          <w:p>
            <w:pPr>
              <w:jc w:val="center"/>
              <w:ind w:right="60"/>
              <w:spacing w:after="0"/>
              <w:rPr>
                <w:sz w:val="20"/>
                <w:szCs w:val="20"/>
                <w:color w:val="auto"/>
              </w:rPr>
            </w:pPr>
            <w:r>
              <w:rPr>
                <w:rFonts w:ascii="Arial" w:cs="Arial" w:eastAsia="Arial" w:hAnsi="Arial"/>
                <w:sz w:val="14"/>
                <w:szCs w:val="14"/>
                <w:color w:val="auto"/>
              </w:rPr>
              <w:t>controlling</w:t>
            </w: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220" w:type="dxa"/>
            <w:vAlign w:val="bottom"/>
          </w:tcPr>
          <w:p>
            <w:pPr>
              <w:jc w:val="center"/>
              <w:spacing w:after="0"/>
              <w:rPr>
                <w:sz w:val="20"/>
                <w:szCs w:val="20"/>
                <w:color w:val="auto"/>
              </w:rPr>
            </w:pPr>
            <w:r>
              <w:rPr>
                <w:rFonts w:ascii="Arial" w:cs="Arial" w:eastAsia="Arial" w:hAnsi="Arial"/>
                <w:sz w:val="14"/>
                <w:szCs w:val="14"/>
                <w:color w:val="auto"/>
                <w:w w:val="96"/>
              </w:rPr>
              <w:t>Total</w:t>
            </w:r>
          </w:p>
        </w:tc>
      </w:tr>
      <w:tr>
        <w:trPr>
          <w:trHeight w:val="168"/>
        </w:trPr>
        <w:tc>
          <w:tcPr>
            <w:tcW w:w="20" w:type="dxa"/>
            <w:vAlign w:val="bottom"/>
          </w:tcPr>
          <w:p>
            <w:pPr>
              <w:spacing w:after="0"/>
              <w:rPr>
                <w:sz w:val="14"/>
                <w:szCs w:val="14"/>
                <w:color w:val="auto"/>
              </w:rPr>
            </w:pPr>
          </w:p>
        </w:tc>
        <w:tc>
          <w:tcPr>
            <w:tcW w:w="562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tcPr>
          <w:p>
            <w:pPr>
              <w:jc w:val="center"/>
              <w:ind w:right="121"/>
              <w:spacing w:after="0"/>
              <w:rPr>
                <w:sz w:val="20"/>
                <w:szCs w:val="20"/>
                <w:color w:val="auto"/>
              </w:rPr>
            </w:pPr>
            <w:r>
              <w:rPr>
                <w:rFonts w:ascii="Arial" w:cs="Arial" w:eastAsia="Arial" w:hAnsi="Arial"/>
                <w:sz w:val="14"/>
                <w:szCs w:val="14"/>
                <w:color w:val="auto"/>
              </w:rPr>
              <w:t>Equity</w:t>
            </w:r>
          </w:p>
        </w:tc>
        <w:tc>
          <w:tcPr>
            <w:tcW w:w="24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jc w:val="center"/>
              <w:ind w:right="40"/>
              <w:spacing w:after="0"/>
              <w:rPr>
                <w:sz w:val="20"/>
                <w:szCs w:val="20"/>
                <w:color w:val="auto"/>
              </w:rPr>
            </w:pPr>
            <w:r>
              <w:rPr>
                <w:rFonts w:ascii="Arial" w:cs="Arial" w:eastAsia="Arial" w:hAnsi="Arial"/>
                <w:sz w:val="14"/>
                <w:szCs w:val="14"/>
                <w:color w:val="auto"/>
              </w:rPr>
              <w:t>Interests</w:t>
            </w:r>
          </w:p>
        </w:tc>
        <w:tc>
          <w:tcPr>
            <w:tcW w:w="1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center"/>
              <w:ind w:right="20"/>
              <w:spacing w:after="0"/>
              <w:rPr>
                <w:sz w:val="20"/>
                <w:szCs w:val="20"/>
                <w:color w:val="auto"/>
              </w:rPr>
            </w:pPr>
            <w:r>
              <w:rPr>
                <w:rFonts w:ascii="Arial" w:cs="Arial" w:eastAsia="Arial" w:hAnsi="Arial"/>
                <w:sz w:val="14"/>
                <w:szCs w:val="14"/>
                <w:color w:val="auto"/>
              </w:rPr>
              <w:t>Equity</w:t>
            </w:r>
          </w:p>
        </w:tc>
      </w:tr>
      <w:tr>
        <w:trPr>
          <w:trHeight w:val="164"/>
        </w:trPr>
        <w:tc>
          <w:tcPr>
            <w:tcW w:w="20" w:type="dxa"/>
            <w:vAlign w:val="bottom"/>
          </w:tcPr>
          <w:p>
            <w:pPr>
              <w:spacing w:after="0"/>
              <w:rPr>
                <w:sz w:val="14"/>
                <w:szCs w:val="14"/>
                <w:color w:val="auto"/>
              </w:rPr>
            </w:pPr>
          </w:p>
        </w:tc>
        <w:tc>
          <w:tcPr>
            <w:tcW w:w="5620" w:type="dxa"/>
            <w:vAlign w:val="bottom"/>
          </w:tcPr>
          <w:p>
            <w:pPr>
              <w:spacing w:after="0" w:line="164" w:lineRule="exact"/>
              <w:rPr>
                <w:sz w:val="20"/>
                <w:szCs w:val="20"/>
                <w:color w:val="auto"/>
              </w:rPr>
            </w:pPr>
            <w:r>
              <w:rPr>
                <w:rFonts w:ascii="Arial" w:cs="Arial" w:eastAsia="Arial" w:hAnsi="Arial"/>
                <w:sz w:val="16"/>
                <w:szCs w:val="16"/>
                <w:color w:val="auto"/>
              </w:rPr>
              <w:t>Balance at December 31, 2010</w:t>
            </w:r>
          </w:p>
        </w:tc>
        <w:tc>
          <w:tcPr>
            <w:tcW w:w="420" w:type="dxa"/>
            <w:vAlign w:val="bottom"/>
          </w:tcPr>
          <w:p>
            <w:pPr>
              <w:jc w:val="right"/>
              <w:ind w:right="262"/>
              <w:spacing w:after="0" w:line="164" w:lineRule="exact"/>
              <w:rPr>
                <w:sz w:val="20"/>
                <w:szCs w:val="20"/>
                <w:color w:val="auto"/>
              </w:rPr>
            </w:pPr>
            <w:r>
              <w:rPr>
                <w:rFonts w:ascii="Arial" w:cs="Arial" w:eastAsia="Arial" w:hAnsi="Arial"/>
                <w:sz w:val="15"/>
                <w:szCs w:val="15"/>
                <w:color w:val="auto"/>
                <w:w w:val="71"/>
              </w:rPr>
              <w:t>$</w:t>
            </w:r>
          </w:p>
        </w:tc>
        <w:tc>
          <w:tcPr>
            <w:tcW w:w="260" w:type="dxa"/>
            <w:vAlign w:val="bottom"/>
          </w:tcPr>
          <w:p>
            <w:pPr>
              <w:spacing w:after="0"/>
              <w:rPr>
                <w:sz w:val="14"/>
                <w:szCs w:val="14"/>
                <w:color w:val="auto"/>
              </w:rPr>
            </w:pPr>
          </w:p>
        </w:tc>
        <w:tc>
          <w:tcPr>
            <w:tcW w:w="1400" w:type="dxa"/>
            <w:vAlign w:val="bottom"/>
          </w:tcPr>
          <w:p>
            <w:pPr>
              <w:jc w:val="right"/>
              <w:spacing w:after="0" w:line="164" w:lineRule="exact"/>
              <w:rPr>
                <w:sz w:val="20"/>
                <w:szCs w:val="20"/>
                <w:color w:val="auto"/>
              </w:rPr>
            </w:pPr>
            <w:r>
              <w:rPr>
                <w:rFonts w:ascii="Arial" w:cs="Arial" w:eastAsia="Arial" w:hAnsi="Arial"/>
                <w:sz w:val="16"/>
                <w:szCs w:val="16"/>
                <w:color w:val="auto"/>
              </w:rPr>
              <w:t>9,027</w:t>
            </w:r>
          </w:p>
        </w:tc>
        <w:tc>
          <w:tcPr>
            <w:tcW w:w="240" w:type="dxa"/>
            <w:vAlign w:val="bottom"/>
          </w:tcPr>
          <w:p>
            <w:pPr>
              <w:jc w:val="right"/>
              <w:ind w:right="82"/>
              <w:spacing w:after="0" w:line="164" w:lineRule="exact"/>
              <w:rPr>
                <w:sz w:val="20"/>
                <w:szCs w:val="20"/>
                <w:color w:val="auto"/>
              </w:rPr>
            </w:pPr>
            <w:r>
              <w:rPr>
                <w:rFonts w:ascii="Arial" w:cs="Arial" w:eastAsia="Arial" w:hAnsi="Arial"/>
                <w:sz w:val="15"/>
                <w:szCs w:val="15"/>
                <w:color w:val="auto"/>
                <w:w w:val="71"/>
              </w:rPr>
              <w:t>$</w:t>
            </w:r>
          </w:p>
        </w:tc>
        <w:tc>
          <w:tcPr>
            <w:tcW w:w="360" w:type="dxa"/>
            <w:vAlign w:val="bottom"/>
          </w:tcPr>
          <w:p>
            <w:pPr>
              <w:spacing w:after="0"/>
              <w:rPr>
                <w:sz w:val="14"/>
                <w:szCs w:val="14"/>
                <w:color w:val="auto"/>
              </w:rPr>
            </w:pPr>
          </w:p>
        </w:tc>
        <w:tc>
          <w:tcPr>
            <w:tcW w:w="1320" w:type="dxa"/>
            <w:vAlign w:val="bottom"/>
          </w:tcPr>
          <w:p>
            <w:pPr>
              <w:jc w:val="right"/>
              <w:spacing w:after="0" w:line="164" w:lineRule="exact"/>
              <w:rPr>
                <w:sz w:val="20"/>
                <w:szCs w:val="20"/>
                <w:color w:val="auto"/>
              </w:rPr>
            </w:pPr>
            <w:r>
              <w:rPr>
                <w:rFonts w:ascii="Arial" w:cs="Arial" w:eastAsia="Arial" w:hAnsi="Arial"/>
                <w:sz w:val="16"/>
                <w:szCs w:val="16"/>
                <w:color w:val="auto"/>
              </w:rPr>
              <w:t>211</w:t>
            </w:r>
          </w:p>
        </w:tc>
        <w:tc>
          <w:tcPr>
            <w:tcW w:w="100" w:type="dxa"/>
            <w:vAlign w:val="bottom"/>
          </w:tcPr>
          <w:p>
            <w:pPr>
              <w:jc w:val="right"/>
              <w:spacing w:after="0" w:line="164" w:lineRule="exact"/>
              <w:rPr>
                <w:sz w:val="20"/>
                <w:szCs w:val="20"/>
                <w:color w:val="auto"/>
              </w:rPr>
            </w:pPr>
            <w:r>
              <w:rPr>
                <w:rFonts w:ascii="Arial" w:cs="Arial" w:eastAsia="Arial" w:hAnsi="Arial"/>
                <w:sz w:val="15"/>
                <w:szCs w:val="15"/>
                <w:color w:val="auto"/>
                <w:w w:val="71"/>
              </w:rPr>
              <w:t>$</w:t>
            </w:r>
          </w:p>
        </w:tc>
        <w:tc>
          <w:tcPr>
            <w:tcW w:w="460" w:type="dxa"/>
            <w:vAlign w:val="bottom"/>
          </w:tcPr>
          <w:p>
            <w:pPr>
              <w:spacing w:after="0"/>
              <w:rPr>
                <w:sz w:val="14"/>
                <w:szCs w:val="14"/>
                <w:color w:val="auto"/>
              </w:rPr>
            </w:pPr>
          </w:p>
        </w:tc>
        <w:tc>
          <w:tcPr>
            <w:tcW w:w="1220" w:type="dxa"/>
            <w:vAlign w:val="bottom"/>
          </w:tcPr>
          <w:p>
            <w:pPr>
              <w:jc w:val="right"/>
              <w:spacing w:after="0" w:line="164" w:lineRule="exact"/>
              <w:rPr>
                <w:sz w:val="20"/>
                <w:szCs w:val="20"/>
                <w:color w:val="auto"/>
              </w:rPr>
            </w:pPr>
            <w:r>
              <w:rPr>
                <w:rFonts w:ascii="Arial" w:cs="Arial" w:eastAsia="Arial" w:hAnsi="Arial"/>
                <w:sz w:val="16"/>
                <w:szCs w:val="16"/>
                <w:color w:val="auto"/>
              </w:rPr>
              <w:t>9,238</w:t>
            </w:r>
          </w:p>
        </w:tc>
      </w:tr>
      <w:tr>
        <w:trPr>
          <w:trHeight w:val="176"/>
        </w:trPr>
        <w:tc>
          <w:tcPr>
            <w:tcW w:w="5640" w:type="dxa"/>
            <w:vAlign w:val="bottom"/>
            <w:gridSpan w:val="2"/>
          </w:tcPr>
          <w:p>
            <w:pPr>
              <w:spacing w:after="0" w:line="176" w:lineRule="exact"/>
              <w:rPr>
                <w:sz w:val="20"/>
                <w:szCs w:val="20"/>
                <w:color w:val="auto"/>
              </w:rPr>
            </w:pPr>
            <w:r>
              <w:rPr>
                <w:rFonts w:ascii="Arial" w:cs="Arial" w:eastAsia="Arial" w:hAnsi="Arial"/>
                <w:sz w:val="16"/>
                <w:szCs w:val="16"/>
                <w:color w:val="auto"/>
              </w:rPr>
              <w:t>Comprehensive income (loss)</w:t>
            </w:r>
          </w:p>
        </w:tc>
        <w:tc>
          <w:tcPr>
            <w:tcW w:w="4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00" w:type="dxa"/>
            <w:vAlign w:val="bottom"/>
          </w:tcPr>
          <w:p>
            <w:pPr>
              <w:jc w:val="right"/>
              <w:spacing w:after="0" w:line="176" w:lineRule="exact"/>
              <w:rPr>
                <w:sz w:val="20"/>
                <w:szCs w:val="20"/>
                <w:color w:val="auto"/>
              </w:rPr>
            </w:pPr>
            <w:r>
              <w:rPr>
                <w:rFonts w:ascii="Arial" w:cs="Arial" w:eastAsia="Arial" w:hAnsi="Arial"/>
                <w:sz w:val="16"/>
                <w:szCs w:val="16"/>
                <w:color w:val="auto"/>
              </w:rPr>
              <w:t>746</w:t>
            </w:r>
          </w:p>
        </w:tc>
        <w:tc>
          <w:tcPr>
            <w:tcW w:w="2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320" w:type="dxa"/>
            <w:vAlign w:val="bottom"/>
          </w:tcPr>
          <w:p>
            <w:pPr>
              <w:jc w:val="right"/>
              <w:spacing w:after="0" w:line="176" w:lineRule="exact"/>
              <w:rPr>
                <w:sz w:val="20"/>
                <w:szCs w:val="20"/>
                <w:color w:val="auto"/>
              </w:rPr>
            </w:pPr>
            <w:r>
              <w:rPr>
                <w:rFonts w:ascii="Arial" w:cs="Arial" w:eastAsia="Arial" w:hAnsi="Arial"/>
                <w:sz w:val="16"/>
                <w:szCs w:val="16"/>
                <w:color w:val="auto"/>
              </w:rPr>
              <w:t>(11)</w:t>
            </w: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220" w:type="dxa"/>
            <w:vAlign w:val="bottom"/>
          </w:tcPr>
          <w:p>
            <w:pPr>
              <w:jc w:val="right"/>
              <w:spacing w:after="0" w:line="176" w:lineRule="exact"/>
              <w:rPr>
                <w:sz w:val="20"/>
                <w:szCs w:val="20"/>
                <w:color w:val="auto"/>
              </w:rPr>
            </w:pPr>
            <w:r>
              <w:rPr>
                <w:rFonts w:ascii="Arial" w:cs="Arial" w:eastAsia="Arial" w:hAnsi="Arial"/>
                <w:sz w:val="16"/>
                <w:szCs w:val="16"/>
                <w:color w:val="auto"/>
              </w:rPr>
              <w:t>735</w:t>
            </w:r>
          </w:p>
        </w:tc>
      </w:tr>
      <w:tr>
        <w:trPr>
          <w:trHeight w:val="176"/>
        </w:trPr>
        <w:tc>
          <w:tcPr>
            <w:tcW w:w="5640" w:type="dxa"/>
            <w:vAlign w:val="bottom"/>
            <w:gridSpan w:val="2"/>
          </w:tcPr>
          <w:p>
            <w:pPr>
              <w:spacing w:after="0" w:line="176" w:lineRule="exact"/>
              <w:rPr>
                <w:sz w:val="20"/>
                <w:szCs w:val="20"/>
                <w:color w:val="auto"/>
              </w:rPr>
            </w:pPr>
            <w:r>
              <w:rPr>
                <w:rFonts w:ascii="Arial" w:cs="Arial" w:eastAsia="Arial" w:hAnsi="Arial"/>
                <w:sz w:val="16"/>
                <w:szCs w:val="16"/>
                <w:color w:val="auto"/>
              </w:rPr>
              <w:t>Share-based compensation expense</w:t>
            </w:r>
          </w:p>
        </w:tc>
        <w:tc>
          <w:tcPr>
            <w:tcW w:w="4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00" w:type="dxa"/>
            <w:vAlign w:val="bottom"/>
          </w:tcPr>
          <w:p>
            <w:pPr>
              <w:jc w:val="right"/>
              <w:spacing w:after="0" w:line="176" w:lineRule="exact"/>
              <w:rPr>
                <w:sz w:val="20"/>
                <w:szCs w:val="20"/>
                <w:color w:val="auto"/>
              </w:rPr>
            </w:pPr>
            <w:r>
              <w:rPr>
                <w:rFonts w:ascii="Arial" w:cs="Arial" w:eastAsia="Arial" w:hAnsi="Arial"/>
                <w:sz w:val="16"/>
                <w:szCs w:val="16"/>
                <w:color w:val="auto"/>
              </w:rPr>
              <w:t>24</w:t>
            </w:r>
          </w:p>
        </w:tc>
        <w:tc>
          <w:tcPr>
            <w:tcW w:w="2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320" w:type="dxa"/>
            <w:vAlign w:val="bottom"/>
          </w:tcPr>
          <w:p>
            <w:pPr>
              <w:jc w:val="right"/>
              <w:spacing w:after="0" w:line="176" w:lineRule="exact"/>
              <w:rPr>
                <w:sz w:val="20"/>
                <w:szCs w:val="20"/>
                <w:color w:val="auto"/>
              </w:rPr>
            </w:pPr>
            <w:r>
              <w:rPr>
                <w:rFonts w:ascii="Arial" w:cs="Arial" w:eastAsia="Arial" w:hAnsi="Arial"/>
                <w:sz w:val="16"/>
                <w:szCs w:val="16"/>
                <w:color w:val="auto"/>
              </w:rPr>
              <w:t>―</w:t>
            </w: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220" w:type="dxa"/>
            <w:vAlign w:val="bottom"/>
          </w:tcPr>
          <w:p>
            <w:pPr>
              <w:jc w:val="right"/>
              <w:spacing w:after="0" w:line="176" w:lineRule="exact"/>
              <w:rPr>
                <w:sz w:val="20"/>
                <w:szCs w:val="20"/>
                <w:color w:val="auto"/>
              </w:rPr>
            </w:pPr>
            <w:r>
              <w:rPr>
                <w:rFonts w:ascii="Arial" w:cs="Arial" w:eastAsia="Arial" w:hAnsi="Arial"/>
                <w:sz w:val="16"/>
                <w:szCs w:val="16"/>
                <w:color w:val="auto"/>
              </w:rPr>
              <w:t>24</w:t>
            </w:r>
          </w:p>
        </w:tc>
      </w:tr>
      <w:tr>
        <w:trPr>
          <w:trHeight w:val="176"/>
        </w:trPr>
        <w:tc>
          <w:tcPr>
            <w:tcW w:w="5640" w:type="dxa"/>
            <w:vAlign w:val="bottom"/>
            <w:gridSpan w:val="2"/>
          </w:tcPr>
          <w:p>
            <w:pPr>
              <w:spacing w:after="0" w:line="176" w:lineRule="exact"/>
              <w:rPr>
                <w:sz w:val="20"/>
                <w:szCs w:val="20"/>
                <w:color w:val="auto"/>
              </w:rPr>
            </w:pPr>
            <w:r>
              <w:rPr>
                <w:rFonts w:ascii="Arial" w:cs="Arial" w:eastAsia="Arial" w:hAnsi="Arial"/>
                <w:sz w:val="16"/>
                <w:szCs w:val="16"/>
                <w:color w:val="auto"/>
              </w:rPr>
              <w:t>Common stock dividends declared</w:t>
            </w:r>
          </w:p>
        </w:tc>
        <w:tc>
          <w:tcPr>
            <w:tcW w:w="4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00" w:type="dxa"/>
            <w:vAlign w:val="bottom"/>
          </w:tcPr>
          <w:p>
            <w:pPr>
              <w:jc w:val="right"/>
              <w:spacing w:after="0" w:line="176" w:lineRule="exact"/>
              <w:rPr>
                <w:sz w:val="20"/>
                <w:szCs w:val="20"/>
                <w:color w:val="auto"/>
              </w:rPr>
            </w:pPr>
            <w:r>
              <w:rPr>
                <w:rFonts w:ascii="Arial" w:cs="Arial" w:eastAsia="Arial" w:hAnsi="Arial"/>
                <w:sz w:val="16"/>
                <w:szCs w:val="16"/>
                <w:color w:val="auto"/>
              </w:rPr>
              <w:t>(230)</w:t>
            </w:r>
          </w:p>
        </w:tc>
        <w:tc>
          <w:tcPr>
            <w:tcW w:w="2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320" w:type="dxa"/>
            <w:vAlign w:val="bottom"/>
          </w:tcPr>
          <w:p>
            <w:pPr>
              <w:jc w:val="right"/>
              <w:spacing w:after="0" w:line="176" w:lineRule="exact"/>
              <w:rPr>
                <w:sz w:val="20"/>
                <w:szCs w:val="20"/>
                <w:color w:val="auto"/>
              </w:rPr>
            </w:pPr>
            <w:r>
              <w:rPr>
                <w:rFonts w:ascii="Arial" w:cs="Arial" w:eastAsia="Arial" w:hAnsi="Arial"/>
                <w:sz w:val="16"/>
                <w:szCs w:val="16"/>
                <w:color w:val="auto"/>
              </w:rPr>
              <w:t>―</w:t>
            </w: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220" w:type="dxa"/>
            <w:vAlign w:val="bottom"/>
          </w:tcPr>
          <w:p>
            <w:pPr>
              <w:jc w:val="right"/>
              <w:spacing w:after="0" w:line="176" w:lineRule="exact"/>
              <w:rPr>
                <w:sz w:val="20"/>
                <w:szCs w:val="20"/>
                <w:color w:val="auto"/>
              </w:rPr>
            </w:pPr>
            <w:r>
              <w:rPr>
                <w:rFonts w:ascii="Arial" w:cs="Arial" w:eastAsia="Arial" w:hAnsi="Arial"/>
                <w:sz w:val="16"/>
                <w:szCs w:val="16"/>
                <w:color w:val="auto"/>
              </w:rPr>
              <w:t>(230)</w:t>
            </w:r>
          </w:p>
        </w:tc>
      </w:tr>
      <w:tr>
        <w:trPr>
          <w:trHeight w:val="176"/>
        </w:trPr>
        <w:tc>
          <w:tcPr>
            <w:tcW w:w="5640" w:type="dxa"/>
            <w:vAlign w:val="bottom"/>
            <w:gridSpan w:val="2"/>
          </w:tcPr>
          <w:p>
            <w:pPr>
              <w:spacing w:after="0" w:line="176" w:lineRule="exact"/>
              <w:rPr>
                <w:sz w:val="20"/>
                <w:szCs w:val="20"/>
                <w:color w:val="auto"/>
              </w:rPr>
            </w:pPr>
            <w:r>
              <w:rPr>
                <w:rFonts w:ascii="Arial" w:cs="Arial" w:eastAsia="Arial" w:hAnsi="Arial"/>
                <w:sz w:val="16"/>
                <w:szCs w:val="16"/>
                <w:color w:val="auto"/>
              </w:rPr>
              <w:t>Preferred dividends of subsidiaries</w:t>
            </w:r>
          </w:p>
        </w:tc>
        <w:tc>
          <w:tcPr>
            <w:tcW w:w="4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00" w:type="dxa"/>
            <w:vAlign w:val="bottom"/>
          </w:tcPr>
          <w:p>
            <w:pPr>
              <w:jc w:val="right"/>
              <w:spacing w:after="0" w:line="176" w:lineRule="exact"/>
              <w:rPr>
                <w:sz w:val="20"/>
                <w:szCs w:val="20"/>
                <w:color w:val="auto"/>
              </w:rPr>
            </w:pPr>
            <w:r>
              <w:rPr>
                <w:rFonts w:ascii="Arial" w:cs="Arial" w:eastAsia="Arial" w:hAnsi="Arial"/>
                <w:sz w:val="16"/>
                <w:szCs w:val="16"/>
                <w:color w:val="auto"/>
              </w:rPr>
              <w:t>(5)</w:t>
            </w:r>
          </w:p>
        </w:tc>
        <w:tc>
          <w:tcPr>
            <w:tcW w:w="2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320" w:type="dxa"/>
            <w:vAlign w:val="bottom"/>
          </w:tcPr>
          <w:p>
            <w:pPr>
              <w:jc w:val="right"/>
              <w:spacing w:after="0" w:line="176" w:lineRule="exact"/>
              <w:rPr>
                <w:sz w:val="20"/>
                <w:szCs w:val="20"/>
                <w:color w:val="auto"/>
              </w:rPr>
            </w:pPr>
            <w:r>
              <w:rPr>
                <w:rFonts w:ascii="Arial" w:cs="Arial" w:eastAsia="Arial" w:hAnsi="Arial"/>
                <w:sz w:val="16"/>
                <w:szCs w:val="16"/>
                <w:color w:val="auto"/>
              </w:rPr>
              <w:t>―</w:t>
            </w: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220" w:type="dxa"/>
            <w:vAlign w:val="bottom"/>
          </w:tcPr>
          <w:p>
            <w:pPr>
              <w:jc w:val="right"/>
              <w:spacing w:after="0" w:line="176" w:lineRule="exact"/>
              <w:rPr>
                <w:sz w:val="20"/>
                <w:szCs w:val="20"/>
                <w:color w:val="auto"/>
              </w:rPr>
            </w:pPr>
            <w:r>
              <w:rPr>
                <w:rFonts w:ascii="Arial" w:cs="Arial" w:eastAsia="Arial" w:hAnsi="Arial"/>
                <w:sz w:val="16"/>
                <w:szCs w:val="16"/>
                <w:color w:val="auto"/>
              </w:rPr>
              <w:t>(5)</w:t>
            </w:r>
          </w:p>
        </w:tc>
      </w:tr>
      <w:tr>
        <w:trPr>
          <w:trHeight w:val="176"/>
        </w:trPr>
        <w:tc>
          <w:tcPr>
            <w:tcW w:w="5640" w:type="dxa"/>
            <w:vAlign w:val="bottom"/>
            <w:gridSpan w:val="2"/>
          </w:tcPr>
          <w:p>
            <w:pPr>
              <w:spacing w:after="0" w:line="176" w:lineRule="exact"/>
              <w:rPr>
                <w:sz w:val="20"/>
                <w:szCs w:val="20"/>
                <w:color w:val="auto"/>
              </w:rPr>
            </w:pPr>
            <w:r>
              <w:rPr>
                <w:rFonts w:ascii="Arial" w:cs="Arial" w:eastAsia="Arial" w:hAnsi="Arial"/>
                <w:sz w:val="16"/>
                <w:szCs w:val="16"/>
                <w:color w:val="auto"/>
              </w:rPr>
              <w:t>Issuance of common stock</w:t>
            </w:r>
          </w:p>
        </w:tc>
        <w:tc>
          <w:tcPr>
            <w:tcW w:w="4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00" w:type="dxa"/>
            <w:vAlign w:val="bottom"/>
          </w:tcPr>
          <w:p>
            <w:pPr>
              <w:jc w:val="right"/>
              <w:spacing w:after="0" w:line="176" w:lineRule="exact"/>
              <w:rPr>
                <w:sz w:val="20"/>
                <w:szCs w:val="20"/>
                <w:color w:val="auto"/>
              </w:rPr>
            </w:pPr>
            <w:r>
              <w:rPr>
                <w:rFonts w:ascii="Arial" w:cs="Arial" w:eastAsia="Arial" w:hAnsi="Arial"/>
                <w:sz w:val="16"/>
                <w:szCs w:val="16"/>
                <w:color w:val="auto"/>
              </w:rPr>
              <w:t>19</w:t>
            </w:r>
          </w:p>
        </w:tc>
        <w:tc>
          <w:tcPr>
            <w:tcW w:w="2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320" w:type="dxa"/>
            <w:vAlign w:val="bottom"/>
          </w:tcPr>
          <w:p>
            <w:pPr>
              <w:jc w:val="right"/>
              <w:spacing w:after="0" w:line="176" w:lineRule="exact"/>
              <w:rPr>
                <w:sz w:val="20"/>
                <w:szCs w:val="20"/>
                <w:color w:val="auto"/>
              </w:rPr>
            </w:pPr>
            <w:r>
              <w:rPr>
                <w:rFonts w:ascii="Arial" w:cs="Arial" w:eastAsia="Arial" w:hAnsi="Arial"/>
                <w:sz w:val="16"/>
                <w:szCs w:val="16"/>
                <w:color w:val="auto"/>
              </w:rPr>
              <w:t>―</w:t>
            </w: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220" w:type="dxa"/>
            <w:vAlign w:val="bottom"/>
          </w:tcPr>
          <w:p>
            <w:pPr>
              <w:jc w:val="right"/>
              <w:spacing w:after="0" w:line="176" w:lineRule="exact"/>
              <w:rPr>
                <w:sz w:val="20"/>
                <w:szCs w:val="20"/>
                <w:color w:val="auto"/>
              </w:rPr>
            </w:pPr>
            <w:r>
              <w:rPr>
                <w:rFonts w:ascii="Arial" w:cs="Arial" w:eastAsia="Arial" w:hAnsi="Arial"/>
                <w:sz w:val="16"/>
                <w:szCs w:val="16"/>
                <w:color w:val="auto"/>
              </w:rPr>
              <w:t>19</w:t>
            </w:r>
          </w:p>
        </w:tc>
      </w:tr>
      <w:tr>
        <w:trPr>
          <w:trHeight w:val="176"/>
        </w:trPr>
        <w:tc>
          <w:tcPr>
            <w:tcW w:w="5640" w:type="dxa"/>
            <w:vAlign w:val="bottom"/>
            <w:gridSpan w:val="2"/>
          </w:tcPr>
          <w:p>
            <w:pPr>
              <w:spacing w:after="0" w:line="176" w:lineRule="exact"/>
              <w:rPr>
                <w:sz w:val="20"/>
                <w:szCs w:val="20"/>
                <w:color w:val="auto"/>
              </w:rPr>
            </w:pPr>
            <w:r>
              <w:rPr>
                <w:rFonts w:ascii="Arial" w:cs="Arial" w:eastAsia="Arial" w:hAnsi="Arial"/>
                <w:sz w:val="16"/>
                <w:szCs w:val="16"/>
                <w:color w:val="auto"/>
              </w:rPr>
              <w:t>Tax benefit related to share-based compensation</w:t>
            </w:r>
          </w:p>
        </w:tc>
        <w:tc>
          <w:tcPr>
            <w:tcW w:w="4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00" w:type="dxa"/>
            <w:vAlign w:val="bottom"/>
          </w:tcPr>
          <w:p>
            <w:pPr>
              <w:jc w:val="right"/>
              <w:spacing w:after="0" w:line="176" w:lineRule="exact"/>
              <w:rPr>
                <w:sz w:val="20"/>
                <w:szCs w:val="20"/>
                <w:color w:val="auto"/>
              </w:rPr>
            </w:pPr>
            <w:r>
              <w:rPr>
                <w:rFonts w:ascii="Arial" w:cs="Arial" w:eastAsia="Arial" w:hAnsi="Arial"/>
                <w:sz w:val="16"/>
                <w:szCs w:val="16"/>
                <w:color w:val="auto"/>
              </w:rPr>
              <w:t>5</w:t>
            </w:r>
          </w:p>
        </w:tc>
        <w:tc>
          <w:tcPr>
            <w:tcW w:w="2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320" w:type="dxa"/>
            <w:vAlign w:val="bottom"/>
          </w:tcPr>
          <w:p>
            <w:pPr>
              <w:jc w:val="right"/>
              <w:spacing w:after="0" w:line="176" w:lineRule="exact"/>
              <w:rPr>
                <w:sz w:val="20"/>
                <w:szCs w:val="20"/>
                <w:color w:val="auto"/>
              </w:rPr>
            </w:pPr>
            <w:r>
              <w:rPr>
                <w:rFonts w:ascii="Arial" w:cs="Arial" w:eastAsia="Arial" w:hAnsi="Arial"/>
                <w:sz w:val="16"/>
                <w:szCs w:val="16"/>
                <w:color w:val="auto"/>
              </w:rPr>
              <w:t>―</w:t>
            </w: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220" w:type="dxa"/>
            <w:vAlign w:val="bottom"/>
          </w:tcPr>
          <w:p>
            <w:pPr>
              <w:jc w:val="right"/>
              <w:spacing w:after="0" w:line="176" w:lineRule="exact"/>
              <w:rPr>
                <w:sz w:val="20"/>
                <w:szCs w:val="20"/>
                <w:color w:val="auto"/>
              </w:rPr>
            </w:pPr>
            <w:r>
              <w:rPr>
                <w:rFonts w:ascii="Arial" w:cs="Arial" w:eastAsia="Arial" w:hAnsi="Arial"/>
                <w:sz w:val="16"/>
                <w:szCs w:val="16"/>
                <w:color w:val="auto"/>
              </w:rPr>
              <w:t>5</w:t>
            </w:r>
          </w:p>
        </w:tc>
      </w:tr>
      <w:tr>
        <w:trPr>
          <w:trHeight w:val="176"/>
        </w:trPr>
        <w:tc>
          <w:tcPr>
            <w:tcW w:w="5640" w:type="dxa"/>
            <w:vAlign w:val="bottom"/>
            <w:gridSpan w:val="2"/>
          </w:tcPr>
          <w:p>
            <w:pPr>
              <w:spacing w:after="0" w:line="176" w:lineRule="exact"/>
              <w:rPr>
                <w:sz w:val="20"/>
                <w:szCs w:val="20"/>
                <w:color w:val="auto"/>
              </w:rPr>
            </w:pPr>
            <w:r>
              <w:rPr>
                <w:rFonts w:ascii="Arial" w:cs="Arial" w:eastAsia="Arial" w:hAnsi="Arial"/>
                <w:sz w:val="16"/>
                <w:szCs w:val="16"/>
                <w:color w:val="auto"/>
              </w:rPr>
              <w:t>Repurchase of common stock</w:t>
            </w:r>
          </w:p>
        </w:tc>
        <w:tc>
          <w:tcPr>
            <w:tcW w:w="4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00" w:type="dxa"/>
            <w:vAlign w:val="bottom"/>
          </w:tcPr>
          <w:p>
            <w:pPr>
              <w:jc w:val="right"/>
              <w:spacing w:after="0" w:line="176" w:lineRule="exact"/>
              <w:rPr>
                <w:sz w:val="20"/>
                <w:szCs w:val="20"/>
                <w:color w:val="auto"/>
              </w:rPr>
            </w:pPr>
            <w:r>
              <w:rPr>
                <w:rFonts w:ascii="Arial" w:cs="Arial" w:eastAsia="Arial" w:hAnsi="Arial"/>
                <w:sz w:val="16"/>
                <w:szCs w:val="16"/>
                <w:color w:val="auto"/>
              </w:rPr>
              <w:t>(18)</w:t>
            </w:r>
          </w:p>
        </w:tc>
        <w:tc>
          <w:tcPr>
            <w:tcW w:w="2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320" w:type="dxa"/>
            <w:vAlign w:val="bottom"/>
          </w:tcPr>
          <w:p>
            <w:pPr>
              <w:jc w:val="right"/>
              <w:spacing w:after="0" w:line="176" w:lineRule="exact"/>
              <w:rPr>
                <w:sz w:val="20"/>
                <w:szCs w:val="20"/>
                <w:color w:val="auto"/>
              </w:rPr>
            </w:pPr>
            <w:r>
              <w:rPr>
                <w:rFonts w:ascii="Arial" w:cs="Arial" w:eastAsia="Arial" w:hAnsi="Arial"/>
                <w:sz w:val="16"/>
                <w:szCs w:val="16"/>
                <w:color w:val="auto"/>
              </w:rPr>
              <w:t>―</w:t>
            </w: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220" w:type="dxa"/>
            <w:vAlign w:val="bottom"/>
          </w:tcPr>
          <w:p>
            <w:pPr>
              <w:jc w:val="right"/>
              <w:spacing w:after="0" w:line="176" w:lineRule="exact"/>
              <w:rPr>
                <w:sz w:val="20"/>
                <w:szCs w:val="20"/>
                <w:color w:val="auto"/>
              </w:rPr>
            </w:pPr>
            <w:r>
              <w:rPr>
                <w:rFonts w:ascii="Arial" w:cs="Arial" w:eastAsia="Arial" w:hAnsi="Arial"/>
                <w:sz w:val="16"/>
                <w:szCs w:val="16"/>
                <w:color w:val="auto"/>
              </w:rPr>
              <w:t>(18)</w:t>
            </w:r>
          </w:p>
        </w:tc>
      </w:tr>
      <w:tr>
        <w:trPr>
          <w:trHeight w:val="176"/>
        </w:trPr>
        <w:tc>
          <w:tcPr>
            <w:tcW w:w="5640" w:type="dxa"/>
            <w:vAlign w:val="bottom"/>
            <w:gridSpan w:val="2"/>
          </w:tcPr>
          <w:p>
            <w:pPr>
              <w:spacing w:after="0" w:line="176" w:lineRule="exact"/>
              <w:rPr>
                <w:sz w:val="20"/>
                <w:szCs w:val="20"/>
                <w:color w:val="auto"/>
              </w:rPr>
            </w:pPr>
            <w:r>
              <w:rPr>
                <w:rFonts w:ascii="Arial" w:cs="Arial" w:eastAsia="Arial" w:hAnsi="Arial"/>
                <w:sz w:val="16"/>
                <w:szCs w:val="16"/>
                <w:color w:val="auto"/>
              </w:rPr>
              <w:t>Common stock released from ESOP</w:t>
            </w:r>
          </w:p>
        </w:tc>
        <w:tc>
          <w:tcPr>
            <w:tcW w:w="4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00" w:type="dxa"/>
            <w:vAlign w:val="bottom"/>
          </w:tcPr>
          <w:p>
            <w:pPr>
              <w:jc w:val="right"/>
              <w:spacing w:after="0" w:line="176" w:lineRule="exact"/>
              <w:rPr>
                <w:sz w:val="20"/>
                <w:szCs w:val="20"/>
                <w:color w:val="auto"/>
              </w:rPr>
            </w:pPr>
            <w:r>
              <w:rPr>
                <w:rFonts w:ascii="Arial" w:cs="Arial" w:eastAsia="Arial" w:hAnsi="Arial"/>
                <w:sz w:val="16"/>
                <w:szCs w:val="16"/>
                <w:color w:val="auto"/>
              </w:rPr>
              <w:t>11</w:t>
            </w:r>
          </w:p>
        </w:tc>
        <w:tc>
          <w:tcPr>
            <w:tcW w:w="2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320" w:type="dxa"/>
            <w:vAlign w:val="bottom"/>
          </w:tcPr>
          <w:p>
            <w:pPr>
              <w:jc w:val="right"/>
              <w:spacing w:after="0" w:line="176" w:lineRule="exact"/>
              <w:rPr>
                <w:sz w:val="20"/>
                <w:szCs w:val="20"/>
                <w:color w:val="auto"/>
              </w:rPr>
            </w:pPr>
            <w:r>
              <w:rPr>
                <w:rFonts w:ascii="Arial" w:cs="Arial" w:eastAsia="Arial" w:hAnsi="Arial"/>
                <w:sz w:val="16"/>
                <w:szCs w:val="16"/>
                <w:color w:val="auto"/>
              </w:rPr>
              <w:t>―</w:t>
            </w: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220" w:type="dxa"/>
            <w:vAlign w:val="bottom"/>
          </w:tcPr>
          <w:p>
            <w:pPr>
              <w:jc w:val="right"/>
              <w:spacing w:after="0" w:line="176" w:lineRule="exact"/>
              <w:rPr>
                <w:sz w:val="20"/>
                <w:szCs w:val="20"/>
                <w:color w:val="auto"/>
              </w:rPr>
            </w:pPr>
            <w:r>
              <w:rPr>
                <w:rFonts w:ascii="Arial" w:cs="Arial" w:eastAsia="Arial" w:hAnsi="Arial"/>
                <w:sz w:val="16"/>
                <w:szCs w:val="16"/>
                <w:color w:val="auto"/>
              </w:rPr>
              <w:t>11</w:t>
            </w:r>
          </w:p>
        </w:tc>
      </w:tr>
      <w:tr>
        <w:trPr>
          <w:trHeight w:val="176"/>
        </w:trPr>
        <w:tc>
          <w:tcPr>
            <w:tcW w:w="5640" w:type="dxa"/>
            <w:vAlign w:val="bottom"/>
            <w:gridSpan w:val="2"/>
          </w:tcPr>
          <w:p>
            <w:pPr>
              <w:spacing w:after="0" w:line="176" w:lineRule="exact"/>
              <w:rPr>
                <w:sz w:val="20"/>
                <w:szCs w:val="20"/>
                <w:color w:val="auto"/>
              </w:rPr>
            </w:pPr>
            <w:r>
              <w:rPr>
                <w:rFonts w:ascii="Arial" w:cs="Arial" w:eastAsia="Arial" w:hAnsi="Arial"/>
                <w:sz w:val="16"/>
                <w:szCs w:val="16"/>
                <w:color w:val="auto"/>
              </w:rPr>
              <w:t>Distributions to noncontrolling interests</w:t>
            </w:r>
          </w:p>
        </w:tc>
        <w:tc>
          <w:tcPr>
            <w:tcW w:w="4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00" w:type="dxa"/>
            <w:vAlign w:val="bottom"/>
          </w:tcPr>
          <w:p>
            <w:pPr>
              <w:jc w:val="right"/>
              <w:spacing w:after="0" w:line="176" w:lineRule="exact"/>
              <w:rPr>
                <w:sz w:val="20"/>
                <w:szCs w:val="20"/>
                <w:color w:val="auto"/>
              </w:rPr>
            </w:pPr>
            <w:r>
              <w:rPr>
                <w:rFonts w:ascii="Arial" w:cs="Arial" w:eastAsia="Arial" w:hAnsi="Arial"/>
                <w:sz w:val="16"/>
                <w:szCs w:val="16"/>
                <w:color w:val="auto"/>
              </w:rPr>
              <w:t>―</w:t>
            </w:r>
          </w:p>
        </w:tc>
        <w:tc>
          <w:tcPr>
            <w:tcW w:w="2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320" w:type="dxa"/>
            <w:vAlign w:val="bottom"/>
          </w:tcPr>
          <w:p>
            <w:pPr>
              <w:jc w:val="right"/>
              <w:spacing w:after="0" w:line="176" w:lineRule="exact"/>
              <w:rPr>
                <w:sz w:val="20"/>
                <w:szCs w:val="20"/>
                <w:color w:val="auto"/>
              </w:rPr>
            </w:pPr>
            <w:r>
              <w:rPr>
                <w:rFonts w:ascii="Arial" w:cs="Arial" w:eastAsia="Arial" w:hAnsi="Arial"/>
                <w:sz w:val="16"/>
                <w:szCs w:val="16"/>
                <w:color w:val="auto"/>
              </w:rPr>
              <w:t>(6)</w:t>
            </w: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220" w:type="dxa"/>
            <w:vAlign w:val="bottom"/>
          </w:tcPr>
          <w:p>
            <w:pPr>
              <w:jc w:val="right"/>
              <w:spacing w:after="0" w:line="176" w:lineRule="exact"/>
              <w:rPr>
                <w:sz w:val="20"/>
                <w:szCs w:val="20"/>
                <w:color w:val="auto"/>
              </w:rPr>
            </w:pPr>
            <w:r>
              <w:rPr>
                <w:rFonts w:ascii="Arial" w:cs="Arial" w:eastAsia="Arial" w:hAnsi="Arial"/>
                <w:sz w:val="16"/>
                <w:szCs w:val="16"/>
                <w:color w:val="auto"/>
              </w:rPr>
              <w:t>(6)</w:t>
            </w:r>
          </w:p>
        </w:tc>
      </w:tr>
      <w:tr>
        <w:trPr>
          <w:trHeight w:val="176"/>
        </w:trPr>
        <w:tc>
          <w:tcPr>
            <w:tcW w:w="5640" w:type="dxa"/>
            <w:vAlign w:val="bottom"/>
            <w:gridSpan w:val="2"/>
          </w:tcPr>
          <w:p>
            <w:pPr>
              <w:spacing w:after="0" w:line="176" w:lineRule="exact"/>
              <w:rPr>
                <w:sz w:val="20"/>
                <w:szCs w:val="20"/>
                <w:color w:val="auto"/>
              </w:rPr>
            </w:pPr>
            <w:r>
              <w:rPr>
                <w:rFonts w:ascii="Arial" w:cs="Arial" w:eastAsia="Arial" w:hAnsi="Arial"/>
                <w:sz w:val="16"/>
                <w:szCs w:val="16"/>
                <w:color w:val="auto"/>
              </w:rPr>
              <w:t>Acquisition of South American entities</w:t>
            </w:r>
          </w:p>
        </w:tc>
        <w:tc>
          <w:tcPr>
            <w:tcW w:w="4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00" w:type="dxa"/>
            <w:vAlign w:val="bottom"/>
          </w:tcPr>
          <w:p>
            <w:pPr>
              <w:jc w:val="right"/>
              <w:spacing w:after="0" w:line="176" w:lineRule="exact"/>
              <w:rPr>
                <w:sz w:val="20"/>
                <w:szCs w:val="20"/>
                <w:color w:val="auto"/>
              </w:rPr>
            </w:pPr>
            <w:r>
              <w:rPr>
                <w:rFonts w:ascii="Arial" w:cs="Arial" w:eastAsia="Arial" w:hAnsi="Arial"/>
                <w:sz w:val="16"/>
                <w:szCs w:val="16"/>
                <w:color w:val="auto"/>
              </w:rPr>
              <w:t>―</w:t>
            </w:r>
          </w:p>
        </w:tc>
        <w:tc>
          <w:tcPr>
            <w:tcW w:w="2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320" w:type="dxa"/>
            <w:vAlign w:val="bottom"/>
          </w:tcPr>
          <w:p>
            <w:pPr>
              <w:jc w:val="right"/>
              <w:spacing w:after="0" w:line="176" w:lineRule="exact"/>
              <w:rPr>
                <w:sz w:val="20"/>
                <w:szCs w:val="20"/>
                <w:color w:val="auto"/>
              </w:rPr>
            </w:pPr>
            <w:r>
              <w:rPr>
                <w:rFonts w:ascii="Arial" w:cs="Arial" w:eastAsia="Arial" w:hAnsi="Arial"/>
                <w:sz w:val="16"/>
                <w:szCs w:val="16"/>
                <w:color w:val="auto"/>
              </w:rPr>
              <w:t>279</w:t>
            </w: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220" w:type="dxa"/>
            <w:vAlign w:val="bottom"/>
          </w:tcPr>
          <w:p>
            <w:pPr>
              <w:jc w:val="right"/>
              <w:spacing w:after="0" w:line="176" w:lineRule="exact"/>
              <w:rPr>
                <w:sz w:val="20"/>
                <w:szCs w:val="20"/>
                <w:color w:val="auto"/>
              </w:rPr>
            </w:pPr>
            <w:r>
              <w:rPr>
                <w:rFonts w:ascii="Arial" w:cs="Arial" w:eastAsia="Arial" w:hAnsi="Arial"/>
                <w:sz w:val="16"/>
                <w:szCs w:val="16"/>
                <w:color w:val="auto"/>
              </w:rPr>
              <w:t>279</w:t>
            </w:r>
          </w:p>
        </w:tc>
      </w:tr>
      <w:tr>
        <w:trPr>
          <w:trHeight w:val="194"/>
        </w:trPr>
        <w:tc>
          <w:tcPr>
            <w:tcW w:w="5640" w:type="dxa"/>
            <w:vAlign w:val="bottom"/>
            <w:gridSpan w:val="2"/>
          </w:tcPr>
          <w:p>
            <w:pPr>
              <w:spacing w:after="0"/>
              <w:rPr>
                <w:sz w:val="20"/>
                <w:szCs w:val="20"/>
                <w:color w:val="auto"/>
              </w:rPr>
            </w:pPr>
            <w:r>
              <w:rPr>
                <w:rFonts w:ascii="Arial" w:cs="Arial" w:eastAsia="Arial" w:hAnsi="Arial"/>
                <w:sz w:val="16"/>
                <w:szCs w:val="16"/>
                <w:color w:val="auto"/>
              </w:rPr>
              <w:t>Redemption of preferred stock of subsidiary</w:t>
            </w:r>
          </w:p>
        </w:tc>
        <w:tc>
          <w:tcPr>
            <w:tcW w:w="4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(80)</w:t>
            </w:r>
          </w:p>
        </w:tc>
        <w:tc>
          <w:tcPr>
            <w:tcW w:w="10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(80)</w:t>
            </w:r>
          </w:p>
        </w:tc>
      </w:tr>
      <w:tr>
        <w:trPr>
          <w:trHeight w:val="183"/>
        </w:trPr>
        <w:tc>
          <w:tcPr>
            <w:tcW w:w="5640" w:type="dxa"/>
            <w:vAlign w:val="bottom"/>
            <w:gridSpan w:val="2"/>
          </w:tcPr>
          <w:p>
            <w:pPr>
              <w:spacing w:after="0" w:line="176" w:lineRule="exact"/>
              <w:rPr>
                <w:sz w:val="20"/>
                <w:szCs w:val="20"/>
                <w:color w:val="auto"/>
              </w:rPr>
            </w:pPr>
            <w:r>
              <w:rPr>
                <w:rFonts w:ascii="Arial" w:cs="Arial" w:eastAsia="Arial" w:hAnsi="Arial"/>
                <w:sz w:val="16"/>
                <w:szCs w:val="16"/>
                <w:color w:val="auto"/>
              </w:rPr>
              <w:t>Balance at June 30, 2011</w:t>
            </w:r>
          </w:p>
        </w:tc>
        <w:tc>
          <w:tcPr>
            <w:tcW w:w="420" w:type="dxa"/>
            <w:vAlign w:val="bottom"/>
          </w:tcPr>
          <w:p>
            <w:pPr>
              <w:jc w:val="right"/>
              <w:ind w:right="262"/>
              <w:spacing w:after="0"/>
              <w:rPr>
                <w:sz w:val="20"/>
                <w:szCs w:val="20"/>
                <w:color w:val="auto"/>
              </w:rPr>
            </w:pPr>
            <w:r>
              <w:rPr>
                <w:rFonts w:ascii="Arial" w:cs="Arial" w:eastAsia="Arial" w:hAnsi="Arial"/>
                <w:sz w:val="15"/>
                <w:szCs w:val="15"/>
                <w:color w:val="auto"/>
                <w:w w:val="71"/>
              </w:rPr>
              <w:t>$</w:t>
            </w:r>
          </w:p>
        </w:tc>
        <w:tc>
          <w:tcPr>
            <w:tcW w:w="260" w:type="dxa"/>
            <w:vAlign w:val="bottom"/>
          </w:tcPr>
          <w:p>
            <w:pPr>
              <w:spacing w:after="0"/>
              <w:rPr>
                <w:sz w:val="15"/>
                <w:szCs w:val="15"/>
                <w:color w:val="auto"/>
              </w:rPr>
            </w:pPr>
          </w:p>
        </w:tc>
        <w:tc>
          <w:tcPr>
            <w:tcW w:w="1400" w:type="dxa"/>
            <w:vAlign w:val="bottom"/>
          </w:tcPr>
          <w:p>
            <w:pPr>
              <w:jc w:val="right"/>
              <w:spacing w:after="0" w:line="176" w:lineRule="exact"/>
              <w:rPr>
                <w:sz w:val="20"/>
                <w:szCs w:val="20"/>
                <w:color w:val="auto"/>
              </w:rPr>
            </w:pPr>
            <w:r>
              <w:rPr>
                <w:rFonts w:ascii="Arial" w:cs="Arial" w:eastAsia="Arial" w:hAnsi="Arial"/>
                <w:sz w:val="16"/>
                <w:szCs w:val="16"/>
                <w:color w:val="auto"/>
              </w:rPr>
              <w:t>9,579</w:t>
            </w:r>
          </w:p>
        </w:tc>
        <w:tc>
          <w:tcPr>
            <w:tcW w:w="240" w:type="dxa"/>
            <w:vAlign w:val="bottom"/>
          </w:tcPr>
          <w:p>
            <w:pPr>
              <w:jc w:val="right"/>
              <w:ind w:right="82"/>
              <w:spacing w:after="0"/>
              <w:rPr>
                <w:sz w:val="20"/>
                <w:szCs w:val="20"/>
                <w:color w:val="auto"/>
              </w:rPr>
            </w:pPr>
            <w:r>
              <w:rPr>
                <w:rFonts w:ascii="Arial" w:cs="Arial" w:eastAsia="Arial" w:hAnsi="Arial"/>
                <w:sz w:val="15"/>
                <w:szCs w:val="15"/>
                <w:color w:val="auto"/>
                <w:w w:val="71"/>
              </w:rPr>
              <w:t>$</w:t>
            </w:r>
          </w:p>
        </w:tc>
        <w:tc>
          <w:tcPr>
            <w:tcW w:w="360" w:type="dxa"/>
            <w:vAlign w:val="bottom"/>
          </w:tcPr>
          <w:p>
            <w:pPr>
              <w:spacing w:after="0"/>
              <w:rPr>
                <w:sz w:val="15"/>
                <w:szCs w:val="15"/>
                <w:color w:val="auto"/>
              </w:rPr>
            </w:pPr>
          </w:p>
        </w:tc>
        <w:tc>
          <w:tcPr>
            <w:tcW w:w="1320" w:type="dxa"/>
            <w:vAlign w:val="bottom"/>
          </w:tcPr>
          <w:p>
            <w:pPr>
              <w:jc w:val="right"/>
              <w:spacing w:after="0" w:line="176" w:lineRule="exact"/>
              <w:rPr>
                <w:sz w:val="20"/>
                <w:szCs w:val="20"/>
                <w:color w:val="auto"/>
              </w:rPr>
            </w:pPr>
            <w:r>
              <w:rPr>
                <w:rFonts w:ascii="Arial" w:cs="Arial" w:eastAsia="Arial" w:hAnsi="Arial"/>
                <w:sz w:val="16"/>
                <w:szCs w:val="16"/>
                <w:color w:val="auto"/>
              </w:rPr>
              <w:t>393</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tcPr>
          <w:p>
            <w:pPr>
              <w:spacing w:after="0"/>
              <w:rPr>
                <w:sz w:val="15"/>
                <w:szCs w:val="15"/>
                <w:color w:val="auto"/>
              </w:rPr>
            </w:pPr>
          </w:p>
        </w:tc>
        <w:tc>
          <w:tcPr>
            <w:tcW w:w="1220" w:type="dxa"/>
            <w:vAlign w:val="bottom"/>
          </w:tcPr>
          <w:p>
            <w:pPr>
              <w:jc w:val="right"/>
              <w:spacing w:after="0" w:line="176" w:lineRule="exact"/>
              <w:rPr>
                <w:sz w:val="20"/>
                <w:szCs w:val="20"/>
                <w:color w:val="auto"/>
              </w:rPr>
            </w:pPr>
            <w:r>
              <w:rPr>
                <w:rFonts w:ascii="Arial" w:cs="Arial" w:eastAsia="Arial" w:hAnsi="Arial"/>
                <w:sz w:val="16"/>
                <w:szCs w:val="16"/>
                <w:color w:val="auto"/>
              </w:rPr>
              <w:t>9,972</w:t>
            </w:r>
          </w:p>
        </w:tc>
      </w:tr>
      <w:tr>
        <w:trPr>
          <w:trHeight w:val="164"/>
        </w:trPr>
        <w:tc>
          <w:tcPr>
            <w:tcW w:w="20" w:type="dxa"/>
            <w:vAlign w:val="bottom"/>
          </w:tcPr>
          <w:p>
            <w:pPr>
              <w:spacing w:after="0"/>
              <w:rPr>
                <w:sz w:val="14"/>
                <w:szCs w:val="14"/>
                <w:color w:val="auto"/>
              </w:rPr>
            </w:pPr>
          </w:p>
        </w:tc>
        <w:tc>
          <w:tcPr>
            <w:tcW w:w="5620" w:type="dxa"/>
            <w:vAlign w:val="bottom"/>
            <w:tcBorders>
              <w:top w:val="single" w:sz="8" w:color="auto"/>
            </w:tcBorders>
          </w:tcPr>
          <w:p>
            <w:pPr>
              <w:spacing w:after="0" w:line="164" w:lineRule="exact"/>
              <w:rPr>
                <w:sz w:val="20"/>
                <w:szCs w:val="20"/>
                <w:color w:val="auto"/>
              </w:rPr>
            </w:pPr>
            <w:r>
              <w:rPr>
                <w:rFonts w:ascii="Arial" w:cs="Arial" w:eastAsia="Arial" w:hAnsi="Arial"/>
                <w:sz w:val="16"/>
                <w:szCs w:val="16"/>
                <w:color w:val="auto"/>
              </w:rPr>
              <w:t>Balance at December 31, 2009</w:t>
            </w:r>
          </w:p>
        </w:tc>
        <w:tc>
          <w:tcPr>
            <w:tcW w:w="420" w:type="dxa"/>
            <w:vAlign w:val="bottom"/>
            <w:tcBorders>
              <w:top w:val="single" w:sz="8" w:color="auto"/>
            </w:tcBorders>
          </w:tcPr>
          <w:p>
            <w:pPr>
              <w:jc w:val="right"/>
              <w:ind w:right="262"/>
              <w:spacing w:after="0" w:line="164" w:lineRule="exact"/>
              <w:rPr>
                <w:sz w:val="20"/>
                <w:szCs w:val="20"/>
                <w:color w:val="auto"/>
              </w:rPr>
            </w:pPr>
            <w:r>
              <w:rPr>
                <w:rFonts w:ascii="Arial" w:cs="Arial" w:eastAsia="Arial" w:hAnsi="Arial"/>
                <w:sz w:val="15"/>
                <w:szCs w:val="15"/>
                <w:color w:val="auto"/>
                <w:w w:val="71"/>
              </w:rPr>
              <w:t>$</w:t>
            </w:r>
          </w:p>
        </w:tc>
        <w:tc>
          <w:tcPr>
            <w:tcW w:w="260" w:type="dxa"/>
            <w:vAlign w:val="bottom"/>
            <w:tcBorders>
              <w:top w:val="single" w:sz="8" w:color="auto"/>
            </w:tcBorders>
          </w:tcPr>
          <w:p>
            <w:pPr>
              <w:spacing w:after="0"/>
              <w:rPr>
                <w:sz w:val="14"/>
                <w:szCs w:val="14"/>
                <w:color w:val="auto"/>
              </w:rPr>
            </w:pPr>
          </w:p>
        </w:tc>
        <w:tc>
          <w:tcPr>
            <w:tcW w:w="1400" w:type="dxa"/>
            <w:vAlign w:val="bottom"/>
            <w:tcBorders>
              <w:top w:val="single" w:sz="8" w:color="auto"/>
            </w:tcBorders>
          </w:tcPr>
          <w:p>
            <w:pPr>
              <w:jc w:val="right"/>
              <w:spacing w:after="0" w:line="164" w:lineRule="exact"/>
              <w:rPr>
                <w:sz w:val="20"/>
                <w:szCs w:val="20"/>
                <w:color w:val="auto"/>
              </w:rPr>
            </w:pPr>
            <w:r>
              <w:rPr>
                <w:rFonts w:ascii="Arial" w:cs="Arial" w:eastAsia="Arial" w:hAnsi="Arial"/>
                <w:sz w:val="16"/>
                <w:szCs w:val="16"/>
                <w:color w:val="auto"/>
              </w:rPr>
              <w:t>9,007</w:t>
            </w:r>
          </w:p>
        </w:tc>
        <w:tc>
          <w:tcPr>
            <w:tcW w:w="240" w:type="dxa"/>
            <w:vAlign w:val="bottom"/>
            <w:tcBorders>
              <w:top w:val="single" w:sz="8" w:color="auto"/>
            </w:tcBorders>
          </w:tcPr>
          <w:p>
            <w:pPr>
              <w:jc w:val="right"/>
              <w:ind w:right="82"/>
              <w:spacing w:after="0" w:line="164" w:lineRule="exact"/>
              <w:rPr>
                <w:sz w:val="20"/>
                <w:szCs w:val="20"/>
                <w:color w:val="auto"/>
              </w:rPr>
            </w:pPr>
            <w:r>
              <w:rPr>
                <w:rFonts w:ascii="Arial" w:cs="Arial" w:eastAsia="Arial" w:hAnsi="Arial"/>
                <w:sz w:val="15"/>
                <w:szCs w:val="15"/>
                <w:color w:val="auto"/>
                <w:w w:val="71"/>
              </w:rPr>
              <w:t>$</w:t>
            </w:r>
          </w:p>
        </w:tc>
        <w:tc>
          <w:tcPr>
            <w:tcW w:w="360" w:type="dxa"/>
            <w:vAlign w:val="bottom"/>
            <w:tcBorders>
              <w:top w:val="single" w:sz="8" w:color="auto"/>
            </w:tcBorders>
          </w:tcPr>
          <w:p>
            <w:pPr>
              <w:spacing w:after="0"/>
              <w:rPr>
                <w:sz w:val="14"/>
                <w:szCs w:val="14"/>
                <w:color w:val="auto"/>
              </w:rPr>
            </w:pPr>
          </w:p>
        </w:tc>
        <w:tc>
          <w:tcPr>
            <w:tcW w:w="1320" w:type="dxa"/>
            <w:vAlign w:val="bottom"/>
            <w:tcBorders>
              <w:top w:val="single" w:sz="8" w:color="auto"/>
            </w:tcBorders>
          </w:tcPr>
          <w:p>
            <w:pPr>
              <w:jc w:val="right"/>
              <w:spacing w:after="0" w:line="164" w:lineRule="exact"/>
              <w:rPr>
                <w:sz w:val="20"/>
                <w:szCs w:val="20"/>
                <w:color w:val="auto"/>
              </w:rPr>
            </w:pPr>
            <w:r>
              <w:rPr>
                <w:rFonts w:ascii="Arial" w:cs="Arial" w:eastAsia="Arial" w:hAnsi="Arial"/>
                <w:sz w:val="16"/>
                <w:szCs w:val="16"/>
                <w:color w:val="auto"/>
              </w:rPr>
              <w:t>244</w:t>
            </w:r>
          </w:p>
        </w:tc>
        <w:tc>
          <w:tcPr>
            <w:tcW w:w="100" w:type="dxa"/>
            <w:vAlign w:val="bottom"/>
            <w:tcBorders>
              <w:top w:val="single" w:sz="8" w:color="auto"/>
            </w:tcBorders>
          </w:tcPr>
          <w:p>
            <w:pPr>
              <w:jc w:val="right"/>
              <w:spacing w:after="0" w:line="164" w:lineRule="exact"/>
              <w:rPr>
                <w:sz w:val="20"/>
                <w:szCs w:val="20"/>
                <w:color w:val="auto"/>
              </w:rPr>
            </w:pPr>
            <w:r>
              <w:rPr>
                <w:rFonts w:ascii="Arial" w:cs="Arial" w:eastAsia="Arial" w:hAnsi="Arial"/>
                <w:sz w:val="15"/>
                <w:szCs w:val="15"/>
                <w:color w:val="auto"/>
                <w:w w:val="71"/>
              </w:rPr>
              <w:t>$</w:t>
            </w:r>
          </w:p>
        </w:tc>
        <w:tc>
          <w:tcPr>
            <w:tcW w:w="460" w:type="dxa"/>
            <w:vAlign w:val="bottom"/>
            <w:tcBorders>
              <w:top w:val="single" w:sz="8" w:color="auto"/>
            </w:tcBorders>
          </w:tcPr>
          <w:p>
            <w:pPr>
              <w:spacing w:after="0"/>
              <w:rPr>
                <w:sz w:val="14"/>
                <w:szCs w:val="14"/>
                <w:color w:val="auto"/>
              </w:rPr>
            </w:pPr>
          </w:p>
        </w:tc>
        <w:tc>
          <w:tcPr>
            <w:tcW w:w="1220" w:type="dxa"/>
            <w:vAlign w:val="bottom"/>
            <w:tcBorders>
              <w:top w:val="single" w:sz="8" w:color="auto"/>
            </w:tcBorders>
          </w:tcPr>
          <w:p>
            <w:pPr>
              <w:jc w:val="right"/>
              <w:spacing w:after="0" w:line="164" w:lineRule="exact"/>
              <w:rPr>
                <w:sz w:val="20"/>
                <w:szCs w:val="20"/>
                <w:color w:val="auto"/>
              </w:rPr>
            </w:pPr>
            <w:r>
              <w:rPr>
                <w:rFonts w:ascii="Arial" w:cs="Arial" w:eastAsia="Arial" w:hAnsi="Arial"/>
                <w:sz w:val="16"/>
                <w:szCs w:val="16"/>
                <w:color w:val="auto"/>
              </w:rPr>
              <w:t>9,251</w:t>
            </w:r>
          </w:p>
        </w:tc>
      </w:tr>
      <w:tr>
        <w:trPr>
          <w:trHeight w:val="176"/>
        </w:trPr>
        <w:tc>
          <w:tcPr>
            <w:tcW w:w="5640" w:type="dxa"/>
            <w:vAlign w:val="bottom"/>
            <w:gridSpan w:val="2"/>
          </w:tcPr>
          <w:p>
            <w:pPr>
              <w:spacing w:after="0" w:line="176" w:lineRule="exact"/>
              <w:rPr>
                <w:sz w:val="20"/>
                <w:szCs w:val="20"/>
                <w:color w:val="auto"/>
              </w:rPr>
            </w:pPr>
            <w:r>
              <w:rPr>
                <w:rFonts w:ascii="Arial" w:cs="Arial" w:eastAsia="Arial" w:hAnsi="Arial"/>
                <w:sz w:val="16"/>
                <w:szCs w:val="16"/>
                <w:color w:val="auto"/>
              </w:rPr>
              <w:t>Comprehensive income (loss)</w:t>
            </w:r>
          </w:p>
        </w:tc>
        <w:tc>
          <w:tcPr>
            <w:tcW w:w="4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00" w:type="dxa"/>
            <w:vAlign w:val="bottom"/>
          </w:tcPr>
          <w:p>
            <w:pPr>
              <w:jc w:val="right"/>
              <w:spacing w:after="0" w:line="176" w:lineRule="exact"/>
              <w:rPr>
                <w:sz w:val="20"/>
                <w:szCs w:val="20"/>
                <w:color w:val="auto"/>
              </w:rPr>
            </w:pPr>
            <w:r>
              <w:rPr>
                <w:rFonts w:ascii="Arial" w:cs="Arial" w:eastAsia="Arial" w:hAnsi="Arial"/>
                <w:sz w:val="16"/>
                <w:szCs w:val="16"/>
                <w:color w:val="auto"/>
              </w:rPr>
              <w:t>303</w:t>
            </w:r>
          </w:p>
        </w:tc>
        <w:tc>
          <w:tcPr>
            <w:tcW w:w="2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320" w:type="dxa"/>
            <w:vAlign w:val="bottom"/>
          </w:tcPr>
          <w:p>
            <w:pPr>
              <w:jc w:val="right"/>
              <w:spacing w:after="0" w:line="176" w:lineRule="exact"/>
              <w:rPr>
                <w:sz w:val="20"/>
                <w:szCs w:val="20"/>
                <w:color w:val="auto"/>
              </w:rPr>
            </w:pPr>
            <w:r>
              <w:rPr>
                <w:rFonts w:ascii="Arial" w:cs="Arial" w:eastAsia="Arial" w:hAnsi="Arial"/>
                <w:sz w:val="16"/>
                <w:szCs w:val="16"/>
                <w:color w:val="auto"/>
              </w:rPr>
              <w:t>(24)</w:t>
            </w: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220" w:type="dxa"/>
            <w:vAlign w:val="bottom"/>
          </w:tcPr>
          <w:p>
            <w:pPr>
              <w:jc w:val="right"/>
              <w:spacing w:after="0" w:line="176" w:lineRule="exact"/>
              <w:rPr>
                <w:sz w:val="20"/>
                <w:szCs w:val="20"/>
                <w:color w:val="auto"/>
              </w:rPr>
            </w:pPr>
            <w:r>
              <w:rPr>
                <w:rFonts w:ascii="Arial" w:cs="Arial" w:eastAsia="Arial" w:hAnsi="Arial"/>
                <w:sz w:val="16"/>
                <w:szCs w:val="16"/>
                <w:color w:val="auto"/>
              </w:rPr>
              <w:t>279</w:t>
            </w:r>
          </w:p>
        </w:tc>
      </w:tr>
      <w:tr>
        <w:trPr>
          <w:trHeight w:val="176"/>
        </w:trPr>
        <w:tc>
          <w:tcPr>
            <w:tcW w:w="5640" w:type="dxa"/>
            <w:vAlign w:val="bottom"/>
            <w:gridSpan w:val="2"/>
          </w:tcPr>
          <w:p>
            <w:pPr>
              <w:spacing w:after="0" w:line="176" w:lineRule="exact"/>
              <w:rPr>
                <w:sz w:val="20"/>
                <w:szCs w:val="20"/>
                <w:color w:val="auto"/>
              </w:rPr>
            </w:pPr>
            <w:r>
              <w:rPr>
                <w:rFonts w:ascii="Arial" w:cs="Arial" w:eastAsia="Arial" w:hAnsi="Arial"/>
                <w:sz w:val="16"/>
                <w:szCs w:val="16"/>
                <w:color w:val="auto"/>
              </w:rPr>
              <w:t>Share-based compensation expense</w:t>
            </w:r>
          </w:p>
        </w:tc>
        <w:tc>
          <w:tcPr>
            <w:tcW w:w="4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00" w:type="dxa"/>
            <w:vAlign w:val="bottom"/>
          </w:tcPr>
          <w:p>
            <w:pPr>
              <w:jc w:val="right"/>
              <w:spacing w:after="0" w:line="176" w:lineRule="exact"/>
              <w:rPr>
                <w:sz w:val="20"/>
                <w:szCs w:val="20"/>
                <w:color w:val="auto"/>
              </w:rPr>
            </w:pPr>
            <w:r>
              <w:rPr>
                <w:rFonts w:ascii="Arial" w:cs="Arial" w:eastAsia="Arial" w:hAnsi="Arial"/>
                <w:sz w:val="16"/>
                <w:szCs w:val="16"/>
                <w:color w:val="auto"/>
              </w:rPr>
              <w:t>22</w:t>
            </w:r>
          </w:p>
        </w:tc>
        <w:tc>
          <w:tcPr>
            <w:tcW w:w="2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320" w:type="dxa"/>
            <w:vAlign w:val="bottom"/>
          </w:tcPr>
          <w:p>
            <w:pPr>
              <w:jc w:val="right"/>
              <w:spacing w:after="0" w:line="176" w:lineRule="exact"/>
              <w:rPr>
                <w:sz w:val="20"/>
                <w:szCs w:val="20"/>
                <w:color w:val="auto"/>
              </w:rPr>
            </w:pPr>
            <w:r>
              <w:rPr>
                <w:rFonts w:ascii="Arial" w:cs="Arial" w:eastAsia="Arial" w:hAnsi="Arial"/>
                <w:sz w:val="16"/>
                <w:szCs w:val="16"/>
                <w:color w:val="auto"/>
              </w:rPr>
              <w:t>―</w:t>
            </w: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220" w:type="dxa"/>
            <w:vAlign w:val="bottom"/>
          </w:tcPr>
          <w:p>
            <w:pPr>
              <w:jc w:val="right"/>
              <w:spacing w:after="0" w:line="176" w:lineRule="exact"/>
              <w:rPr>
                <w:sz w:val="20"/>
                <w:szCs w:val="20"/>
                <w:color w:val="auto"/>
              </w:rPr>
            </w:pPr>
            <w:r>
              <w:rPr>
                <w:rFonts w:ascii="Arial" w:cs="Arial" w:eastAsia="Arial" w:hAnsi="Arial"/>
                <w:sz w:val="16"/>
                <w:szCs w:val="16"/>
                <w:color w:val="auto"/>
              </w:rPr>
              <w:t>22</w:t>
            </w:r>
          </w:p>
        </w:tc>
      </w:tr>
      <w:tr>
        <w:trPr>
          <w:trHeight w:val="176"/>
        </w:trPr>
        <w:tc>
          <w:tcPr>
            <w:tcW w:w="5640" w:type="dxa"/>
            <w:vAlign w:val="bottom"/>
            <w:gridSpan w:val="2"/>
          </w:tcPr>
          <w:p>
            <w:pPr>
              <w:spacing w:after="0" w:line="176" w:lineRule="exact"/>
              <w:rPr>
                <w:sz w:val="20"/>
                <w:szCs w:val="20"/>
                <w:color w:val="auto"/>
              </w:rPr>
            </w:pPr>
            <w:r>
              <w:rPr>
                <w:rFonts w:ascii="Arial" w:cs="Arial" w:eastAsia="Arial" w:hAnsi="Arial"/>
                <w:sz w:val="16"/>
                <w:szCs w:val="16"/>
                <w:color w:val="auto"/>
              </w:rPr>
              <w:t>Common stock dividends declared</w:t>
            </w:r>
          </w:p>
        </w:tc>
        <w:tc>
          <w:tcPr>
            <w:tcW w:w="4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00" w:type="dxa"/>
            <w:vAlign w:val="bottom"/>
          </w:tcPr>
          <w:p>
            <w:pPr>
              <w:jc w:val="right"/>
              <w:spacing w:after="0" w:line="176" w:lineRule="exact"/>
              <w:rPr>
                <w:sz w:val="20"/>
                <w:szCs w:val="20"/>
                <w:color w:val="auto"/>
              </w:rPr>
            </w:pPr>
            <w:r>
              <w:rPr>
                <w:rFonts w:ascii="Arial" w:cs="Arial" w:eastAsia="Arial" w:hAnsi="Arial"/>
                <w:sz w:val="16"/>
                <w:szCs w:val="16"/>
                <w:color w:val="auto"/>
              </w:rPr>
              <w:t>(193)</w:t>
            </w:r>
          </w:p>
        </w:tc>
        <w:tc>
          <w:tcPr>
            <w:tcW w:w="2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320" w:type="dxa"/>
            <w:vAlign w:val="bottom"/>
          </w:tcPr>
          <w:p>
            <w:pPr>
              <w:jc w:val="right"/>
              <w:spacing w:after="0" w:line="176" w:lineRule="exact"/>
              <w:rPr>
                <w:sz w:val="20"/>
                <w:szCs w:val="20"/>
                <w:color w:val="auto"/>
              </w:rPr>
            </w:pPr>
            <w:r>
              <w:rPr>
                <w:rFonts w:ascii="Arial" w:cs="Arial" w:eastAsia="Arial" w:hAnsi="Arial"/>
                <w:sz w:val="16"/>
                <w:szCs w:val="16"/>
                <w:color w:val="auto"/>
              </w:rPr>
              <w:t>―</w:t>
            </w: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220" w:type="dxa"/>
            <w:vAlign w:val="bottom"/>
          </w:tcPr>
          <w:p>
            <w:pPr>
              <w:jc w:val="right"/>
              <w:spacing w:after="0" w:line="176" w:lineRule="exact"/>
              <w:rPr>
                <w:sz w:val="20"/>
                <w:szCs w:val="20"/>
                <w:color w:val="auto"/>
              </w:rPr>
            </w:pPr>
            <w:r>
              <w:rPr>
                <w:rFonts w:ascii="Arial" w:cs="Arial" w:eastAsia="Arial" w:hAnsi="Arial"/>
                <w:sz w:val="16"/>
                <w:szCs w:val="16"/>
                <w:color w:val="auto"/>
              </w:rPr>
              <w:t>(193)</w:t>
            </w:r>
          </w:p>
        </w:tc>
      </w:tr>
      <w:tr>
        <w:trPr>
          <w:trHeight w:val="176"/>
        </w:trPr>
        <w:tc>
          <w:tcPr>
            <w:tcW w:w="5640" w:type="dxa"/>
            <w:vAlign w:val="bottom"/>
            <w:gridSpan w:val="2"/>
          </w:tcPr>
          <w:p>
            <w:pPr>
              <w:spacing w:after="0" w:line="176" w:lineRule="exact"/>
              <w:rPr>
                <w:sz w:val="20"/>
                <w:szCs w:val="20"/>
                <w:color w:val="auto"/>
              </w:rPr>
            </w:pPr>
            <w:r>
              <w:rPr>
                <w:rFonts w:ascii="Arial" w:cs="Arial" w:eastAsia="Arial" w:hAnsi="Arial"/>
                <w:sz w:val="16"/>
                <w:szCs w:val="16"/>
                <w:color w:val="auto"/>
              </w:rPr>
              <w:t>Preferred dividends of subsidiaries</w:t>
            </w:r>
          </w:p>
        </w:tc>
        <w:tc>
          <w:tcPr>
            <w:tcW w:w="4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00" w:type="dxa"/>
            <w:vAlign w:val="bottom"/>
          </w:tcPr>
          <w:p>
            <w:pPr>
              <w:jc w:val="right"/>
              <w:spacing w:after="0" w:line="176" w:lineRule="exact"/>
              <w:rPr>
                <w:sz w:val="20"/>
                <w:szCs w:val="20"/>
                <w:color w:val="auto"/>
              </w:rPr>
            </w:pPr>
            <w:r>
              <w:rPr>
                <w:rFonts w:ascii="Arial" w:cs="Arial" w:eastAsia="Arial" w:hAnsi="Arial"/>
                <w:sz w:val="16"/>
                <w:szCs w:val="16"/>
                <w:color w:val="auto"/>
              </w:rPr>
              <w:t>(5)</w:t>
            </w:r>
          </w:p>
        </w:tc>
        <w:tc>
          <w:tcPr>
            <w:tcW w:w="2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320" w:type="dxa"/>
            <w:vAlign w:val="bottom"/>
          </w:tcPr>
          <w:p>
            <w:pPr>
              <w:jc w:val="right"/>
              <w:spacing w:after="0" w:line="176" w:lineRule="exact"/>
              <w:rPr>
                <w:sz w:val="20"/>
                <w:szCs w:val="20"/>
                <w:color w:val="auto"/>
              </w:rPr>
            </w:pPr>
            <w:r>
              <w:rPr>
                <w:rFonts w:ascii="Arial" w:cs="Arial" w:eastAsia="Arial" w:hAnsi="Arial"/>
                <w:sz w:val="16"/>
                <w:szCs w:val="16"/>
                <w:color w:val="auto"/>
              </w:rPr>
              <w:t>―</w:t>
            </w: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220" w:type="dxa"/>
            <w:vAlign w:val="bottom"/>
          </w:tcPr>
          <w:p>
            <w:pPr>
              <w:jc w:val="right"/>
              <w:spacing w:after="0" w:line="176" w:lineRule="exact"/>
              <w:rPr>
                <w:sz w:val="20"/>
                <w:szCs w:val="20"/>
                <w:color w:val="auto"/>
              </w:rPr>
            </w:pPr>
            <w:r>
              <w:rPr>
                <w:rFonts w:ascii="Arial" w:cs="Arial" w:eastAsia="Arial" w:hAnsi="Arial"/>
                <w:sz w:val="16"/>
                <w:szCs w:val="16"/>
                <w:color w:val="auto"/>
              </w:rPr>
              <w:t>(5)</w:t>
            </w:r>
          </w:p>
        </w:tc>
      </w:tr>
      <w:tr>
        <w:trPr>
          <w:trHeight w:val="176"/>
        </w:trPr>
        <w:tc>
          <w:tcPr>
            <w:tcW w:w="5640" w:type="dxa"/>
            <w:vAlign w:val="bottom"/>
            <w:gridSpan w:val="2"/>
          </w:tcPr>
          <w:p>
            <w:pPr>
              <w:spacing w:after="0" w:line="176" w:lineRule="exact"/>
              <w:rPr>
                <w:sz w:val="20"/>
                <w:szCs w:val="20"/>
                <w:color w:val="auto"/>
              </w:rPr>
            </w:pPr>
            <w:r>
              <w:rPr>
                <w:rFonts w:ascii="Arial" w:cs="Arial" w:eastAsia="Arial" w:hAnsi="Arial"/>
                <w:sz w:val="16"/>
                <w:szCs w:val="16"/>
                <w:color w:val="auto"/>
              </w:rPr>
              <w:t>Issuance of common stock</w:t>
            </w:r>
          </w:p>
        </w:tc>
        <w:tc>
          <w:tcPr>
            <w:tcW w:w="4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00" w:type="dxa"/>
            <w:vAlign w:val="bottom"/>
          </w:tcPr>
          <w:p>
            <w:pPr>
              <w:jc w:val="right"/>
              <w:spacing w:after="0" w:line="176" w:lineRule="exact"/>
              <w:rPr>
                <w:sz w:val="20"/>
                <w:szCs w:val="20"/>
                <w:color w:val="auto"/>
              </w:rPr>
            </w:pPr>
            <w:r>
              <w:rPr>
                <w:rFonts w:ascii="Arial" w:cs="Arial" w:eastAsia="Arial" w:hAnsi="Arial"/>
                <w:sz w:val="16"/>
                <w:szCs w:val="16"/>
                <w:color w:val="auto"/>
              </w:rPr>
              <w:t>46</w:t>
            </w:r>
          </w:p>
        </w:tc>
        <w:tc>
          <w:tcPr>
            <w:tcW w:w="2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320" w:type="dxa"/>
            <w:vAlign w:val="bottom"/>
          </w:tcPr>
          <w:p>
            <w:pPr>
              <w:jc w:val="right"/>
              <w:spacing w:after="0" w:line="176" w:lineRule="exact"/>
              <w:rPr>
                <w:sz w:val="20"/>
                <w:szCs w:val="20"/>
                <w:color w:val="auto"/>
              </w:rPr>
            </w:pPr>
            <w:r>
              <w:rPr>
                <w:rFonts w:ascii="Arial" w:cs="Arial" w:eastAsia="Arial" w:hAnsi="Arial"/>
                <w:sz w:val="16"/>
                <w:szCs w:val="16"/>
                <w:color w:val="auto"/>
              </w:rPr>
              <w:t>―</w:t>
            </w: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220" w:type="dxa"/>
            <w:vAlign w:val="bottom"/>
          </w:tcPr>
          <w:p>
            <w:pPr>
              <w:jc w:val="right"/>
              <w:spacing w:after="0" w:line="176" w:lineRule="exact"/>
              <w:rPr>
                <w:sz w:val="20"/>
                <w:szCs w:val="20"/>
                <w:color w:val="auto"/>
              </w:rPr>
            </w:pPr>
            <w:r>
              <w:rPr>
                <w:rFonts w:ascii="Arial" w:cs="Arial" w:eastAsia="Arial" w:hAnsi="Arial"/>
                <w:sz w:val="16"/>
                <w:szCs w:val="16"/>
                <w:color w:val="auto"/>
              </w:rPr>
              <w:t>46</w:t>
            </w:r>
          </w:p>
        </w:tc>
      </w:tr>
      <w:tr>
        <w:trPr>
          <w:trHeight w:val="176"/>
        </w:trPr>
        <w:tc>
          <w:tcPr>
            <w:tcW w:w="5640" w:type="dxa"/>
            <w:vAlign w:val="bottom"/>
            <w:gridSpan w:val="2"/>
          </w:tcPr>
          <w:p>
            <w:pPr>
              <w:spacing w:after="0" w:line="176" w:lineRule="exact"/>
              <w:rPr>
                <w:sz w:val="20"/>
                <w:szCs w:val="20"/>
                <w:color w:val="auto"/>
              </w:rPr>
            </w:pPr>
            <w:r>
              <w:rPr>
                <w:rFonts w:ascii="Arial" w:cs="Arial" w:eastAsia="Arial" w:hAnsi="Arial"/>
                <w:sz w:val="16"/>
                <w:szCs w:val="16"/>
                <w:color w:val="auto"/>
              </w:rPr>
              <w:t>Tax benefit related to share-based compensation</w:t>
            </w:r>
          </w:p>
        </w:tc>
        <w:tc>
          <w:tcPr>
            <w:tcW w:w="4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00" w:type="dxa"/>
            <w:vAlign w:val="bottom"/>
          </w:tcPr>
          <w:p>
            <w:pPr>
              <w:jc w:val="right"/>
              <w:spacing w:after="0" w:line="176" w:lineRule="exact"/>
              <w:rPr>
                <w:sz w:val="20"/>
                <w:szCs w:val="20"/>
                <w:color w:val="auto"/>
              </w:rPr>
            </w:pPr>
            <w:r>
              <w:rPr>
                <w:rFonts w:ascii="Arial" w:cs="Arial" w:eastAsia="Arial" w:hAnsi="Arial"/>
                <w:sz w:val="16"/>
                <w:szCs w:val="16"/>
                <w:color w:val="auto"/>
              </w:rPr>
              <w:t>1</w:t>
            </w:r>
          </w:p>
        </w:tc>
        <w:tc>
          <w:tcPr>
            <w:tcW w:w="2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320" w:type="dxa"/>
            <w:vAlign w:val="bottom"/>
          </w:tcPr>
          <w:p>
            <w:pPr>
              <w:jc w:val="right"/>
              <w:spacing w:after="0" w:line="176" w:lineRule="exact"/>
              <w:rPr>
                <w:sz w:val="20"/>
                <w:szCs w:val="20"/>
                <w:color w:val="auto"/>
              </w:rPr>
            </w:pPr>
            <w:r>
              <w:rPr>
                <w:rFonts w:ascii="Arial" w:cs="Arial" w:eastAsia="Arial" w:hAnsi="Arial"/>
                <w:sz w:val="16"/>
                <w:szCs w:val="16"/>
                <w:color w:val="auto"/>
              </w:rPr>
              <w:t>―</w:t>
            </w: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220" w:type="dxa"/>
            <w:vAlign w:val="bottom"/>
          </w:tcPr>
          <w:p>
            <w:pPr>
              <w:jc w:val="right"/>
              <w:spacing w:after="0" w:line="176" w:lineRule="exact"/>
              <w:rPr>
                <w:sz w:val="20"/>
                <w:szCs w:val="20"/>
                <w:color w:val="auto"/>
              </w:rPr>
            </w:pPr>
            <w:r>
              <w:rPr>
                <w:rFonts w:ascii="Arial" w:cs="Arial" w:eastAsia="Arial" w:hAnsi="Arial"/>
                <w:sz w:val="16"/>
                <w:szCs w:val="16"/>
                <w:color w:val="auto"/>
              </w:rPr>
              <w:t>1</w:t>
            </w:r>
          </w:p>
        </w:tc>
      </w:tr>
      <w:tr>
        <w:trPr>
          <w:trHeight w:val="176"/>
        </w:trPr>
        <w:tc>
          <w:tcPr>
            <w:tcW w:w="5640" w:type="dxa"/>
            <w:vAlign w:val="bottom"/>
            <w:gridSpan w:val="2"/>
          </w:tcPr>
          <w:p>
            <w:pPr>
              <w:spacing w:after="0" w:line="176" w:lineRule="exact"/>
              <w:rPr>
                <w:sz w:val="20"/>
                <w:szCs w:val="20"/>
                <w:color w:val="auto"/>
              </w:rPr>
            </w:pPr>
            <w:r>
              <w:rPr>
                <w:rFonts w:ascii="Arial" w:cs="Arial" w:eastAsia="Arial" w:hAnsi="Arial"/>
                <w:sz w:val="16"/>
                <w:szCs w:val="16"/>
                <w:color w:val="auto"/>
              </w:rPr>
              <w:t>Repurchase of common stock</w:t>
            </w:r>
          </w:p>
        </w:tc>
        <w:tc>
          <w:tcPr>
            <w:tcW w:w="4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00" w:type="dxa"/>
            <w:vAlign w:val="bottom"/>
          </w:tcPr>
          <w:p>
            <w:pPr>
              <w:jc w:val="right"/>
              <w:spacing w:after="0" w:line="176" w:lineRule="exact"/>
              <w:rPr>
                <w:sz w:val="20"/>
                <w:szCs w:val="20"/>
                <w:color w:val="auto"/>
              </w:rPr>
            </w:pPr>
            <w:r>
              <w:rPr>
                <w:rFonts w:ascii="Arial" w:cs="Arial" w:eastAsia="Arial" w:hAnsi="Arial"/>
                <w:sz w:val="16"/>
                <w:szCs w:val="16"/>
                <w:color w:val="auto"/>
              </w:rPr>
              <w:t>(2)</w:t>
            </w:r>
          </w:p>
        </w:tc>
        <w:tc>
          <w:tcPr>
            <w:tcW w:w="2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320" w:type="dxa"/>
            <w:vAlign w:val="bottom"/>
          </w:tcPr>
          <w:p>
            <w:pPr>
              <w:jc w:val="right"/>
              <w:spacing w:after="0" w:line="176" w:lineRule="exact"/>
              <w:rPr>
                <w:sz w:val="20"/>
                <w:szCs w:val="20"/>
                <w:color w:val="auto"/>
              </w:rPr>
            </w:pPr>
            <w:r>
              <w:rPr>
                <w:rFonts w:ascii="Arial" w:cs="Arial" w:eastAsia="Arial" w:hAnsi="Arial"/>
                <w:sz w:val="16"/>
                <w:szCs w:val="16"/>
                <w:color w:val="auto"/>
              </w:rPr>
              <w:t>―</w:t>
            </w: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220" w:type="dxa"/>
            <w:vAlign w:val="bottom"/>
          </w:tcPr>
          <w:p>
            <w:pPr>
              <w:jc w:val="right"/>
              <w:spacing w:after="0" w:line="176" w:lineRule="exact"/>
              <w:rPr>
                <w:sz w:val="20"/>
                <w:szCs w:val="20"/>
                <w:color w:val="auto"/>
              </w:rPr>
            </w:pPr>
            <w:r>
              <w:rPr>
                <w:rFonts w:ascii="Arial" w:cs="Arial" w:eastAsia="Arial" w:hAnsi="Arial"/>
                <w:sz w:val="16"/>
                <w:szCs w:val="16"/>
                <w:color w:val="auto"/>
              </w:rPr>
              <w:t>(2)</w:t>
            </w:r>
          </w:p>
        </w:tc>
      </w:tr>
      <w:tr>
        <w:trPr>
          <w:trHeight w:val="176"/>
        </w:trPr>
        <w:tc>
          <w:tcPr>
            <w:tcW w:w="5640" w:type="dxa"/>
            <w:vAlign w:val="bottom"/>
            <w:gridSpan w:val="2"/>
          </w:tcPr>
          <w:p>
            <w:pPr>
              <w:spacing w:after="0" w:line="176" w:lineRule="exact"/>
              <w:rPr>
                <w:sz w:val="20"/>
                <w:szCs w:val="20"/>
                <w:color w:val="auto"/>
              </w:rPr>
            </w:pPr>
            <w:r>
              <w:rPr>
                <w:rFonts w:ascii="Arial" w:cs="Arial" w:eastAsia="Arial" w:hAnsi="Arial"/>
                <w:sz w:val="16"/>
                <w:szCs w:val="16"/>
                <w:color w:val="auto"/>
              </w:rPr>
              <w:t>Common stock released from ESOP</w:t>
            </w:r>
          </w:p>
        </w:tc>
        <w:tc>
          <w:tcPr>
            <w:tcW w:w="4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00" w:type="dxa"/>
            <w:vAlign w:val="bottom"/>
          </w:tcPr>
          <w:p>
            <w:pPr>
              <w:jc w:val="right"/>
              <w:spacing w:after="0" w:line="176" w:lineRule="exact"/>
              <w:rPr>
                <w:sz w:val="20"/>
                <w:szCs w:val="20"/>
                <w:color w:val="auto"/>
              </w:rPr>
            </w:pPr>
            <w:r>
              <w:rPr>
                <w:rFonts w:ascii="Arial" w:cs="Arial" w:eastAsia="Arial" w:hAnsi="Arial"/>
                <w:sz w:val="16"/>
                <w:szCs w:val="16"/>
                <w:color w:val="auto"/>
              </w:rPr>
              <w:t>11</w:t>
            </w:r>
          </w:p>
        </w:tc>
        <w:tc>
          <w:tcPr>
            <w:tcW w:w="2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320" w:type="dxa"/>
            <w:vAlign w:val="bottom"/>
          </w:tcPr>
          <w:p>
            <w:pPr>
              <w:jc w:val="right"/>
              <w:spacing w:after="0" w:line="176" w:lineRule="exact"/>
              <w:rPr>
                <w:sz w:val="20"/>
                <w:szCs w:val="20"/>
                <w:color w:val="auto"/>
              </w:rPr>
            </w:pPr>
            <w:r>
              <w:rPr>
                <w:rFonts w:ascii="Arial" w:cs="Arial" w:eastAsia="Arial" w:hAnsi="Arial"/>
                <w:sz w:val="16"/>
                <w:szCs w:val="16"/>
                <w:color w:val="auto"/>
              </w:rPr>
              <w:t>―</w:t>
            </w: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220" w:type="dxa"/>
            <w:vAlign w:val="bottom"/>
          </w:tcPr>
          <w:p>
            <w:pPr>
              <w:jc w:val="right"/>
              <w:spacing w:after="0" w:line="176" w:lineRule="exact"/>
              <w:rPr>
                <w:sz w:val="20"/>
                <w:szCs w:val="20"/>
                <w:color w:val="auto"/>
              </w:rPr>
            </w:pPr>
            <w:r>
              <w:rPr>
                <w:rFonts w:ascii="Arial" w:cs="Arial" w:eastAsia="Arial" w:hAnsi="Arial"/>
                <w:sz w:val="16"/>
                <w:szCs w:val="16"/>
                <w:color w:val="auto"/>
              </w:rPr>
              <w:t>11</w:t>
            </w:r>
          </w:p>
        </w:tc>
      </w:tr>
      <w:tr>
        <w:trPr>
          <w:trHeight w:val="194"/>
        </w:trPr>
        <w:tc>
          <w:tcPr>
            <w:tcW w:w="5640" w:type="dxa"/>
            <w:vAlign w:val="bottom"/>
            <w:tcBorders>
              <w:bottom w:val="single" w:sz="8" w:color="auto"/>
            </w:tcBorders>
            <w:gridSpan w:val="2"/>
          </w:tcPr>
          <w:p>
            <w:pPr>
              <w:spacing w:after="0"/>
              <w:rPr>
                <w:sz w:val="20"/>
                <w:szCs w:val="20"/>
                <w:color w:val="auto"/>
              </w:rPr>
            </w:pPr>
            <w:r>
              <w:rPr>
                <w:rFonts w:ascii="Arial" w:cs="Arial" w:eastAsia="Arial" w:hAnsi="Arial"/>
                <w:sz w:val="16"/>
                <w:szCs w:val="16"/>
                <w:color w:val="auto"/>
              </w:rPr>
              <w:t>Balance at June 30, 2010</w:t>
            </w:r>
          </w:p>
        </w:tc>
        <w:tc>
          <w:tcPr>
            <w:tcW w:w="420" w:type="dxa"/>
            <w:vAlign w:val="bottom"/>
            <w:tcBorders>
              <w:bottom w:val="single" w:sz="8" w:color="auto"/>
            </w:tcBorders>
          </w:tcPr>
          <w:p>
            <w:pPr>
              <w:jc w:val="right"/>
              <w:ind w:right="262"/>
              <w:spacing w:after="0"/>
              <w:rPr>
                <w:sz w:val="20"/>
                <w:szCs w:val="20"/>
                <w:color w:val="auto"/>
              </w:rPr>
            </w:pPr>
            <w:r>
              <w:rPr>
                <w:rFonts w:ascii="Arial" w:cs="Arial" w:eastAsia="Arial" w:hAnsi="Arial"/>
                <w:sz w:val="15"/>
                <w:szCs w:val="15"/>
                <w:color w:val="auto"/>
                <w:w w:val="71"/>
              </w:rPr>
              <w:t>$</w:t>
            </w:r>
          </w:p>
        </w:tc>
        <w:tc>
          <w:tcPr>
            <w:tcW w:w="26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9,190</w:t>
            </w:r>
          </w:p>
        </w:tc>
        <w:tc>
          <w:tcPr>
            <w:tcW w:w="240" w:type="dxa"/>
            <w:vAlign w:val="bottom"/>
            <w:tcBorders>
              <w:bottom w:val="single" w:sz="8" w:color="auto"/>
            </w:tcBorders>
          </w:tcPr>
          <w:p>
            <w:pPr>
              <w:jc w:val="right"/>
              <w:ind w:right="82"/>
              <w:spacing w:after="0"/>
              <w:rPr>
                <w:sz w:val="20"/>
                <w:szCs w:val="20"/>
                <w:color w:val="auto"/>
              </w:rPr>
            </w:pPr>
            <w:r>
              <w:rPr>
                <w:rFonts w:ascii="Arial" w:cs="Arial" w:eastAsia="Arial" w:hAnsi="Arial"/>
                <w:sz w:val="15"/>
                <w:szCs w:val="15"/>
                <w:color w:val="auto"/>
                <w:w w:val="71"/>
              </w:rPr>
              <w:t>$</w:t>
            </w:r>
          </w:p>
        </w:tc>
        <w:tc>
          <w:tcPr>
            <w:tcW w:w="36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220</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9,410</w:t>
            </w:r>
          </w:p>
        </w:tc>
      </w:tr>
      <w:tr>
        <w:trPr>
          <w:trHeight w:val="243"/>
        </w:trPr>
        <w:tc>
          <w:tcPr>
            <w:tcW w:w="20" w:type="dxa"/>
            <w:vAlign w:val="bottom"/>
          </w:tcPr>
          <w:p>
            <w:pPr>
              <w:spacing w:after="0"/>
              <w:rPr>
                <w:sz w:val="21"/>
                <w:szCs w:val="21"/>
                <w:color w:val="auto"/>
              </w:rPr>
            </w:pPr>
          </w:p>
        </w:tc>
        <w:tc>
          <w:tcPr>
            <w:tcW w:w="5620" w:type="dxa"/>
            <w:vAlign w:val="bottom"/>
            <w:tcBorders>
              <w:bottom w:val="single" w:sz="8" w:color="auto"/>
            </w:tcBorders>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40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46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spacing w:after="0"/>
              <w:rPr>
                <w:sz w:val="21"/>
                <w:szCs w:val="21"/>
                <w:color w:val="auto"/>
              </w:rPr>
            </w:pPr>
          </w:p>
        </w:tc>
      </w:tr>
      <w:tr>
        <w:trPr>
          <w:trHeight w:val="160"/>
        </w:trPr>
        <w:tc>
          <w:tcPr>
            <w:tcW w:w="20" w:type="dxa"/>
            <w:vAlign w:val="bottom"/>
          </w:tcPr>
          <w:p>
            <w:pPr>
              <w:spacing w:after="0"/>
              <w:rPr>
                <w:sz w:val="13"/>
                <w:szCs w:val="13"/>
                <w:color w:val="auto"/>
              </w:rPr>
            </w:pPr>
          </w:p>
        </w:tc>
        <w:tc>
          <w:tcPr>
            <w:tcW w:w="5620" w:type="dxa"/>
            <w:vAlign w:val="bottom"/>
            <w:shd w:val="clear" w:color="auto" w:fill="C0C0C0"/>
          </w:tcPr>
          <w:p>
            <w:pPr>
              <w:spacing w:after="0" w:line="160" w:lineRule="exact"/>
              <w:rPr>
                <w:sz w:val="20"/>
                <w:szCs w:val="20"/>
                <w:color w:val="auto"/>
              </w:rPr>
            </w:pPr>
            <w:r>
              <w:rPr>
                <w:rFonts w:ascii="Arial" w:cs="Arial" w:eastAsia="Arial" w:hAnsi="Arial"/>
                <w:sz w:val="16"/>
                <w:szCs w:val="16"/>
                <w:b w:val="1"/>
                <w:bCs w:val="1"/>
                <w:color w:val="auto"/>
              </w:rPr>
              <w:t>SHAREHOLDER'S EQUITY AND NONCONTROLLING INTEREST</w:t>
            </w:r>
          </w:p>
        </w:tc>
        <w:tc>
          <w:tcPr>
            <w:tcW w:w="420" w:type="dxa"/>
            <w:vAlign w:val="bottom"/>
            <w:shd w:val="clear" w:color="auto" w:fill="C0C0C0"/>
          </w:tcPr>
          <w:p>
            <w:pPr>
              <w:spacing w:after="0"/>
              <w:rPr>
                <w:sz w:val="13"/>
                <w:szCs w:val="13"/>
                <w:color w:val="auto"/>
              </w:rPr>
            </w:pPr>
          </w:p>
        </w:tc>
        <w:tc>
          <w:tcPr>
            <w:tcW w:w="260" w:type="dxa"/>
            <w:vAlign w:val="bottom"/>
            <w:shd w:val="clear" w:color="auto" w:fill="C0C0C0"/>
          </w:tcPr>
          <w:p>
            <w:pPr>
              <w:spacing w:after="0"/>
              <w:rPr>
                <w:sz w:val="13"/>
                <w:szCs w:val="13"/>
                <w:color w:val="auto"/>
              </w:rPr>
            </w:pPr>
          </w:p>
        </w:tc>
        <w:tc>
          <w:tcPr>
            <w:tcW w:w="1400" w:type="dxa"/>
            <w:vAlign w:val="bottom"/>
            <w:shd w:val="clear" w:color="auto" w:fill="C0C0C0"/>
          </w:tcPr>
          <w:p>
            <w:pPr>
              <w:spacing w:after="0"/>
              <w:rPr>
                <w:sz w:val="13"/>
                <w:szCs w:val="13"/>
                <w:color w:val="auto"/>
              </w:rPr>
            </w:pPr>
          </w:p>
        </w:tc>
        <w:tc>
          <w:tcPr>
            <w:tcW w:w="240" w:type="dxa"/>
            <w:vAlign w:val="bottom"/>
            <w:shd w:val="clear" w:color="auto" w:fill="C0C0C0"/>
          </w:tcPr>
          <w:p>
            <w:pPr>
              <w:spacing w:after="0"/>
              <w:rPr>
                <w:sz w:val="13"/>
                <w:szCs w:val="13"/>
                <w:color w:val="auto"/>
              </w:rPr>
            </w:pPr>
          </w:p>
        </w:tc>
        <w:tc>
          <w:tcPr>
            <w:tcW w:w="360" w:type="dxa"/>
            <w:vAlign w:val="bottom"/>
            <w:shd w:val="clear" w:color="auto" w:fill="C0C0C0"/>
          </w:tcPr>
          <w:p>
            <w:pPr>
              <w:spacing w:after="0"/>
              <w:rPr>
                <w:sz w:val="13"/>
                <w:szCs w:val="13"/>
                <w:color w:val="auto"/>
              </w:rPr>
            </w:pPr>
          </w:p>
        </w:tc>
        <w:tc>
          <w:tcPr>
            <w:tcW w:w="1320" w:type="dxa"/>
            <w:vAlign w:val="bottom"/>
            <w:shd w:val="clear" w:color="auto" w:fill="C0C0C0"/>
          </w:tcPr>
          <w:p>
            <w:pPr>
              <w:spacing w:after="0"/>
              <w:rPr>
                <w:sz w:val="13"/>
                <w:szCs w:val="13"/>
                <w:color w:val="auto"/>
              </w:rPr>
            </w:pPr>
          </w:p>
        </w:tc>
        <w:tc>
          <w:tcPr>
            <w:tcW w:w="100" w:type="dxa"/>
            <w:vAlign w:val="bottom"/>
            <w:shd w:val="clear" w:color="auto" w:fill="C0C0C0"/>
          </w:tcPr>
          <w:p>
            <w:pPr>
              <w:spacing w:after="0"/>
              <w:rPr>
                <w:sz w:val="13"/>
                <w:szCs w:val="13"/>
                <w:color w:val="auto"/>
              </w:rPr>
            </w:pPr>
          </w:p>
        </w:tc>
        <w:tc>
          <w:tcPr>
            <w:tcW w:w="460" w:type="dxa"/>
            <w:vAlign w:val="bottom"/>
            <w:shd w:val="clear" w:color="auto" w:fill="C0C0C0"/>
          </w:tcPr>
          <w:p>
            <w:pPr>
              <w:spacing w:after="0"/>
              <w:rPr>
                <w:sz w:val="13"/>
                <w:szCs w:val="13"/>
                <w:color w:val="auto"/>
              </w:rPr>
            </w:pPr>
          </w:p>
        </w:tc>
        <w:tc>
          <w:tcPr>
            <w:tcW w:w="1220" w:type="dxa"/>
            <w:vAlign w:val="bottom"/>
            <w:shd w:val="clear" w:color="auto" w:fill="C0C0C0"/>
          </w:tcPr>
          <w:p>
            <w:pPr>
              <w:spacing w:after="0"/>
              <w:rPr>
                <w:sz w:val="13"/>
                <w:szCs w:val="13"/>
                <w:color w:val="auto"/>
              </w:rPr>
            </w:pPr>
          </w:p>
        </w:tc>
      </w:tr>
      <w:tr>
        <w:trPr>
          <w:trHeight w:val="171"/>
        </w:trPr>
        <w:tc>
          <w:tcPr>
            <w:tcW w:w="20" w:type="dxa"/>
            <w:vAlign w:val="bottom"/>
          </w:tcPr>
          <w:p>
            <w:pPr>
              <w:spacing w:after="0"/>
              <w:rPr>
                <w:sz w:val="14"/>
                <w:szCs w:val="14"/>
                <w:color w:val="auto"/>
              </w:rPr>
            </w:pPr>
          </w:p>
        </w:tc>
        <w:tc>
          <w:tcPr>
            <w:tcW w:w="5620" w:type="dxa"/>
            <w:vAlign w:val="bottom"/>
            <w:shd w:val="clear" w:color="auto" w:fill="C0C0C0"/>
          </w:tcPr>
          <w:p>
            <w:pPr>
              <w:spacing w:after="0"/>
              <w:rPr>
                <w:sz w:val="20"/>
                <w:szCs w:val="20"/>
                <w:color w:val="auto"/>
              </w:rPr>
            </w:pPr>
            <w:r>
              <w:rPr>
                <w:rFonts w:ascii="Arial" w:cs="Arial" w:eastAsia="Arial" w:hAnsi="Arial"/>
                <w:sz w:val="14"/>
                <w:szCs w:val="14"/>
                <w:i w:val="1"/>
                <w:iCs w:val="1"/>
                <w:color w:val="auto"/>
              </w:rPr>
              <w:t>(Dollars in millions)</w:t>
            </w:r>
          </w:p>
        </w:tc>
        <w:tc>
          <w:tcPr>
            <w:tcW w:w="420" w:type="dxa"/>
            <w:vAlign w:val="bottom"/>
            <w:shd w:val="clear" w:color="auto" w:fill="C0C0C0"/>
          </w:tcPr>
          <w:p>
            <w:pPr>
              <w:spacing w:after="0"/>
              <w:rPr>
                <w:sz w:val="14"/>
                <w:szCs w:val="14"/>
                <w:color w:val="auto"/>
              </w:rPr>
            </w:pPr>
          </w:p>
        </w:tc>
        <w:tc>
          <w:tcPr>
            <w:tcW w:w="260" w:type="dxa"/>
            <w:vAlign w:val="bottom"/>
            <w:shd w:val="clear" w:color="auto" w:fill="C0C0C0"/>
          </w:tcPr>
          <w:p>
            <w:pPr>
              <w:spacing w:after="0"/>
              <w:rPr>
                <w:sz w:val="14"/>
                <w:szCs w:val="14"/>
                <w:color w:val="auto"/>
              </w:rPr>
            </w:pPr>
          </w:p>
        </w:tc>
        <w:tc>
          <w:tcPr>
            <w:tcW w:w="1400" w:type="dxa"/>
            <w:vAlign w:val="bottom"/>
            <w:shd w:val="clear" w:color="auto" w:fill="C0C0C0"/>
          </w:tcPr>
          <w:p>
            <w:pPr>
              <w:spacing w:after="0"/>
              <w:rPr>
                <w:sz w:val="14"/>
                <w:szCs w:val="14"/>
                <w:color w:val="auto"/>
              </w:rPr>
            </w:pPr>
          </w:p>
        </w:tc>
        <w:tc>
          <w:tcPr>
            <w:tcW w:w="240" w:type="dxa"/>
            <w:vAlign w:val="bottom"/>
            <w:shd w:val="clear" w:color="auto" w:fill="C0C0C0"/>
          </w:tcPr>
          <w:p>
            <w:pPr>
              <w:spacing w:after="0"/>
              <w:rPr>
                <w:sz w:val="14"/>
                <w:szCs w:val="14"/>
                <w:color w:val="auto"/>
              </w:rPr>
            </w:pPr>
          </w:p>
        </w:tc>
        <w:tc>
          <w:tcPr>
            <w:tcW w:w="360" w:type="dxa"/>
            <w:vAlign w:val="bottom"/>
            <w:shd w:val="clear" w:color="auto" w:fill="C0C0C0"/>
          </w:tcPr>
          <w:p>
            <w:pPr>
              <w:spacing w:after="0"/>
              <w:rPr>
                <w:sz w:val="14"/>
                <w:szCs w:val="14"/>
                <w:color w:val="auto"/>
              </w:rPr>
            </w:pPr>
          </w:p>
        </w:tc>
        <w:tc>
          <w:tcPr>
            <w:tcW w:w="1320" w:type="dxa"/>
            <w:vAlign w:val="bottom"/>
            <w:shd w:val="clear" w:color="auto" w:fill="C0C0C0"/>
          </w:tcPr>
          <w:p>
            <w:pPr>
              <w:spacing w:after="0"/>
              <w:rPr>
                <w:sz w:val="14"/>
                <w:szCs w:val="14"/>
                <w:color w:val="auto"/>
              </w:rPr>
            </w:pPr>
          </w:p>
        </w:tc>
        <w:tc>
          <w:tcPr>
            <w:tcW w:w="100" w:type="dxa"/>
            <w:vAlign w:val="bottom"/>
            <w:shd w:val="clear" w:color="auto" w:fill="C0C0C0"/>
          </w:tcPr>
          <w:p>
            <w:pPr>
              <w:spacing w:after="0"/>
              <w:rPr>
                <w:sz w:val="14"/>
                <w:szCs w:val="14"/>
                <w:color w:val="auto"/>
              </w:rPr>
            </w:pPr>
          </w:p>
        </w:tc>
        <w:tc>
          <w:tcPr>
            <w:tcW w:w="460" w:type="dxa"/>
            <w:vAlign w:val="bottom"/>
            <w:shd w:val="clear" w:color="auto" w:fill="C0C0C0"/>
          </w:tcPr>
          <w:p>
            <w:pPr>
              <w:spacing w:after="0"/>
              <w:rPr>
                <w:sz w:val="14"/>
                <w:szCs w:val="14"/>
                <w:color w:val="auto"/>
              </w:rPr>
            </w:pPr>
          </w:p>
        </w:tc>
        <w:tc>
          <w:tcPr>
            <w:tcW w:w="1220" w:type="dxa"/>
            <w:vAlign w:val="bottom"/>
            <w:shd w:val="clear" w:color="auto" w:fill="C0C0C0"/>
          </w:tcPr>
          <w:p>
            <w:pPr>
              <w:spacing w:after="0"/>
              <w:rPr>
                <w:sz w:val="14"/>
                <w:szCs w:val="14"/>
                <w:color w:val="auto"/>
              </w:rPr>
            </w:pPr>
          </w:p>
        </w:tc>
      </w:tr>
      <w:tr>
        <w:trPr>
          <w:trHeight w:val="191"/>
        </w:trPr>
        <w:tc>
          <w:tcPr>
            <w:tcW w:w="20" w:type="dxa"/>
            <w:vAlign w:val="bottom"/>
          </w:tcPr>
          <w:p>
            <w:pPr>
              <w:spacing w:after="0"/>
              <w:rPr>
                <w:sz w:val="16"/>
                <w:szCs w:val="16"/>
                <w:color w:val="auto"/>
              </w:rPr>
            </w:pPr>
          </w:p>
        </w:tc>
        <w:tc>
          <w:tcPr>
            <w:tcW w:w="56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00" w:type="dxa"/>
            <w:vAlign w:val="bottom"/>
          </w:tcPr>
          <w:p>
            <w:pPr>
              <w:jc w:val="center"/>
              <w:ind w:left="301"/>
              <w:spacing w:after="0"/>
              <w:rPr>
                <w:sz w:val="20"/>
                <w:szCs w:val="20"/>
                <w:color w:val="auto"/>
              </w:rPr>
            </w:pPr>
            <w:r>
              <w:rPr>
                <w:rFonts w:ascii="Arial" w:cs="Arial" w:eastAsia="Arial" w:hAnsi="Arial"/>
                <w:sz w:val="14"/>
                <w:szCs w:val="14"/>
                <w:color w:val="auto"/>
              </w:rPr>
              <w:t>SDG&amp;E</w:t>
            </w:r>
          </w:p>
        </w:tc>
        <w:tc>
          <w:tcPr>
            <w:tcW w:w="2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320" w:type="dxa"/>
            <w:vAlign w:val="bottom"/>
          </w:tcPr>
          <w:p>
            <w:pPr>
              <w:jc w:val="center"/>
              <w:ind w:left="80"/>
              <w:spacing w:after="0"/>
              <w:rPr>
                <w:sz w:val="20"/>
                <w:szCs w:val="20"/>
                <w:color w:val="auto"/>
              </w:rPr>
            </w:pPr>
            <w:r>
              <w:rPr>
                <w:rFonts w:ascii="Arial" w:cs="Arial" w:eastAsia="Arial" w:hAnsi="Arial"/>
                <w:sz w:val="14"/>
                <w:szCs w:val="14"/>
                <w:color w:val="auto"/>
              </w:rPr>
              <w:t>Non-</w:t>
            </w: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220" w:type="dxa"/>
            <w:vAlign w:val="bottom"/>
          </w:tcPr>
          <w:p>
            <w:pPr>
              <w:spacing w:after="0"/>
              <w:rPr>
                <w:sz w:val="16"/>
                <w:szCs w:val="16"/>
                <w:color w:val="auto"/>
              </w:rPr>
            </w:pPr>
          </w:p>
        </w:tc>
      </w:tr>
      <w:tr>
        <w:trPr>
          <w:trHeight w:val="176"/>
        </w:trPr>
        <w:tc>
          <w:tcPr>
            <w:tcW w:w="20" w:type="dxa"/>
            <w:vAlign w:val="bottom"/>
          </w:tcPr>
          <w:p>
            <w:pPr>
              <w:spacing w:after="0"/>
              <w:rPr>
                <w:sz w:val="15"/>
                <w:szCs w:val="15"/>
                <w:color w:val="auto"/>
              </w:rPr>
            </w:pPr>
          </w:p>
        </w:tc>
        <w:tc>
          <w:tcPr>
            <w:tcW w:w="56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00" w:type="dxa"/>
            <w:vAlign w:val="bottom"/>
          </w:tcPr>
          <w:p>
            <w:pPr>
              <w:jc w:val="center"/>
              <w:ind w:left="321"/>
              <w:spacing w:after="0"/>
              <w:rPr>
                <w:sz w:val="20"/>
                <w:szCs w:val="20"/>
                <w:color w:val="auto"/>
              </w:rPr>
            </w:pPr>
            <w:r>
              <w:rPr>
                <w:rFonts w:ascii="Arial" w:cs="Arial" w:eastAsia="Arial" w:hAnsi="Arial"/>
                <w:sz w:val="14"/>
                <w:szCs w:val="14"/>
                <w:color w:val="auto"/>
              </w:rPr>
              <w:t>Shareholder's</w:t>
            </w:r>
          </w:p>
        </w:tc>
        <w:tc>
          <w:tcPr>
            <w:tcW w:w="2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320" w:type="dxa"/>
            <w:vAlign w:val="bottom"/>
          </w:tcPr>
          <w:p>
            <w:pPr>
              <w:jc w:val="center"/>
              <w:ind w:left="60"/>
              <w:spacing w:after="0"/>
              <w:rPr>
                <w:sz w:val="20"/>
                <w:szCs w:val="20"/>
                <w:color w:val="auto"/>
              </w:rPr>
            </w:pPr>
            <w:r>
              <w:rPr>
                <w:rFonts w:ascii="Arial" w:cs="Arial" w:eastAsia="Arial" w:hAnsi="Arial"/>
                <w:sz w:val="14"/>
                <w:szCs w:val="14"/>
                <w:color w:val="auto"/>
              </w:rPr>
              <w:t>controlling</w:t>
            </w: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220" w:type="dxa"/>
            <w:vAlign w:val="bottom"/>
          </w:tcPr>
          <w:p>
            <w:pPr>
              <w:jc w:val="center"/>
              <w:spacing w:after="0"/>
              <w:rPr>
                <w:sz w:val="20"/>
                <w:szCs w:val="20"/>
                <w:color w:val="auto"/>
              </w:rPr>
            </w:pPr>
            <w:r>
              <w:rPr>
                <w:rFonts w:ascii="Arial" w:cs="Arial" w:eastAsia="Arial" w:hAnsi="Arial"/>
                <w:sz w:val="14"/>
                <w:szCs w:val="14"/>
                <w:color w:val="auto"/>
                <w:w w:val="96"/>
              </w:rPr>
              <w:t>Total</w:t>
            </w:r>
          </w:p>
        </w:tc>
      </w:tr>
      <w:tr>
        <w:trPr>
          <w:trHeight w:val="168"/>
        </w:trPr>
        <w:tc>
          <w:tcPr>
            <w:tcW w:w="20" w:type="dxa"/>
            <w:vAlign w:val="bottom"/>
          </w:tcPr>
          <w:p>
            <w:pPr>
              <w:spacing w:after="0"/>
              <w:rPr>
                <w:sz w:val="14"/>
                <w:szCs w:val="14"/>
                <w:color w:val="auto"/>
              </w:rPr>
            </w:pPr>
          </w:p>
        </w:tc>
        <w:tc>
          <w:tcPr>
            <w:tcW w:w="562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tcPr>
          <w:p>
            <w:pPr>
              <w:jc w:val="center"/>
              <w:ind w:left="321"/>
              <w:spacing w:after="0"/>
              <w:rPr>
                <w:sz w:val="20"/>
                <w:szCs w:val="20"/>
                <w:color w:val="auto"/>
              </w:rPr>
            </w:pPr>
            <w:r>
              <w:rPr>
                <w:rFonts w:ascii="Arial" w:cs="Arial" w:eastAsia="Arial" w:hAnsi="Arial"/>
                <w:sz w:val="14"/>
                <w:szCs w:val="14"/>
                <w:color w:val="auto"/>
              </w:rPr>
              <w:t>Equity</w:t>
            </w:r>
          </w:p>
        </w:tc>
        <w:tc>
          <w:tcPr>
            <w:tcW w:w="24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jc w:val="center"/>
              <w:ind w:left="80"/>
              <w:spacing w:after="0"/>
              <w:rPr>
                <w:sz w:val="20"/>
                <w:szCs w:val="20"/>
                <w:color w:val="auto"/>
              </w:rPr>
            </w:pPr>
            <w:r>
              <w:rPr>
                <w:rFonts w:ascii="Arial" w:cs="Arial" w:eastAsia="Arial" w:hAnsi="Arial"/>
                <w:sz w:val="14"/>
                <w:szCs w:val="14"/>
                <w:color w:val="auto"/>
              </w:rPr>
              <w:t>Interest</w:t>
            </w:r>
          </w:p>
        </w:tc>
        <w:tc>
          <w:tcPr>
            <w:tcW w:w="1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Equity</w:t>
            </w:r>
          </w:p>
        </w:tc>
      </w:tr>
      <w:tr>
        <w:trPr>
          <w:trHeight w:val="164"/>
        </w:trPr>
        <w:tc>
          <w:tcPr>
            <w:tcW w:w="20" w:type="dxa"/>
            <w:vAlign w:val="bottom"/>
          </w:tcPr>
          <w:p>
            <w:pPr>
              <w:spacing w:after="0"/>
              <w:rPr>
                <w:sz w:val="14"/>
                <w:szCs w:val="14"/>
                <w:color w:val="auto"/>
              </w:rPr>
            </w:pPr>
          </w:p>
        </w:tc>
        <w:tc>
          <w:tcPr>
            <w:tcW w:w="5620" w:type="dxa"/>
            <w:vAlign w:val="bottom"/>
          </w:tcPr>
          <w:p>
            <w:pPr>
              <w:spacing w:after="0" w:line="164" w:lineRule="exact"/>
              <w:rPr>
                <w:sz w:val="20"/>
                <w:szCs w:val="20"/>
                <w:color w:val="auto"/>
              </w:rPr>
            </w:pPr>
            <w:r>
              <w:rPr>
                <w:rFonts w:ascii="Arial" w:cs="Arial" w:eastAsia="Arial" w:hAnsi="Arial"/>
                <w:sz w:val="16"/>
                <w:szCs w:val="16"/>
                <w:color w:val="auto"/>
              </w:rPr>
              <w:t>Balance at December 31, 2010</w:t>
            </w:r>
          </w:p>
        </w:tc>
        <w:tc>
          <w:tcPr>
            <w:tcW w:w="680" w:type="dxa"/>
            <w:vAlign w:val="bottom"/>
            <w:gridSpan w:val="2"/>
          </w:tcPr>
          <w:p>
            <w:pPr>
              <w:jc w:val="right"/>
              <w:ind w:right="104"/>
              <w:spacing w:after="0" w:line="164" w:lineRule="exact"/>
              <w:rPr>
                <w:sz w:val="20"/>
                <w:szCs w:val="20"/>
                <w:color w:val="auto"/>
              </w:rPr>
            </w:pPr>
            <w:r>
              <w:rPr>
                <w:rFonts w:ascii="Arial" w:cs="Arial" w:eastAsia="Arial" w:hAnsi="Arial"/>
                <w:sz w:val="16"/>
                <w:szCs w:val="16"/>
                <w:color w:val="auto"/>
              </w:rPr>
              <w:t>$</w:t>
            </w:r>
          </w:p>
        </w:tc>
        <w:tc>
          <w:tcPr>
            <w:tcW w:w="1640" w:type="dxa"/>
            <w:vAlign w:val="bottom"/>
            <w:gridSpan w:val="2"/>
          </w:tcPr>
          <w:p>
            <w:pPr>
              <w:jc w:val="right"/>
              <w:spacing w:after="0" w:line="164" w:lineRule="exact"/>
              <w:rPr>
                <w:sz w:val="20"/>
                <w:szCs w:val="20"/>
                <w:color w:val="auto"/>
              </w:rPr>
            </w:pPr>
            <w:r>
              <w:rPr>
                <w:rFonts w:ascii="Arial" w:cs="Arial" w:eastAsia="Arial" w:hAnsi="Arial"/>
                <w:sz w:val="16"/>
                <w:szCs w:val="16"/>
                <w:color w:val="auto"/>
              </w:rPr>
              <w:t>3,108</w:t>
            </w:r>
          </w:p>
        </w:tc>
        <w:tc>
          <w:tcPr>
            <w:tcW w:w="360" w:type="dxa"/>
            <w:vAlign w:val="bottom"/>
          </w:tcPr>
          <w:p>
            <w:pPr>
              <w:jc w:val="right"/>
              <w:ind w:right="179"/>
              <w:spacing w:after="0" w:line="164" w:lineRule="exact"/>
              <w:rPr>
                <w:sz w:val="20"/>
                <w:szCs w:val="20"/>
                <w:color w:val="auto"/>
              </w:rPr>
            </w:pPr>
            <w:r>
              <w:rPr>
                <w:rFonts w:ascii="Arial" w:cs="Arial" w:eastAsia="Arial" w:hAnsi="Arial"/>
                <w:sz w:val="16"/>
                <w:szCs w:val="16"/>
                <w:color w:val="auto"/>
                <w:w w:val="89"/>
              </w:rPr>
              <w:t>$</w:t>
            </w:r>
          </w:p>
        </w:tc>
        <w:tc>
          <w:tcPr>
            <w:tcW w:w="1420" w:type="dxa"/>
            <w:vAlign w:val="bottom"/>
            <w:gridSpan w:val="2"/>
          </w:tcPr>
          <w:p>
            <w:pPr>
              <w:jc w:val="right"/>
              <w:spacing w:after="0" w:line="164" w:lineRule="exact"/>
              <w:rPr>
                <w:sz w:val="20"/>
                <w:szCs w:val="20"/>
                <w:color w:val="auto"/>
              </w:rPr>
            </w:pPr>
            <w:r>
              <w:rPr>
                <w:rFonts w:ascii="Arial" w:cs="Arial" w:eastAsia="Arial" w:hAnsi="Arial"/>
                <w:sz w:val="16"/>
                <w:szCs w:val="16"/>
                <w:color w:val="auto"/>
              </w:rPr>
              <w:t>113</w:t>
            </w:r>
          </w:p>
        </w:tc>
        <w:tc>
          <w:tcPr>
            <w:tcW w:w="460" w:type="dxa"/>
            <w:vAlign w:val="bottom"/>
          </w:tcPr>
          <w:p>
            <w:pPr>
              <w:jc w:val="right"/>
              <w:ind w:right="279"/>
              <w:spacing w:after="0" w:line="164" w:lineRule="exact"/>
              <w:rPr>
                <w:sz w:val="20"/>
                <w:szCs w:val="20"/>
                <w:color w:val="auto"/>
              </w:rPr>
            </w:pPr>
            <w:r>
              <w:rPr>
                <w:rFonts w:ascii="Arial" w:cs="Arial" w:eastAsia="Arial" w:hAnsi="Arial"/>
                <w:sz w:val="16"/>
                <w:szCs w:val="16"/>
                <w:color w:val="auto"/>
                <w:w w:val="89"/>
              </w:rPr>
              <w:t>$</w:t>
            </w:r>
          </w:p>
        </w:tc>
        <w:tc>
          <w:tcPr>
            <w:tcW w:w="1220" w:type="dxa"/>
            <w:vAlign w:val="bottom"/>
          </w:tcPr>
          <w:p>
            <w:pPr>
              <w:jc w:val="right"/>
              <w:spacing w:after="0" w:line="164" w:lineRule="exact"/>
              <w:rPr>
                <w:sz w:val="20"/>
                <w:szCs w:val="20"/>
                <w:color w:val="auto"/>
              </w:rPr>
            </w:pPr>
            <w:r>
              <w:rPr>
                <w:rFonts w:ascii="Arial" w:cs="Arial" w:eastAsia="Arial" w:hAnsi="Arial"/>
                <w:sz w:val="16"/>
                <w:szCs w:val="16"/>
                <w:color w:val="auto"/>
              </w:rPr>
              <w:t>3,221</w:t>
            </w:r>
          </w:p>
        </w:tc>
      </w:tr>
      <w:tr>
        <w:trPr>
          <w:trHeight w:val="176"/>
        </w:trPr>
        <w:tc>
          <w:tcPr>
            <w:tcW w:w="5640" w:type="dxa"/>
            <w:vAlign w:val="bottom"/>
            <w:gridSpan w:val="2"/>
          </w:tcPr>
          <w:p>
            <w:pPr>
              <w:spacing w:after="0" w:line="176" w:lineRule="exact"/>
              <w:rPr>
                <w:sz w:val="20"/>
                <w:szCs w:val="20"/>
                <w:color w:val="auto"/>
              </w:rPr>
            </w:pPr>
            <w:r>
              <w:rPr>
                <w:rFonts w:ascii="Arial" w:cs="Arial" w:eastAsia="Arial" w:hAnsi="Arial"/>
                <w:sz w:val="16"/>
                <w:szCs w:val="16"/>
                <w:color w:val="auto"/>
              </w:rPr>
              <w:t>Comprehensive income</w:t>
            </w:r>
          </w:p>
        </w:tc>
        <w:tc>
          <w:tcPr>
            <w:tcW w:w="4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40" w:type="dxa"/>
            <w:vAlign w:val="bottom"/>
            <w:gridSpan w:val="2"/>
          </w:tcPr>
          <w:p>
            <w:pPr>
              <w:jc w:val="right"/>
              <w:spacing w:after="0" w:line="176" w:lineRule="exact"/>
              <w:rPr>
                <w:sz w:val="20"/>
                <w:szCs w:val="20"/>
                <w:color w:val="auto"/>
              </w:rPr>
            </w:pPr>
            <w:r>
              <w:rPr>
                <w:rFonts w:ascii="Arial" w:cs="Arial" w:eastAsia="Arial" w:hAnsi="Arial"/>
                <w:sz w:val="16"/>
                <w:szCs w:val="16"/>
                <w:color w:val="auto"/>
              </w:rPr>
              <w:t>162</w:t>
            </w:r>
          </w:p>
        </w:tc>
        <w:tc>
          <w:tcPr>
            <w:tcW w:w="360" w:type="dxa"/>
            <w:vAlign w:val="bottom"/>
          </w:tcPr>
          <w:p>
            <w:pPr>
              <w:spacing w:after="0"/>
              <w:rPr>
                <w:sz w:val="15"/>
                <w:szCs w:val="15"/>
                <w:color w:val="auto"/>
              </w:rPr>
            </w:pPr>
          </w:p>
        </w:tc>
        <w:tc>
          <w:tcPr>
            <w:tcW w:w="1420" w:type="dxa"/>
            <w:vAlign w:val="bottom"/>
            <w:gridSpan w:val="2"/>
          </w:tcPr>
          <w:p>
            <w:pPr>
              <w:jc w:val="right"/>
              <w:spacing w:after="0" w:line="176" w:lineRule="exact"/>
              <w:rPr>
                <w:sz w:val="20"/>
                <w:szCs w:val="20"/>
                <w:color w:val="auto"/>
              </w:rPr>
            </w:pPr>
            <w:r>
              <w:rPr>
                <w:rFonts w:ascii="Arial" w:cs="Arial" w:eastAsia="Arial" w:hAnsi="Arial"/>
                <w:sz w:val="16"/>
                <w:szCs w:val="16"/>
                <w:color w:val="auto"/>
              </w:rPr>
              <w:t>(24)</w:t>
            </w:r>
          </w:p>
        </w:tc>
        <w:tc>
          <w:tcPr>
            <w:tcW w:w="460" w:type="dxa"/>
            <w:vAlign w:val="bottom"/>
          </w:tcPr>
          <w:p>
            <w:pPr>
              <w:spacing w:after="0"/>
              <w:rPr>
                <w:sz w:val="15"/>
                <w:szCs w:val="15"/>
                <w:color w:val="auto"/>
              </w:rPr>
            </w:pPr>
          </w:p>
        </w:tc>
        <w:tc>
          <w:tcPr>
            <w:tcW w:w="1220" w:type="dxa"/>
            <w:vAlign w:val="bottom"/>
          </w:tcPr>
          <w:p>
            <w:pPr>
              <w:jc w:val="right"/>
              <w:spacing w:after="0" w:line="176" w:lineRule="exact"/>
              <w:rPr>
                <w:sz w:val="20"/>
                <w:szCs w:val="20"/>
                <w:color w:val="auto"/>
              </w:rPr>
            </w:pPr>
            <w:r>
              <w:rPr>
                <w:rFonts w:ascii="Arial" w:cs="Arial" w:eastAsia="Arial" w:hAnsi="Arial"/>
                <w:sz w:val="16"/>
                <w:szCs w:val="16"/>
                <w:color w:val="auto"/>
              </w:rPr>
              <w:t>138</w:t>
            </w:r>
          </w:p>
        </w:tc>
      </w:tr>
      <w:tr>
        <w:trPr>
          <w:trHeight w:val="176"/>
        </w:trPr>
        <w:tc>
          <w:tcPr>
            <w:tcW w:w="5640" w:type="dxa"/>
            <w:vAlign w:val="bottom"/>
            <w:gridSpan w:val="2"/>
          </w:tcPr>
          <w:p>
            <w:pPr>
              <w:spacing w:after="0" w:line="176" w:lineRule="exact"/>
              <w:rPr>
                <w:sz w:val="20"/>
                <w:szCs w:val="20"/>
                <w:color w:val="auto"/>
              </w:rPr>
            </w:pPr>
            <w:r>
              <w:rPr>
                <w:rFonts w:ascii="Arial" w:cs="Arial" w:eastAsia="Arial" w:hAnsi="Arial"/>
                <w:sz w:val="16"/>
                <w:szCs w:val="16"/>
                <w:color w:val="auto"/>
              </w:rPr>
              <w:t>Preferred stock dividends declared</w:t>
            </w:r>
          </w:p>
        </w:tc>
        <w:tc>
          <w:tcPr>
            <w:tcW w:w="4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240" w:type="dxa"/>
            <w:vAlign w:val="bottom"/>
          </w:tcPr>
          <w:p>
            <w:pPr>
              <w:jc w:val="right"/>
              <w:spacing w:after="0" w:line="176" w:lineRule="exact"/>
              <w:rPr>
                <w:sz w:val="20"/>
                <w:szCs w:val="20"/>
                <w:color w:val="auto"/>
              </w:rPr>
            </w:pPr>
            <w:r>
              <w:rPr>
                <w:rFonts w:ascii="Arial" w:cs="Arial" w:eastAsia="Arial" w:hAnsi="Arial"/>
                <w:sz w:val="16"/>
                <w:szCs w:val="16"/>
                <w:color w:val="auto"/>
              </w:rPr>
              <w:t>(2)</w:t>
            </w:r>
          </w:p>
        </w:tc>
        <w:tc>
          <w:tcPr>
            <w:tcW w:w="360" w:type="dxa"/>
            <w:vAlign w:val="bottom"/>
          </w:tcPr>
          <w:p>
            <w:pPr>
              <w:spacing w:after="0"/>
              <w:rPr>
                <w:sz w:val="15"/>
                <w:szCs w:val="15"/>
                <w:color w:val="auto"/>
              </w:rPr>
            </w:pPr>
          </w:p>
        </w:tc>
        <w:tc>
          <w:tcPr>
            <w:tcW w:w="1420" w:type="dxa"/>
            <w:vAlign w:val="bottom"/>
            <w:gridSpan w:val="2"/>
          </w:tcPr>
          <w:p>
            <w:pPr>
              <w:jc w:val="right"/>
              <w:spacing w:after="0" w:line="176" w:lineRule="exact"/>
              <w:rPr>
                <w:sz w:val="20"/>
                <w:szCs w:val="20"/>
                <w:color w:val="auto"/>
              </w:rPr>
            </w:pPr>
            <w:r>
              <w:rPr>
                <w:rFonts w:ascii="Arial" w:cs="Arial" w:eastAsia="Arial" w:hAnsi="Arial"/>
                <w:sz w:val="16"/>
                <w:szCs w:val="16"/>
                <w:color w:val="auto"/>
              </w:rPr>
              <w:t>―</w:t>
            </w:r>
          </w:p>
        </w:tc>
        <w:tc>
          <w:tcPr>
            <w:tcW w:w="460" w:type="dxa"/>
            <w:vAlign w:val="bottom"/>
          </w:tcPr>
          <w:p>
            <w:pPr>
              <w:spacing w:after="0"/>
              <w:rPr>
                <w:sz w:val="15"/>
                <w:szCs w:val="15"/>
                <w:color w:val="auto"/>
              </w:rPr>
            </w:pPr>
          </w:p>
        </w:tc>
        <w:tc>
          <w:tcPr>
            <w:tcW w:w="1220" w:type="dxa"/>
            <w:vAlign w:val="bottom"/>
          </w:tcPr>
          <w:p>
            <w:pPr>
              <w:jc w:val="right"/>
              <w:spacing w:after="0" w:line="176" w:lineRule="exact"/>
              <w:rPr>
                <w:sz w:val="20"/>
                <w:szCs w:val="20"/>
                <w:color w:val="auto"/>
              </w:rPr>
            </w:pPr>
            <w:r>
              <w:rPr>
                <w:rFonts w:ascii="Arial" w:cs="Arial" w:eastAsia="Arial" w:hAnsi="Arial"/>
                <w:sz w:val="16"/>
                <w:szCs w:val="16"/>
                <w:color w:val="auto"/>
              </w:rPr>
              <w:t>(2)</w:t>
            </w:r>
          </w:p>
        </w:tc>
      </w:tr>
      <w:tr>
        <w:trPr>
          <w:trHeight w:val="194"/>
        </w:trPr>
        <w:tc>
          <w:tcPr>
            <w:tcW w:w="5640" w:type="dxa"/>
            <w:vAlign w:val="bottom"/>
            <w:gridSpan w:val="2"/>
          </w:tcPr>
          <w:p>
            <w:pPr>
              <w:spacing w:after="0"/>
              <w:rPr>
                <w:sz w:val="20"/>
                <w:szCs w:val="20"/>
                <w:color w:val="auto"/>
              </w:rPr>
            </w:pPr>
            <w:r>
              <w:rPr>
                <w:rFonts w:ascii="Arial" w:cs="Arial" w:eastAsia="Arial" w:hAnsi="Arial"/>
                <w:sz w:val="16"/>
                <w:szCs w:val="16"/>
                <w:color w:val="auto"/>
              </w:rPr>
              <w:t>Capital contribution</w:t>
            </w:r>
          </w:p>
        </w:tc>
        <w:tc>
          <w:tcPr>
            <w:tcW w:w="4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200</w:t>
            </w:r>
          </w:p>
        </w:tc>
        <w:tc>
          <w:tcPr>
            <w:tcW w:w="36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w:t>
            </w:r>
          </w:p>
        </w:tc>
        <w:tc>
          <w:tcPr>
            <w:tcW w:w="4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200</w:t>
            </w:r>
          </w:p>
        </w:tc>
      </w:tr>
      <w:tr>
        <w:trPr>
          <w:trHeight w:val="183"/>
        </w:trPr>
        <w:tc>
          <w:tcPr>
            <w:tcW w:w="5640" w:type="dxa"/>
            <w:vAlign w:val="bottom"/>
            <w:gridSpan w:val="2"/>
          </w:tcPr>
          <w:p>
            <w:pPr>
              <w:spacing w:after="0" w:line="176" w:lineRule="exact"/>
              <w:rPr>
                <w:sz w:val="20"/>
                <w:szCs w:val="20"/>
                <w:color w:val="auto"/>
              </w:rPr>
            </w:pPr>
            <w:r>
              <w:rPr>
                <w:rFonts w:ascii="Arial" w:cs="Arial" w:eastAsia="Arial" w:hAnsi="Arial"/>
                <w:sz w:val="16"/>
                <w:szCs w:val="16"/>
                <w:color w:val="auto"/>
              </w:rPr>
              <w:t>Balance at June 30, 2011</w:t>
            </w:r>
          </w:p>
        </w:tc>
        <w:tc>
          <w:tcPr>
            <w:tcW w:w="420" w:type="dxa"/>
            <w:vAlign w:val="bottom"/>
          </w:tcPr>
          <w:p>
            <w:pPr>
              <w:spacing w:after="0"/>
              <w:rPr>
                <w:sz w:val="15"/>
                <w:szCs w:val="15"/>
                <w:color w:val="auto"/>
              </w:rPr>
            </w:pPr>
          </w:p>
        </w:tc>
        <w:tc>
          <w:tcPr>
            <w:tcW w:w="260" w:type="dxa"/>
            <w:vAlign w:val="bottom"/>
          </w:tcPr>
          <w:p>
            <w:pPr>
              <w:jc w:val="right"/>
              <w:ind w:right="104"/>
              <w:spacing w:after="0"/>
              <w:rPr>
                <w:sz w:val="20"/>
                <w:szCs w:val="20"/>
                <w:color w:val="auto"/>
              </w:rPr>
            </w:pPr>
            <w:r>
              <w:rPr>
                <w:rFonts w:ascii="Arial" w:cs="Arial" w:eastAsia="Arial" w:hAnsi="Arial"/>
                <w:sz w:val="15"/>
                <w:szCs w:val="15"/>
                <w:color w:val="auto"/>
                <w:w w:val="71"/>
              </w:rPr>
              <w:t>$</w:t>
            </w:r>
          </w:p>
        </w:tc>
        <w:tc>
          <w:tcPr>
            <w:tcW w:w="1640" w:type="dxa"/>
            <w:vAlign w:val="bottom"/>
            <w:gridSpan w:val="2"/>
          </w:tcPr>
          <w:p>
            <w:pPr>
              <w:jc w:val="right"/>
              <w:spacing w:after="0" w:line="176" w:lineRule="exact"/>
              <w:rPr>
                <w:sz w:val="20"/>
                <w:szCs w:val="20"/>
                <w:color w:val="auto"/>
              </w:rPr>
            </w:pPr>
            <w:r>
              <w:rPr>
                <w:rFonts w:ascii="Arial" w:cs="Arial" w:eastAsia="Arial" w:hAnsi="Arial"/>
                <w:sz w:val="16"/>
                <w:szCs w:val="16"/>
                <w:color w:val="auto"/>
              </w:rPr>
              <w:t>3,468</w:t>
            </w:r>
          </w:p>
        </w:tc>
        <w:tc>
          <w:tcPr>
            <w:tcW w:w="360" w:type="dxa"/>
            <w:vAlign w:val="bottom"/>
          </w:tcPr>
          <w:p>
            <w:pPr>
              <w:jc w:val="right"/>
              <w:ind w:right="179"/>
              <w:spacing w:after="0" w:line="176" w:lineRule="exact"/>
              <w:rPr>
                <w:sz w:val="20"/>
                <w:szCs w:val="20"/>
                <w:color w:val="auto"/>
              </w:rPr>
            </w:pPr>
            <w:r>
              <w:rPr>
                <w:rFonts w:ascii="Arial" w:cs="Arial" w:eastAsia="Arial" w:hAnsi="Arial"/>
                <w:sz w:val="16"/>
                <w:szCs w:val="16"/>
                <w:color w:val="auto"/>
                <w:w w:val="89"/>
              </w:rPr>
              <w:t>$</w:t>
            </w:r>
          </w:p>
        </w:tc>
        <w:tc>
          <w:tcPr>
            <w:tcW w:w="1420" w:type="dxa"/>
            <w:vAlign w:val="bottom"/>
            <w:gridSpan w:val="2"/>
          </w:tcPr>
          <w:p>
            <w:pPr>
              <w:jc w:val="right"/>
              <w:spacing w:after="0" w:line="176" w:lineRule="exact"/>
              <w:rPr>
                <w:sz w:val="20"/>
                <w:szCs w:val="20"/>
                <w:color w:val="auto"/>
              </w:rPr>
            </w:pPr>
            <w:r>
              <w:rPr>
                <w:rFonts w:ascii="Arial" w:cs="Arial" w:eastAsia="Arial" w:hAnsi="Arial"/>
                <w:sz w:val="16"/>
                <w:szCs w:val="16"/>
                <w:color w:val="auto"/>
              </w:rPr>
              <w:t>89</w:t>
            </w:r>
          </w:p>
        </w:tc>
        <w:tc>
          <w:tcPr>
            <w:tcW w:w="460" w:type="dxa"/>
            <w:vAlign w:val="bottom"/>
          </w:tcPr>
          <w:p>
            <w:pPr>
              <w:jc w:val="right"/>
              <w:ind w:right="279"/>
              <w:spacing w:after="0" w:line="176" w:lineRule="exact"/>
              <w:rPr>
                <w:sz w:val="20"/>
                <w:szCs w:val="20"/>
                <w:color w:val="auto"/>
              </w:rPr>
            </w:pPr>
            <w:r>
              <w:rPr>
                <w:rFonts w:ascii="Arial" w:cs="Arial" w:eastAsia="Arial" w:hAnsi="Arial"/>
                <w:sz w:val="16"/>
                <w:szCs w:val="16"/>
                <w:color w:val="auto"/>
                <w:w w:val="89"/>
              </w:rPr>
              <w:t>$</w:t>
            </w:r>
          </w:p>
        </w:tc>
        <w:tc>
          <w:tcPr>
            <w:tcW w:w="1220" w:type="dxa"/>
            <w:vAlign w:val="bottom"/>
          </w:tcPr>
          <w:p>
            <w:pPr>
              <w:jc w:val="right"/>
              <w:spacing w:after="0" w:line="176" w:lineRule="exact"/>
              <w:rPr>
                <w:sz w:val="20"/>
                <w:szCs w:val="20"/>
                <w:color w:val="auto"/>
              </w:rPr>
            </w:pPr>
            <w:r>
              <w:rPr>
                <w:rFonts w:ascii="Arial" w:cs="Arial" w:eastAsia="Arial" w:hAnsi="Arial"/>
                <w:sz w:val="16"/>
                <w:szCs w:val="16"/>
                <w:color w:val="auto"/>
              </w:rPr>
              <w:t>3,557</w:t>
            </w:r>
          </w:p>
        </w:tc>
      </w:tr>
      <w:tr>
        <w:trPr>
          <w:trHeight w:val="164"/>
        </w:trPr>
        <w:tc>
          <w:tcPr>
            <w:tcW w:w="20" w:type="dxa"/>
            <w:vAlign w:val="bottom"/>
          </w:tcPr>
          <w:p>
            <w:pPr>
              <w:spacing w:after="0"/>
              <w:rPr>
                <w:sz w:val="14"/>
                <w:szCs w:val="14"/>
                <w:color w:val="auto"/>
              </w:rPr>
            </w:pPr>
          </w:p>
        </w:tc>
        <w:tc>
          <w:tcPr>
            <w:tcW w:w="5620" w:type="dxa"/>
            <w:vAlign w:val="bottom"/>
            <w:tcBorders>
              <w:top w:val="single" w:sz="8" w:color="auto"/>
            </w:tcBorders>
          </w:tcPr>
          <w:p>
            <w:pPr>
              <w:spacing w:after="0" w:line="164" w:lineRule="exact"/>
              <w:rPr>
                <w:sz w:val="20"/>
                <w:szCs w:val="20"/>
                <w:color w:val="auto"/>
              </w:rPr>
            </w:pPr>
            <w:r>
              <w:rPr>
                <w:rFonts w:ascii="Arial" w:cs="Arial" w:eastAsia="Arial" w:hAnsi="Arial"/>
                <w:sz w:val="16"/>
                <w:szCs w:val="16"/>
                <w:color w:val="auto"/>
              </w:rPr>
              <w:t>Balance at December 31, 2009</w:t>
            </w:r>
          </w:p>
        </w:tc>
        <w:tc>
          <w:tcPr>
            <w:tcW w:w="680" w:type="dxa"/>
            <w:vAlign w:val="bottom"/>
            <w:tcBorders>
              <w:top w:val="single" w:sz="8" w:color="auto"/>
            </w:tcBorders>
            <w:gridSpan w:val="2"/>
          </w:tcPr>
          <w:p>
            <w:pPr>
              <w:jc w:val="right"/>
              <w:ind w:right="104"/>
              <w:spacing w:after="0" w:line="164" w:lineRule="exact"/>
              <w:rPr>
                <w:sz w:val="20"/>
                <w:szCs w:val="20"/>
                <w:color w:val="auto"/>
              </w:rPr>
            </w:pPr>
            <w:r>
              <w:rPr>
                <w:rFonts w:ascii="Arial" w:cs="Arial" w:eastAsia="Arial" w:hAnsi="Arial"/>
                <w:sz w:val="16"/>
                <w:szCs w:val="16"/>
                <w:color w:val="auto"/>
              </w:rPr>
              <w:t>$</w:t>
            </w:r>
          </w:p>
        </w:tc>
        <w:tc>
          <w:tcPr>
            <w:tcW w:w="1640" w:type="dxa"/>
            <w:vAlign w:val="bottom"/>
            <w:tcBorders>
              <w:top w:val="single" w:sz="8" w:color="auto"/>
            </w:tcBorders>
            <w:gridSpan w:val="2"/>
          </w:tcPr>
          <w:p>
            <w:pPr>
              <w:jc w:val="right"/>
              <w:spacing w:after="0" w:line="164" w:lineRule="exact"/>
              <w:rPr>
                <w:sz w:val="20"/>
                <w:szCs w:val="20"/>
                <w:color w:val="auto"/>
              </w:rPr>
            </w:pPr>
            <w:r>
              <w:rPr>
                <w:rFonts w:ascii="Arial" w:cs="Arial" w:eastAsia="Arial" w:hAnsi="Arial"/>
                <w:sz w:val="16"/>
                <w:szCs w:val="16"/>
                <w:color w:val="auto"/>
              </w:rPr>
              <w:t>2,739</w:t>
            </w:r>
          </w:p>
        </w:tc>
        <w:tc>
          <w:tcPr>
            <w:tcW w:w="360" w:type="dxa"/>
            <w:vAlign w:val="bottom"/>
            <w:tcBorders>
              <w:top w:val="single" w:sz="8" w:color="auto"/>
            </w:tcBorders>
          </w:tcPr>
          <w:p>
            <w:pPr>
              <w:jc w:val="right"/>
              <w:ind w:right="179"/>
              <w:spacing w:after="0" w:line="164" w:lineRule="exact"/>
              <w:rPr>
                <w:sz w:val="20"/>
                <w:szCs w:val="20"/>
                <w:color w:val="auto"/>
              </w:rPr>
            </w:pPr>
            <w:r>
              <w:rPr>
                <w:rFonts w:ascii="Arial" w:cs="Arial" w:eastAsia="Arial" w:hAnsi="Arial"/>
                <w:sz w:val="16"/>
                <w:szCs w:val="16"/>
                <w:color w:val="auto"/>
                <w:w w:val="89"/>
              </w:rPr>
              <w:t>$</w:t>
            </w:r>
          </w:p>
        </w:tc>
        <w:tc>
          <w:tcPr>
            <w:tcW w:w="1420" w:type="dxa"/>
            <w:vAlign w:val="bottom"/>
            <w:tcBorders>
              <w:top w:val="single" w:sz="8" w:color="auto"/>
            </w:tcBorders>
            <w:gridSpan w:val="2"/>
          </w:tcPr>
          <w:p>
            <w:pPr>
              <w:jc w:val="right"/>
              <w:spacing w:after="0" w:line="164" w:lineRule="exact"/>
              <w:rPr>
                <w:sz w:val="20"/>
                <w:szCs w:val="20"/>
                <w:color w:val="auto"/>
              </w:rPr>
            </w:pPr>
            <w:r>
              <w:rPr>
                <w:rFonts w:ascii="Arial" w:cs="Arial" w:eastAsia="Arial" w:hAnsi="Arial"/>
                <w:sz w:val="16"/>
                <w:szCs w:val="16"/>
                <w:color w:val="auto"/>
              </w:rPr>
              <w:t>146</w:t>
            </w:r>
          </w:p>
        </w:tc>
        <w:tc>
          <w:tcPr>
            <w:tcW w:w="460" w:type="dxa"/>
            <w:vAlign w:val="bottom"/>
            <w:tcBorders>
              <w:top w:val="single" w:sz="8" w:color="auto"/>
            </w:tcBorders>
          </w:tcPr>
          <w:p>
            <w:pPr>
              <w:jc w:val="right"/>
              <w:ind w:right="279"/>
              <w:spacing w:after="0" w:line="164" w:lineRule="exact"/>
              <w:rPr>
                <w:sz w:val="20"/>
                <w:szCs w:val="20"/>
                <w:color w:val="auto"/>
              </w:rPr>
            </w:pPr>
            <w:r>
              <w:rPr>
                <w:rFonts w:ascii="Arial" w:cs="Arial" w:eastAsia="Arial" w:hAnsi="Arial"/>
                <w:sz w:val="16"/>
                <w:szCs w:val="16"/>
                <w:color w:val="auto"/>
                <w:w w:val="89"/>
              </w:rPr>
              <w:t>$</w:t>
            </w:r>
          </w:p>
        </w:tc>
        <w:tc>
          <w:tcPr>
            <w:tcW w:w="1220" w:type="dxa"/>
            <w:vAlign w:val="bottom"/>
            <w:tcBorders>
              <w:top w:val="single" w:sz="8" w:color="auto"/>
            </w:tcBorders>
          </w:tcPr>
          <w:p>
            <w:pPr>
              <w:jc w:val="right"/>
              <w:spacing w:after="0" w:line="164" w:lineRule="exact"/>
              <w:rPr>
                <w:sz w:val="20"/>
                <w:szCs w:val="20"/>
                <w:color w:val="auto"/>
              </w:rPr>
            </w:pPr>
            <w:r>
              <w:rPr>
                <w:rFonts w:ascii="Arial" w:cs="Arial" w:eastAsia="Arial" w:hAnsi="Arial"/>
                <w:sz w:val="16"/>
                <w:szCs w:val="16"/>
                <w:color w:val="auto"/>
              </w:rPr>
              <w:t>2,885</w:t>
            </w:r>
          </w:p>
        </w:tc>
      </w:tr>
      <w:tr>
        <w:trPr>
          <w:trHeight w:val="176"/>
        </w:trPr>
        <w:tc>
          <w:tcPr>
            <w:tcW w:w="5640" w:type="dxa"/>
            <w:vAlign w:val="bottom"/>
            <w:gridSpan w:val="2"/>
          </w:tcPr>
          <w:p>
            <w:pPr>
              <w:spacing w:after="0" w:line="176" w:lineRule="exact"/>
              <w:rPr>
                <w:sz w:val="20"/>
                <w:szCs w:val="20"/>
                <w:color w:val="auto"/>
              </w:rPr>
            </w:pPr>
            <w:r>
              <w:rPr>
                <w:rFonts w:ascii="Arial" w:cs="Arial" w:eastAsia="Arial" w:hAnsi="Arial"/>
                <w:sz w:val="16"/>
                <w:szCs w:val="16"/>
                <w:color w:val="auto"/>
              </w:rPr>
              <w:t>Comprehensive income (loss)</w:t>
            </w:r>
          </w:p>
        </w:tc>
        <w:tc>
          <w:tcPr>
            <w:tcW w:w="4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40" w:type="dxa"/>
            <w:vAlign w:val="bottom"/>
            <w:gridSpan w:val="2"/>
          </w:tcPr>
          <w:p>
            <w:pPr>
              <w:jc w:val="right"/>
              <w:spacing w:after="0" w:line="176" w:lineRule="exact"/>
              <w:rPr>
                <w:sz w:val="20"/>
                <w:szCs w:val="20"/>
                <w:color w:val="auto"/>
              </w:rPr>
            </w:pPr>
            <w:r>
              <w:rPr>
                <w:rFonts w:ascii="Arial" w:cs="Arial" w:eastAsia="Arial" w:hAnsi="Arial"/>
                <w:sz w:val="16"/>
                <w:szCs w:val="16"/>
                <w:color w:val="auto"/>
              </w:rPr>
              <w:t>161</w:t>
            </w:r>
          </w:p>
        </w:tc>
        <w:tc>
          <w:tcPr>
            <w:tcW w:w="360" w:type="dxa"/>
            <w:vAlign w:val="bottom"/>
          </w:tcPr>
          <w:p>
            <w:pPr>
              <w:spacing w:after="0"/>
              <w:rPr>
                <w:sz w:val="15"/>
                <w:szCs w:val="15"/>
                <w:color w:val="auto"/>
              </w:rPr>
            </w:pPr>
          </w:p>
        </w:tc>
        <w:tc>
          <w:tcPr>
            <w:tcW w:w="1420" w:type="dxa"/>
            <w:vAlign w:val="bottom"/>
            <w:gridSpan w:val="2"/>
          </w:tcPr>
          <w:p>
            <w:pPr>
              <w:jc w:val="right"/>
              <w:spacing w:after="0" w:line="176" w:lineRule="exact"/>
              <w:rPr>
                <w:sz w:val="20"/>
                <w:szCs w:val="20"/>
                <w:color w:val="auto"/>
              </w:rPr>
            </w:pPr>
            <w:r>
              <w:rPr>
                <w:rFonts w:ascii="Arial" w:cs="Arial" w:eastAsia="Arial" w:hAnsi="Arial"/>
                <w:sz w:val="16"/>
                <w:szCs w:val="16"/>
                <w:color w:val="auto"/>
              </w:rPr>
              <w:t>(25)</w:t>
            </w:r>
          </w:p>
        </w:tc>
        <w:tc>
          <w:tcPr>
            <w:tcW w:w="460" w:type="dxa"/>
            <w:vAlign w:val="bottom"/>
          </w:tcPr>
          <w:p>
            <w:pPr>
              <w:spacing w:after="0"/>
              <w:rPr>
                <w:sz w:val="15"/>
                <w:szCs w:val="15"/>
                <w:color w:val="auto"/>
              </w:rPr>
            </w:pPr>
          </w:p>
        </w:tc>
        <w:tc>
          <w:tcPr>
            <w:tcW w:w="1220" w:type="dxa"/>
            <w:vAlign w:val="bottom"/>
          </w:tcPr>
          <w:p>
            <w:pPr>
              <w:jc w:val="right"/>
              <w:spacing w:after="0" w:line="176" w:lineRule="exact"/>
              <w:rPr>
                <w:sz w:val="20"/>
                <w:szCs w:val="20"/>
                <w:color w:val="auto"/>
              </w:rPr>
            </w:pPr>
            <w:r>
              <w:rPr>
                <w:rFonts w:ascii="Arial" w:cs="Arial" w:eastAsia="Arial" w:hAnsi="Arial"/>
                <w:sz w:val="16"/>
                <w:szCs w:val="16"/>
                <w:color w:val="auto"/>
              </w:rPr>
              <w:t>136</w:t>
            </w:r>
          </w:p>
        </w:tc>
      </w:tr>
      <w:tr>
        <w:trPr>
          <w:trHeight w:val="176"/>
        </w:trPr>
        <w:tc>
          <w:tcPr>
            <w:tcW w:w="5640" w:type="dxa"/>
            <w:vAlign w:val="bottom"/>
            <w:gridSpan w:val="2"/>
          </w:tcPr>
          <w:p>
            <w:pPr>
              <w:spacing w:after="0" w:line="176" w:lineRule="exact"/>
              <w:rPr>
                <w:sz w:val="20"/>
                <w:szCs w:val="20"/>
                <w:color w:val="auto"/>
              </w:rPr>
            </w:pPr>
            <w:r>
              <w:rPr>
                <w:rFonts w:ascii="Arial" w:cs="Arial" w:eastAsia="Arial" w:hAnsi="Arial"/>
                <w:sz w:val="16"/>
                <w:szCs w:val="16"/>
                <w:color w:val="auto"/>
              </w:rPr>
              <w:t>Preferred stock dividends declared</w:t>
            </w:r>
          </w:p>
        </w:tc>
        <w:tc>
          <w:tcPr>
            <w:tcW w:w="4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240" w:type="dxa"/>
            <w:vAlign w:val="bottom"/>
          </w:tcPr>
          <w:p>
            <w:pPr>
              <w:jc w:val="right"/>
              <w:spacing w:after="0" w:line="176" w:lineRule="exact"/>
              <w:rPr>
                <w:sz w:val="20"/>
                <w:szCs w:val="20"/>
                <w:color w:val="auto"/>
              </w:rPr>
            </w:pPr>
            <w:r>
              <w:rPr>
                <w:rFonts w:ascii="Arial" w:cs="Arial" w:eastAsia="Arial" w:hAnsi="Arial"/>
                <w:sz w:val="16"/>
                <w:szCs w:val="16"/>
                <w:color w:val="auto"/>
              </w:rPr>
              <w:t>(2)</w:t>
            </w:r>
          </w:p>
        </w:tc>
        <w:tc>
          <w:tcPr>
            <w:tcW w:w="360" w:type="dxa"/>
            <w:vAlign w:val="bottom"/>
          </w:tcPr>
          <w:p>
            <w:pPr>
              <w:spacing w:after="0"/>
              <w:rPr>
                <w:sz w:val="15"/>
                <w:szCs w:val="15"/>
                <w:color w:val="auto"/>
              </w:rPr>
            </w:pPr>
          </w:p>
        </w:tc>
        <w:tc>
          <w:tcPr>
            <w:tcW w:w="1420" w:type="dxa"/>
            <w:vAlign w:val="bottom"/>
            <w:gridSpan w:val="2"/>
          </w:tcPr>
          <w:p>
            <w:pPr>
              <w:jc w:val="right"/>
              <w:spacing w:after="0" w:line="176" w:lineRule="exact"/>
              <w:rPr>
                <w:sz w:val="20"/>
                <w:szCs w:val="20"/>
                <w:color w:val="auto"/>
              </w:rPr>
            </w:pPr>
            <w:r>
              <w:rPr>
                <w:rFonts w:ascii="Arial" w:cs="Arial" w:eastAsia="Arial" w:hAnsi="Arial"/>
                <w:sz w:val="16"/>
                <w:szCs w:val="16"/>
                <w:color w:val="auto"/>
              </w:rPr>
              <w:t>―</w:t>
            </w:r>
          </w:p>
        </w:tc>
        <w:tc>
          <w:tcPr>
            <w:tcW w:w="460" w:type="dxa"/>
            <w:vAlign w:val="bottom"/>
          </w:tcPr>
          <w:p>
            <w:pPr>
              <w:spacing w:after="0"/>
              <w:rPr>
                <w:sz w:val="15"/>
                <w:szCs w:val="15"/>
                <w:color w:val="auto"/>
              </w:rPr>
            </w:pPr>
          </w:p>
        </w:tc>
        <w:tc>
          <w:tcPr>
            <w:tcW w:w="1220" w:type="dxa"/>
            <w:vAlign w:val="bottom"/>
          </w:tcPr>
          <w:p>
            <w:pPr>
              <w:jc w:val="right"/>
              <w:spacing w:after="0" w:line="176" w:lineRule="exact"/>
              <w:rPr>
                <w:sz w:val="20"/>
                <w:szCs w:val="20"/>
                <w:color w:val="auto"/>
              </w:rPr>
            </w:pPr>
            <w:r>
              <w:rPr>
                <w:rFonts w:ascii="Arial" w:cs="Arial" w:eastAsia="Arial" w:hAnsi="Arial"/>
                <w:sz w:val="16"/>
                <w:szCs w:val="16"/>
                <w:color w:val="auto"/>
              </w:rPr>
              <w:t>(2)</w:t>
            </w:r>
          </w:p>
        </w:tc>
      </w:tr>
      <w:tr>
        <w:trPr>
          <w:trHeight w:val="194"/>
        </w:trPr>
        <w:tc>
          <w:tcPr>
            <w:tcW w:w="5640" w:type="dxa"/>
            <w:vAlign w:val="bottom"/>
            <w:tcBorders>
              <w:bottom w:val="single" w:sz="8" w:color="auto"/>
            </w:tcBorders>
            <w:gridSpan w:val="2"/>
          </w:tcPr>
          <w:p>
            <w:pPr>
              <w:spacing w:after="0"/>
              <w:rPr>
                <w:sz w:val="20"/>
                <w:szCs w:val="20"/>
                <w:color w:val="auto"/>
              </w:rPr>
            </w:pPr>
            <w:r>
              <w:rPr>
                <w:rFonts w:ascii="Arial" w:cs="Arial" w:eastAsia="Arial" w:hAnsi="Arial"/>
                <w:sz w:val="16"/>
                <w:szCs w:val="16"/>
                <w:color w:val="auto"/>
              </w:rPr>
              <w:t>Balance at June 30, 2010</w:t>
            </w:r>
          </w:p>
        </w:tc>
        <w:tc>
          <w:tcPr>
            <w:tcW w:w="680" w:type="dxa"/>
            <w:vAlign w:val="bottom"/>
            <w:tcBorders>
              <w:bottom w:val="single" w:sz="8" w:color="auto"/>
            </w:tcBorders>
            <w:gridSpan w:val="2"/>
          </w:tcPr>
          <w:p>
            <w:pPr>
              <w:jc w:val="right"/>
              <w:ind w:right="104"/>
              <w:spacing w:after="0"/>
              <w:rPr>
                <w:sz w:val="20"/>
                <w:szCs w:val="20"/>
                <w:color w:val="auto"/>
              </w:rPr>
            </w:pPr>
            <w:r>
              <w:rPr>
                <w:rFonts w:ascii="Arial" w:cs="Arial" w:eastAsia="Arial" w:hAnsi="Arial"/>
                <w:sz w:val="16"/>
                <w:szCs w:val="16"/>
                <w:color w:val="auto"/>
              </w:rPr>
              <w:t>$</w:t>
            </w:r>
          </w:p>
        </w:tc>
        <w:tc>
          <w:tcPr>
            <w:tcW w:w="164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2,898</w:t>
            </w:r>
          </w:p>
        </w:tc>
        <w:tc>
          <w:tcPr>
            <w:tcW w:w="36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w w:val="89"/>
              </w:rPr>
              <w:t>$</w:t>
            </w:r>
          </w:p>
        </w:tc>
        <w:tc>
          <w:tcPr>
            <w:tcW w:w="142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121</w:t>
            </w:r>
          </w:p>
        </w:tc>
        <w:tc>
          <w:tcPr>
            <w:tcW w:w="46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3,019</w:t>
            </w:r>
          </w:p>
        </w:tc>
      </w:tr>
    </w:tbl>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TRANSACTIONS WITH AFFILIATES</w:t>
      </w: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Loans to Unconsolidated Affiliates</w:t>
      </w:r>
    </w:p>
    <w:p>
      <w:pPr>
        <w:spacing w:after="0" w:line="205"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Sempra Pipelines &amp; Storage has a U.S. dollar-denominated loan to Camuzzi Gas del Sur S.A., an affiliate of Sempra Pipelines &amp; Storage’s Argentine investments, which we discuss in Note 4 of the Notes to Consolidated Financial Statements in the Annual Report. The loan has a $24 million balance outstanding at a variable interest rate (7.3 percent as of June 30, 2011). In June 2011, the maturity date of the loan was extended from June 2011 to June 30, 2012. The loan is fully reserved at June 30, 2011.</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Other Affiliate Transactions</w:t>
      </w:r>
    </w:p>
    <w:p>
      <w:pPr>
        <w:spacing w:after="0" w:line="205"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Sempra Energy, SDG&amp;E and SoCalGas provide certain services to each other and are charged an allocable share of the cost of such services. Amounts due to/from affiliates are as follows:</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AMOUNTS DUE TO AND FROM AFFILIATES AT SDG&amp;E AND SOCALGAS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-104775</wp:posOffset>
            </wp:positionV>
            <wp:extent cx="7246620" cy="22288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46620" cy="222885"/>
                    </a:xfrm>
                    <a:prstGeom prst="rect">
                      <a:avLst/>
                    </a:prstGeom>
                    <a:noFill/>
                  </pic:spPr>
                </pic:pic>
              </a:graphicData>
            </a:graphic>
          </wp:anchor>
        </w:drawing>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7820" w:type="dxa"/>
            <w:vAlign w:val="bottom"/>
            <w:gridSpan w:val="2"/>
          </w:tcPr>
          <w:p>
            <w:pPr>
              <w:spacing w:after="0"/>
              <w:rPr>
                <w:sz w:val="20"/>
                <w:szCs w:val="20"/>
                <w:color w:val="auto"/>
              </w:rPr>
            </w:pPr>
            <w:r>
              <w:rPr>
                <w:rFonts w:ascii="Arial" w:cs="Arial" w:eastAsia="Arial" w:hAnsi="Arial"/>
                <w:sz w:val="14"/>
                <w:szCs w:val="14"/>
                <w:i w:val="1"/>
                <w:iCs w:val="1"/>
                <w:color w:val="auto"/>
              </w:rPr>
              <w:t>(Dollars in millions)</w:t>
            </w:r>
          </w:p>
        </w:tc>
        <w:tc>
          <w:tcPr>
            <w:tcW w:w="12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420" w:type="dxa"/>
            <w:vAlign w:val="bottom"/>
          </w:tcPr>
          <w:p>
            <w:pPr>
              <w:spacing w:after="0"/>
              <w:rPr>
                <w:sz w:val="15"/>
                <w:szCs w:val="15"/>
                <w:color w:val="auto"/>
              </w:rPr>
            </w:pPr>
          </w:p>
        </w:tc>
      </w:tr>
      <w:tr>
        <w:trPr>
          <w:trHeight w:val="172"/>
        </w:trPr>
        <w:tc>
          <w:tcPr>
            <w:tcW w:w="20" w:type="dxa"/>
            <w:vAlign w:val="bottom"/>
          </w:tcPr>
          <w:p>
            <w:pPr>
              <w:spacing w:after="0"/>
              <w:rPr>
                <w:sz w:val="14"/>
                <w:szCs w:val="14"/>
                <w:color w:val="auto"/>
              </w:rPr>
            </w:pPr>
          </w:p>
        </w:tc>
        <w:tc>
          <w:tcPr>
            <w:tcW w:w="7800" w:type="dxa"/>
            <w:vAlign w:val="bottom"/>
          </w:tcPr>
          <w:p>
            <w:pPr>
              <w:spacing w:after="0"/>
              <w:rPr>
                <w:sz w:val="14"/>
                <w:szCs w:val="14"/>
                <w:color w:val="auto"/>
              </w:rPr>
            </w:pPr>
          </w:p>
        </w:tc>
        <w:tc>
          <w:tcPr>
            <w:tcW w:w="1280" w:type="dxa"/>
            <w:vAlign w:val="bottom"/>
          </w:tcPr>
          <w:p>
            <w:pPr>
              <w:jc w:val="right"/>
              <w:ind w:right="103"/>
              <w:spacing w:after="0"/>
              <w:rPr>
                <w:sz w:val="20"/>
                <w:szCs w:val="20"/>
                <w:color w:val="auto"/>
              </w:rPr>
            </w:pPr>
            <w:r>
              <w:rPr>
                <w:rFonts w:ascii="Arial" w:cs="Arial" w:eastAsia="Arial" w:hAnsi="Arial"/>
                <w:sz w:val="14"/>
                <w:szCs w:val="14"/>
                <w:color w:val="auto"/>
              </w:rPr>
              <w:t>June 30,</w:t>
            </w:r>
          </w:p>
        </w:tc>
        <w:tc>
          <w:tcPr>
            <w:tcW w:w="5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420" w:type="dxa"/>
            <w:vAlign w:val="bottom"/>
          </w:tcPr>
          <w:p>
            <w:pPr>
              <w:jc w:val="right"/>
              <w:ind w:right="303"/>
              <w:spacing w:after="0"/>
              <w:rPr>
                <w:sz w:val="20"/>
                <w:szCs w:val="20"/>
                <w:color w:val="auto"/>
              </w:rPr>
            </w:pPr>
            <w:r>
              <w:rPr>
                <w:rFonts w:ascii="Arial" w:cs="Arial" w:eastAsia="Arial" w:hAnsi="Arial"/>
                <w:sz w:val="14"/>
                <w:szCs w:val="14"/>
                <w:color w:val="auto"/>
              </w:rPr>
              <w:t>December 31,</w:t>
            </w:r>
          </w:p>
        </w:tc>
      </w:tr>
      <w:tr>
        <w:trPr>
          <w:trHeight w:val="168"/>
        </w:trPr>
        <w:tc>
          <w:tcPr>
            <w:tcW w:w="20" w:type="dxa"/>
            <w:vAlign w:val="bottom"/>
          </w:tcPr>
          <w:p>
            <w:pPr>
              <w:spacing w:after="0"/>
              <w:rPr>
                <w:sz w:val="14"/>
                <w:szCs w:val="14"/>
                <w:color w:val="auto"/>
              </w:rPr>
            </w:pPr>
          </w:p>
        </w:tc>
        <w:tc>
          <w:tcPr>
            <w:tcW w:w="780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right"/>
              <w:ind w:right="223"/>
              <w:spacing w:after="0"/>
              <w:rPr>
                <w:sz w:val="20"/>
                <w:szCs w:val="20"/>
                <w:color w:val="auto"/>
              </w:rPr>
            </w:pPr>
            <w:r>
              <w:rPr>
                <w:rFonts w:ascii="Arial" w:cs="Arial" w:eastAsia="Arial" w:hAnsi="Arial"/>
                <w:sz w:val="14"/>
                <w:szCs w:val="14"/>
                <w:color w:val="auto"/>
              </w:rPr>
              <w:t>2011</w:t>
            </w:r>
          </w:p>
        </w:tc>
        <w:tc>
          <w:tcPr>
            <w:tcW w:w="5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tcPr>
          <w:p>
            <w:pPr>
              <w:jc w:val="right"/>
              <w:ind w:right="623"/>
              <w:spacing w:after="0"/>
              <w:rPr>
                <w:sz w:val="20"/>
                <w:szCs w:val="20"/>
                <w:color w:val="auto"/>
              </w:rPr>
            </w:pPr>
            <w:r>
              <w:rPr>
                <w:rFonts w:ascii="Arial" w:cs="Arial" w:eastAsia="Arial" w:hAnsi="Arial"/>
                <w:sz w:val="14"/>
                <w:szCs w:val="14"/>
                <w:color w:val="auto"/>
              </w:rPr>
              <w:t>2010</w:t>
            </w:r>
          </w:p>
        </w:tc>
      </w:tr>
      <w:tr>
        <w:trPr>
          <w:trHeight w:val="164"/>
        </w:trPr>
        <w:tc>
          <w:tcPr>
            <w:tcW w:w="20" w:type="dxa"/>
            <w:vAlign w:val="bottom"/>
          </w:tcPr>
          <w:p>
            <w:pPr>
              <w:spacing w:after="0"/>
              <w:rPr>
                <w:sz w:val="14"/>
                <w:szCs w:val="14"/>
                <w:color w:val="auto"/>
              </w:rPr>
            </w:pPr>
          </w:p>
        </w:tc>
        <w:tc>
          <w:tcPr>
            <w:tcW w:w="7800" w:type="dxa"/>
            <w:vAlign w:val="bottom"/>
          </w:tcPr>
          <w:p>
            <w:pPr>
              <w:spacing w:after="0" w:line="164" w:lineRule="exact"/>
              <w:rPr>
                <w:sz w:val="20"/>
                <w:szCs w:val="20"/>
                <w:color w:val="auto"/>
              </w:rPr>
            </w:pPr>
            <w:r>
              <w:rPr>
                <w:rFonts w:ascii="Arial" w:cs="Arial" w:eastAsia="Arial" w:hAnsi="Arial"/>
                <w:sz w:val="16"/>
                <w:szCs w:val="16"/>
                <w:b w:val="1"/>
                <w:bCs w:val="1"/>
                <w:color w:val="auto"/>
              </w:rPr>
              <w:t>SDG&amp;E</w:t>
            </w:r>
          </w:p>
        </w:tc>
        <w:tc>
          <w:tcPr>
            <w:tcW w:w="12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420" w:type="dxa"/>
            <w:vAlign w:val="bottom"/>
          </w:tcPr>
          <w:p>
            <w:pPr>
              <w:spacing w:after="0"/>
              <w:rPr>
                <w:sz w:val="14"/>
                <w:szCs w:val="14"/>
                <w:color w:val="auto"/>
              </w:rPr>
            </w:pPr>
          </w:p>
        </w:tc>
      </w:tr>
      <w:tr>
        <w:trPr>
          <w:trHeight w:val="176"/>
        </w:trPr>
        <w:tc>
          <w:tcPr>
            <w:tcW w:w="7820" w:type="dxa"/>
            <w:vAlign w:val="bottom"/>
            <w:gridSpan w:val="2"/>
          </w:tcPr>
          <w:p>
            <w:pPr>
              <w:spacing w:after="0" w:line="176" w:lineRule="exact"/>
              <w:rPr>
                <w:sz w:val="20"/>
                <w:szCs w:val="20"/>
                <w:color w:val="auto"/>
              </w:rPr>
            </w:pPr>
            <w:r>
              <w:rPr>
                <w:rFonts w:ascii="Arial" w:cs="Arial" w:eastAsia="Arial" w:hAnsi="Arial"/>
                <w:sz w:val="16"/>
                <w:szCs w:val="16"/>
                <w:color w:val="auto"/>
              </w:rPr>
              <w:t>Current:</w:t>
            </w:r>
          </w:p>
        </w:tc>
        <w:tc>
          <w:tcPr>
            <w:tcW w:w="12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420" w:type="dxa"/>
            <w:vAlign w:val="bottom"/>
          </w:tcPr>
          <w:p>
            <w:pPr>
              <w:spacing w:after="0"/>
              <w:rPr>
                <w:sz w:val="15"/>
                <w:szCs w:val="15"/>
                <w:color w:val="auto"/>
              </w:rPr>
            </w:pPr>
          </w:p>
        </w:tc>
      </w:tr>
      <w:tr>
        <w:trPr>
          <w:trHeight w:val="176"/>
        </w:trPr>
        <w:tc>
          <w:tcPr>
            <w:tcW w:w="20" w:type="dxa"/>
            <w:vAlign w:val="bottom"/>
          </w:tcPr>
          <w:p>
            <w:pPr>
              <w:spacing w:after="0"/>
              <w:rPr>
                <w:sz w:val="15"/>
                <w:szCs w:val="15"/>
                <w:color w:val="auto"/>
              </w:rPr>
            </w:pPr>
          </w:p>
        </w:tc>
        <w:tc>
          <w:tcPr>
            <w:tcW w:w="7800" w:type="dxa"/>
            <w:vAlign w:val="bottom"/>
          </w:tcPr>
          <w:p>
            <w:pPr>
              <w:ind w:left="160"/>
              <w:spacing w:after="0" w:line="176" w:lineRule="exact"/>
              <w:rPr>
                <w:sz w:val="20"/>
                <w:szCs w:val="20"/>
                <w:color w:val="auto"/>
              </w:rPr>
            </w:pPr>
            <w:r>
              <w:rPr>
                <w:rFonts w:ascii="Arial" w:cs="Arial" w:eastAsia="Arial" w:hAnsi="Arial"/>
                <w:sz w:val="16"/>
                <w:szCs w:val="16"/>
                <w:color w:val="auto"/>
              </w:rPr>
              <w:t>Due from SoCalGas</w:t>
            </w:r>
          </w:p>
        </w:tc>
        <w:tc>
          <w:tcPr>
            <w:tcW w:w="1280" w:type="dxa"/>
            <w:vAlign w:val="bottom"/>
          </w:tcPr>
          <w:p>
            <w:pPr>
              <w:jc w:val="right"/>
              <w:ind w:right="1103"/>
              <w:spacing w:after="0" w:line="176" w:lineRule="exact"/>
              <w:rPr>
                <w:sz w:val="20"/>
                <w:szCs w:val="20"/>
                <w:color w:val="auto"/>
              </w:rPr>
            </w:pPr>
            <w:r>
              <w:rPr>
                <w:rFonts w:ascii="Arial" w:cs="Arial" w:eastAsia="Arial" w:hAnsi="Arial"/>
                <w:sz w:val="16"/>
                <w:szCs w:val="16"/>
                <w:color w:val="auto"/>
                <w:w w:val="89"/>
              </w:rPr>
              <w:t>$</w:t>
            </w:r>
          </w:p>
        </w:tc>
        <w:tc>
          <w:tcPr>
            <w:tcW w:w="500" w:type="dxa"/>
            <w:vAlign w:val="bottom"/>
          </w:tcPr>
          <w:p>
            <w:pPr>
              <w:jc w:val="right"/>
              <w:ind w:right="79"/>
              <w:spacing w:after="0" w:line="176" w:lineRule="exact"/>
              <w:rPr>
                <w:sz w:val="20"/>
                <w:szCs w:val="20"/>
                <w:color w:val="auto"/>
              </w:rPr>
            </w:pPr>
            <w:r>
              <w:rPr>
                <w:rFonts w:ascii="Arial" w:cs="Arial" w:eastAsia="Arial" w:hAnsi="Arial"/>
                <w:sz w:val="16"/>
                <w:szCs w:val="16"/>
                <w:color w:val="auto"/>
              </w:rPr>
              <w:t>―</w:t>
            </w:r>
          </w:p>
        </w:tc>
        <w:tc>
          <w:tcPr>
            <w:tcW w:w="400" w:type="dxa"/>
            <w:vAlign w:val="bottom"/>
          </w:tcPr>
          <w:p>
            <w:pPr>
              <w:jc w:val="right"/>
              <w:ind w:right="79"/>
              <w:spacing w:after="0" w:line="176" w:lineRule="exact"/>
              <w:rPr>
                <w:sz w:val="20"/>
                <w:szCs w:val="20"/>
                <w:color w:val="auto"/>
              </w:rPr>
            </w:pPr>
            <w:r>
              <w:rPr>
                <w:rFonts w:ascii="Arial" w:cs="Arial" w:eastAsia="Arial" w:hAnsi="Arial"/>
                <w:sz w:val="16"/>
                <w:szCs w:val="16"/>
                <w:color w:val="auto"/>
              </w:rPr>
              <w:t>$</w:t>
            </w:r>
          </w:p>
        </w:tc>
        <w:tc>
          <w:tcPr>
            <w:tcW w:w="1420" w:type="dxa"/>
            <w:vAlign w:val="bottom"/>
          </w:tcPr>
          <w:p>
            <w:pPr>
              <w:jc w:val="right"/>
              <w:spacing w:after="0" w:line="176" w:lineRule="exact"/>
              <w:rPr>
                <w:sz w:val="20"/>
                <w:szCs w:val="20"/>
                <w:color w:val="auto"/>
              </w:rPr>
            </w:pPr>
            <w:r>
              <w:rPr>
                <w:rFonts w:ascii="Arial" w:cs="Arial" w:eastAsia="Arial" w:hAnsi="Arial"/>
                <w:sz w:val="16"/>
                <w:szCs w:val="16"/>
                <w:color w:val="auto"/>
              </w:rPr>
              <w:t>11</w:t>
            </w:r>
          </w:p>
        </w:tc>
      </w:tr>
      <w:tr>
        <w:trPr>
          <w:trHeight w:val="194"/>
        </w:trPr>
        <w:tc>
          <w:tcPr>
            <w:tcW w:w="20" w:type="dxa"/>
            <w:vAlign w:val="bottom"/>
          </w:tcPr>
          <w:p>
            <w:pPr>
              <w:spacing w:after="0"/>
              <w:rPr>
                <w:sz w:val="16"/>
                <w:szCs w:val="16"/>
                <w:color w:val="auto"/>
              </w:rPr>
            </w:pPr>
          </w:p>
        </w:tc>
        <w:tc>
          <w:tcPr>
            <w:tcW w:w="7800" w:type="dxa"/>
            <w:vAlign w:val="bottom"/>
          </w:tcPr>
          <w:p>
            <w:pPr>
              <w:ind w:left="160"/>
              <w:spacing w:after="0"/>
              <w:rPr>
                <w:sz w:val="20"/>
                <w:szCs w:val="20"/>
                <w:color w:val="auto"/>
              </w:rPr>
            </w:pPr>
            <w:r>
              <w:rPr>
                <w:rFonts w:ascii="Arial" w:cs="Arial" w:eastAsia="Arial" w:hAnsi="Arial"/>
                <w:sz w:val="16"/>
                <w:szCs w:val="16"/>
                <w:color w:val="auto"/>
              </w:rPr>
              <w:t>Due from various affiliates</w:t>
            </w:r>
          </w:p>
        </w:tc>
        <w:tc>
          <w:tcPr>
            <w:tcW w:w="128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1</w:t>
            </w:r>
          </w:p>
        </w:tc>
        <w:tc>
          <w:tcPr>
            <w:tcW w:w="40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r>
      <w:tr>
        <w:trPr>
          <w:trHeight w:val="183"/>
        </w:trPr>
        <w:tc>
          <w:tcPr>
            <w:tcW w:w="20" w:type="dxa"/>
            <w:vAlign w:val="bottom"/>
          </w:tcPr>
          <w:p>
            <w:pPr>
              <w:spacing w:after="0"/>
              <w:rPr>
                <w:sz w:val="15"/>
                <w:szCs w:val="15"/>
                <w:color w:val="auto"/>
              </w:rPr>
            </w:pPr>
          </w:p>
        </w:tc>
        <w:tc>
          <w:tcPr>
            <w:tcW w:w="7800" w:type="dxa"/>
            <w:vAlign w:val="bottom"/>
          </w:tcPr>
          <w:p>
            <w:pPr>
              <w:spacing w:after="0"/>
              <w:rPr>
                <w:sz w:val="15"/>
                <w:szCs w:val="15"/>
                <w:color w:val="auto"/>
              </w:rPr>
            </w:pPr>
          </w:p>
        </w:tc>
        <w:tc>
          <w:tcPr>
            <w:tcW w:w="1280" w:type="dxa"/>
            <w:vAlign w:val="bottom"/>
            <w:tcBorders>
              <w:bottom w:val="single" w:sz="8" w:color="auto"/>
            </w:tcBorders>
          </w:tcPr>
          <w:p>
            <w:pPr>
              <w:jc w:val="right"/>
              <w:ind w:right="1103"/>
              <w:spacing w:after="0" w:line="176" w:lineRule="exact"/>
              <w:rPr>
                <w:sz w:val="20"/>
                <w:szCs w:val="20"/>
                <w:color w:val="auto"/>
              </w:rPr>
            </w:pPr>
            <w:r>
              <w:rPr>
                <w:rFonts w:ascii="Arial" w:cs="Arial" w:eastAsia="Arial" w:hAnsi="Arial"/>
                <w:sz w:val="16"/>
                <w:szCs w:val="16"/>
                <w:color w:val="auto"/>
                <w:w w:val="89"/>
              </w:rPr>
              <w:t>$</w:t>
            </w:r>
          </w:p>
        </w:tc>
        <w:tc>
          <w:tcPr>
            <w:tcW w:w="500" w:type="dxa"/>
            <w:vAlign w:val="bottom"/>
            <w:tcBorders>
              <w:bottom w:val="single" w:sz="8" w:color="auto"/>
            </w:tcBorders>
          </w:tcPr>
          <w:p>
            <w:pPr>
              <w:jc w:val="right"/>
              <w:ind w:right="79"/>
              <w:spacing w:after="0" w:line="176" w:lineRule="exact"/>
              <w:rPr>
                <w:sz w:val="20"/>
                <w:szCs w:val="20"/>
                <w:color w:val="auto"/>
              </w:rPr>
            </w:pPr>
            <w:r>
              <w:rPr>
                <w:rFonts w:ascii="Arial" w:cs="Arial" w:eastAsia="Arial" w:hAnsi="Arial"/>
                <w:sz w:val="16"/>
                <w:szCs w:val="16"/>
                <w:color w:val="auto"/>
              </w:rPr>
              <w:t>1</w:t>
            </w:r>
          </w:p>
        </w:tc>
        <w:tc>
          <w:tcPr>
            <w:tcW w:w="400" w:type="dxa"/>
            <w:vAlign w:val="bottom"/>
            <w:tcBorders>
              <w:bottom w:val="single" w:sz="8" w:color="auto"/>
            </w:tcBorders>
          </w:tcPr>
          <w:p>
            <w:pPr>
              <w:jc w:val="right"/>
              <w:ind w:right="79"/>
              <w:spacing w:after="0" w:line="176" w:lineRule="exact"/>
              <w:rPr>
                <w:sz w:val="20"/>
                <w:szCs w:val="20"/>
                <w:color w:val="auto"/>
              </w:rPr>
            </w:pPr>
            <w:r>
              <w:rPr>
                <w:rFonts w:ascii="Arial" w:cs="Arial" w:eastAsia="Arial" w:hAnsi="Arial"/>
                <w:sz w:val="16"/>
                <w:szCs w:val="16"/>
                <w:color w:val="auto"/>
              </w:rPr>
              <w:t>$</w:t>
            </w:r>
          </w:p>
        </w:tc>
        <w:tc>
          <w:tcPr>
            <w:tcW w:w="142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6"/>
                <w:szCs w:val="16"/>
                <w:color w:val="auto"/>
              </w:rPr>
              <w:t>12</w:t>
            </w:r>
          </w:p>
        </w:tc>
      </w:tr>
    </w:tbl>
    <w:p>
      <w:pPr>
        <w:sectPr>
          <w:pgSz w:w="11900" w:h="16838" w:orient="portrait"/>
          <w:cols w:equalWidth="0" w:num="1">
            <w:col w:w="11420"/>
          </w:cols>
          <w:pgMar w:left="240" w:top="328" w:right="239" w:bottom="0" w:gutter="0" w:footer="0" w:header="0"/>
        </w:sectPr>
      </w:pPr>
    </w:p>
    <w:bookmarkStart w:id="30" w:name="page31"/>
    <w:bookmarkEnd w:id="3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820" w:type="dxa"/>
            <w:vAlign w:val="bottom"/>
          </w:tcPr>
          <w:p>
            <w:pPr>
              <w:ind w:left="180"/>
              <w:spacing w:after="0"/>
              <w:rPr>
                <w:sz w:val="20"/>
                <w:szCs w:val="20"/>
                <w:color w:val="auto"/>
              </w:rPr>
            </w:pPr>
            <w:r>
              <w:rPr>
                <w:rFonts w:ascii="Arial" w:cs="Arial" w:eastAsia="Arial" w:hAnsi="Arial"/>
                <w:sz w:val="16"/>
                <w:szCs w:val="16"/>
                <w:color w:val="auto"/>
              </w:rPr>
              <w:t>Due to Sempra Energy</w:t>
            </w:r>
          </w:p>
        </w:tc>
        <w:tc>
          <w:tcPr>
            <w:tcW w:w="720" w:type="dxa"/>
            <w:vAlign w:val="bottom"/>
          </w:tcPr>
          <w:p>
            <w:pPr>
              <w:jc w:val="right"/>
              <w:ind w:right="539"/>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ind w:right="99"/>
              <w:spacing w:after="0"/>
              <w:rPr>
                <w:sz w:val="20"/>
                <w:szCs w:val="20"/>
                <w:color w:val="auto"/>
              </w:rPr>
            </w:pPr>
            <w:r>
              <w:rPr>
                <w:rFonts w:ascii="Arial" w:cs="Arial" w:eastAsia="Arial" w:hAnsi="Arial"/>
                <w:sz w:val="16"/>
                <w:szCs w:val="16"/>
                <w:color w:val="auto"/>
              </w:rPr>
              <w:t>28</w:t>
            </w:r>
          </w:p>
        </w:tc>
        <w:tc>
          <w:tcPr>
            <w:tcW w:w="900" w:type="dxa"/>
            <w:vAlign w:val="bottom"/>
          </w:tcPr>
          <w:p>
            <w:pPr>
              <w:jc w:val="right"/>
              <w:ind w:right="599"/>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16</w:t>
            </w:r>
          </w:p>
        </w:tc>
      </w:tr>
      <w:tr>
        <w:trPr>
          <w:trHeight w:val="194"/>
        </w:trPr>
        <w:tc>
          <w:tcPr>
            <w:tcW w:w="7820" w:type="dxa"/>
            <w:vAlign w:val="bottom"/>
          </w:tcPr>
          <w:p>
            <w:pPr>
              <w:ind w:left="180"/>
              <w:spacing w:after="0"/>
              <w:rPr>
                <w:sz w:val="20"/>
                <w:szCs w:val="20"/>
                <w:color w:val="auto"/>
              </w:rPr>
            </w:pPr>
            <w:r>
              <w:rPr>
                <w:rFonts w:ascii="Arial" w:cs="Arial" w:eastAsia="Arial" w:hAnsi="Arial"/>
                <w:sz w:val="16"/>
                <w:szCs w:val="16"/>
                <w:color w:val="auto"/>
              </w:rPr>
              <w:t>Due to SoCalGas</w:t>
            </w:r>
          </w:p>
        </w:tc>
        <w:tc>
          <w:tcPr>
            <w:tcW w:w="7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5</w:t>
            </w:r>
          </w:p>
        </w:tc>
        <w:tc>
          <w:tcPr>
            <w:tcW w:w="9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r>
      <w:tr>
        <w:trPr>
          <w:trHeight w:val="183"/>
        </w:trPr>
        <w:tc>
          <w:tcPr>
            <w:tcW w:w="7820" w:type="dxa"/>
            <w:vAlign w:val="bottom"/>
          </w:tcPr>
          <w:p>
            <w:pPr>
              <w:spacing w:after="0"/>
              <w:rPr>
                <w:sz w:val="15"/>
                <w:szCs w:val="15"/>
                <w:color w:val="auto"/>
              </w:rPr>
            </w:pPr>
          </w:p>
        </w:tc>
        <w:tc>
          <w:tcPr>
            <w:tcW w:w="720" w:type="dxa"/>
            <w:vAlign w:val="bottom"/>
            <w:tcBorders>
              <w:bottom w:val="single" w:sz="8" w:color="auto"/>
            </w:tcBorders>
          </w:tcPr>
          <w:p>
            <w:pPr>
              <w:jc w:val="right"/>
              <w:ind w:right="539"/>
              <w:spacing w:after="0" w:line="176" w:lineRule="exact"/>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tcPr>
          <w:p>
            <w:pPr>
              <w:jc w:val="right"/>
              <w:ind w:right="99"/>
              <w:spacing w:after="0" w:line="176" w:lineRule="exact"/>
              <w:rPr>
                <w:sz w:val="20"/>
                <w:szCs w:val="20"/>
                <w:color w:val="auto"/>
              </w:rPr>
            </w:pPr>
            <w:r>
              <w:rPr>
                <w:rFonts w:ascii="Arial" w:cs="Arial" w:eastAsia="Arial" w:hAnsi="Arial"/>
                <w:sz w:val="16"/>
                <w:szCs w:val="16"/>
                <w:color w:val="auto"/>
              </w:rPr>
              <w:t>33</w:t>
            </w:r>
          </w:p>
        </w:tc>
        <w:tc>
          <w:tcPr>
            <w:tcW w:w="900" w:type="dxa"/>
            <w:vAlign w:val="bottom"/>
            <w:tcBorders>
              <w:bottom w:val="single" w:sz="8" w:color="auto"/>
            </w:tcBorders>
          </w:tcPr>
          <w:p>
            <w:pPr>
              <w:jc w:val="right"/>
              <w:ind w:right="599"/>
              <w:spacing w:after="0" w:line="176" w:lineRule="exact"/>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6"/>
                <w:szCs w:val="16"/>
                <w:color w:val="auto"/>
              </w:rPr>
              <w:t>16</w:t>
            </w:r>
          </w:p>
        </w:tc>
      </w:tr>
      <w:tr>
        <w:trPr>
          <w:trHeight w:val="385"/>
        </w:trPr>
        <w:tc>
          <w:tcPr>
            <w:tcW w:w="7820" w:type="dxa"/>
            <w:vAlign w:val="bottom"/>
          </w:tcPr>
          <w:p>
            <w:pPr>
              <w:ind w:left="180"/>
              <w:spacing w:after="0"/>
              <w:rPr>
                <w:sz w:val="20"/>
                <w:szCs w:val="20"/>
                <w:color w:val="auto"/>
              </w:rPr>
            </w:pPr>
            <w:r>
              <w:rPr>
                <w:rFonts w:ascii="Arial" w:cs="Arial" w:eastAsia="Arial" w:hAnsi="Arial"/>
                <w:sz w:val="16"/>
                <w:szCs w:val="16"/>
                <w:color w:val="auto"/>
              </w:rPr>
              <w:t>Income taxes due from Sempra Energy(1)</w:t>
            </w:r>
          </w:p>
        </w:tc>
        <w:tc>
          <w:tcPr>
            <w:tcW w:w="72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55</w:t>
            </w:r>
          </w:p>
        </w:tc>
        <w:tc>
          <w:tcPr>
            <w:tcW w:w="900" w:type="dxa"/>
            <w:vAlign w:val="bottom"/>
            <w:tcBorders>
              <w:bottom w:val="single" w:sz="8" w:color="auto"/>
            </w:tcBorders>
          </w:tcPr>
          <w:p>
            <w:pPr>
              <w:jc w:val="right"/>
              <w:ind w:right="59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w:t>
            </w:r>
          </w:p>
        </w:tc>
      </w:tr>
      <w:tr>
        <w:trPr>
          <w:trHeight w:val="367"/>
        </w:trPr>
        <w:tc>
          <w:tcPr>
            <w:tcW w:w="7820" w:type="dxa"/>
            <w:vAlign w:val="bottom"/>
          </w:tcPr>
          <w:p>
            <w:pPr>
              <w:spacing w:after="0"/>
              <w:rPr>
                <w:sz w:val="20"/>
                <w:szCs w:val="20"/>
                <w:color w:val="auto"/>
              </w:rPr>
            </w:pPr>
            <w:r>
              <w:rPr>
                <w:rFonts w:ascii="Arial" w:cs="Arial" w:eastAsia="Arial" w:hAnsi="Arial"/>
                <w:sz w:val="16"/>
                <w:szCs w:val="16"/>
                <w:b w:val="1"/>
                <w:bCs w:val="1"/>
                <w:color w:val="auto"/>
              </w:rPr>
              <w:t>SoCalGas</w:t>
            </w:r>
          </w:p>
        </w:tc>
        <w:tc>
          <w:tcPr>
            <w:tcW w:w="7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176"/>
        </w:trPr>
        <w:tc>
          <w:tcPr>
            <w:tcW w:w="7820" w:type="dxa"/>
            <w:vAlign w:val="bottom"/>
          </w:tcPr>
          <w:p>
            <w:pPr>
              <w:spacing w:after="0" w:line="176" w:lineRule="exact"/>
              <w:rPr>
                <w:sz w:val="20"/>
                <w:szCs w:val="20"/>
                <w:color w:val="auto"/>
              </w:rPr>
            </w:pPr>
            <w:r>
              <w:rPr>
                <w:rFonts w:ascii="Arial" w:cs="Arial" w:eastAsia="Arial" w:hAnsi="Arial"/>
                <w:sz w:val="16"/>
                <w:szCs w:val="16"/>
                <w:color w:val="auto"/>
              </w:rPr>
              <w:t>Current:</w:t>
            </w:r>
          </w:p>
        </w:tc>
        <w:tc>
          <w:tcPr>
            <w:tcW w:w="7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176"/>
        </w:trPr>
        <w:tc>
          <w:tcPr>
            <w:tcW w:w="7820" w:type="dxa"/>
            <w:vAlign w:val="bottom"/>
          </w:tcPr>
          <w:p>
            <w:pPr>
              <w:ind w:left="180"/>
              <w:spacing w:after="0" w:line="176" w:lineRule="exact"/>
              <w:rPr>
                <w:sz w:val="20"/>
                <w:szCs w:val="20"/>
                <w:color w:val="auto"/>
              </w:rPr>
            </w:pPr>
            <w:r>
              <w:rPr>
                <w:rFonts w:ascii="Arial" w:cs="Arial" w:eastAsia="Arial" w:hAnsi="Arial"/>
                <w:sz w:val="16"/>
                <w:szCs w:val="16"/>
                <w:color w:val="auto"/>
              </w:rPr>
              <w:t>Due from Sempra Energy</w:t>
            </w:r>
          </w:p>
        </w:tc>
        <w:tc>
          <w:tcPr>
            <w:tcW w:w="720" w:type="dxa"/>
            <w:vAlign w:val="bottom"/>
          </w:tcPr>
          <w:p>
            <w:pPr>
              <w:jc w:val="right"/>
              <w:ind w:right="539"/>
              <w:spacing w:after="0" w:line="176" w:lineRule="exact"/>
              <w:rPr>
                <w:sz w:val="20"/>
                <w:szCs w:val="20"/>
                <w:color w:val="auto"/>
              </w:rPr>
            </w:pPr>
            <w:r>
              <w:rPr>
                <w:rFonts w:ascii="Arial" w:cs="Arial" w:eastAsia="Arial" w:hAnsi="Arial"/>
                <w:sz w:val="16"/>
                <w:szCs w:val="16"/>
                <w:color w:val="auto"/>
                <w:w w:val="89"/>
              </w:rPr>
              <w:t>$</w:t>
            </w:r>
          </w:p>
        </w:tc>
        <w:tc>
          <w:tcPr>
            <w:tcW w:w="1080" w:type="dxa"/>
            <w:vAlign w:val="bottom"/>
          </w:tcPr>
          <w:p>
            <w:pPr>
              <w:jc w:val="right"/>
              <w:ind w:right="99"/>
              <w:spacing w:after="0" w:line="176" w:lineRule="exact"/>
              <w:rPr>
                <w:sz w:val="20"/>
                <w:szCs w:val="20"/>
                <w:color w:val="auto"/>
              </w:rPr>
            </w:pPr>
            <w:r>
              <w:rPr>
                <w:rFonts w:ascii="Arial" w:cs="Arial" w:eastAsia="Arial" w:hAnsi="Arial"/>
                <w:sz w:val="16"/>
                <w:szCs w:val="16"/>
                <w:color w:val="auto"/>
              </w:rPr>
              <w:t>282</w:t>
            </w:r>
          </w:p>
        </w:tc>
        <w:tc>
          <w:tcPr>
            <w:tcW w:w="900" w:type="dxa"/>
            <w:vAlign w:val="bottom"/>
          </w:tcPr>
          <w:p>
            <w:pPr>
              <w:jc w:val="right"/>
              <w:ind w:right="599"/>
              <w:spacing w:after="0" w:line="176" w:lineRule="exact"/>
              <w:rPr>
                <w:sz w:val="20"/>
                <w:szCs w:val="20"/>
                <w:color w:val="auto"/>
              </w:rPr>
            </w:pPr>
            <w:r>
              <w:rPr>
                <w:rFonts w:ascii="Arial" w:cs="Arial" w:eastAsia="Arial" w:hAnsi="Arial"/>
                <w:sz w:val="16"/>
                <w:szCs w:val="16"/>
                <w:color w:val="auto"/>
              </w:rPr>
              <w:t>$</w:t>
            </w:r>
          </w:p>
        </w:tc>
        <w:tc>
          <w:tcPr>
            <w:tcW w:w="900" w:type="dxa"/>
            <w:vAlign w:val="bottom"/>
          </w:tcPr>
          <w:p>
            <w:pPr>
              <w:jc w:val="right"/>
              <w:spacing w:after="0" w:line="176" w:lineRule="exact"/>
              <w:rPr>
                <w:sz w:val="20"/>
                <w:szCs w:val="20"/>
                <w:color w:val="auto"/>
              </w:rPr>
            </w:pPr>
            <w:r>
              <w:rPr>
                <w:rFonts w:ascii="Arial" w:cs="Arial" w:eastAsia="Arial" w:hAnsi="Arial"/>
                <w:sz w:val="16"/>
                <w:szCs w:val="16"/>
                <w:color w:val="auto"/>
              </w:rPr>
              <w:t>60</w:t>
            </w:r>
          </w:p>
        </w:tc>
      </w:tr>
      <w:tr>
        <w:trPr>
          <w:trHeight w:val="176"/>
        </w:trPr>
        <w:tc>
          <w:tcPr>
            <w:tcW w:w="7820" w:type="dxa"/>
            <w:vAlign w:val="bottom"/>
          </w:tcPr>
          <w:p>
            <w:pPr>
              <w:ind w:left="180"/>
              <w:spacing w:after="0" w:line="176" w:lineRule="exact"/>
              <w:rPr>
                <w:sz w:val="20"/>
                <w:szCs w:val="20"/>
                <w:color w:val="auto"/>
              </w:rPr>
            </w:pPr>
            <w:r>
              <w:rPr>
                <w:rFonts w:ascii="Arial" w:cs="Arial" w:eastAsia="Arial" w:hAnsi="Arial"/>
                <w:sz w:val="16"/>
                <w:szCs w:val="16"/>
                <w:color w:val="auto"/>
              </w:rPr>
              <w:t>Due from SDG&amp;E</w:t>
            </w:r>
          </w:p>
        </w:tc>
        <w:tc>
          <w:tcPr>
            <w:tcW w:w="720" w:type="dxa"/>
            <w:vAlign w:val="bottom"/>
          </w:tcPr>
          <w:p>
            <w:pPr>
              <w:spacing w:after="0"/>
              <w:rPr>
                <w:sz w:val="15"/>
                <w:szCs w:val="15"/>
                <w:color w:val="auto"/>
              </w:rPr>
            </w:pPr>
          </w:p>
        </w:tc>
        <w:tc>
          <w:tcPr>
            <w:tcW w:w="1080" w:type="dxa"/>
            <w:vAlign w:val="bottom"/>
          </w:tcPr>
          <w:p>
            <w:pPr>
              <w:jc w:val="right"/>
              <w:ind w:right="99"/>
              <w:spacing w:after="0" w:line="176" w:lineRule="exact"/>
              <w:rPr>
                <w:sz w:val="20"/>
                <w:szCs w:val="20"/>
                <w:color w:val="auto"/>
              </w:rPr>
            </w:pPr>
            <w:r>
              <w:rPr>
                <w:rFonts w:ascii="Arial" w:cs="Arial" w:eastAsia="Arial" w:hAnsi="Arial"/>
                <w:sz w:val="16"/>
                <w:szCs w:val="16"/>
                <w:color w:val="auto"/>
              </w:rPr>
              <w:t>5</w:t>
            </w:r>
          </w:p>
        </w:tc>
        <w:tc>
          <w:tcPr>
            <w:tcW w:w="900" w:type="dxa"/>
            <w:vAlign w:val="bottom"/>
          </w:tcPr>
          <w:p>
            <w:pPr>
              <w:spacing w:after="0"/>
              <w:rPr>
                <w:sz w:val="15"/>
                <w:szCs w:val="15"/>
                <w:color w:val="auto"/>
              </w:rPr>
            </w:pPr>
          </w:p>
        </w:tc>
        <w:tc>
          <w:tcPr>
            <w:tcW w:w="900" w:type="dxa"/>
            <w:vAlign w:val="bottom"/>
          </w:tcPr>
          <w:p>
            <w:pPr>
              <w:jc w:val="right"/>
              <w:spacing w:after="0" w:line="176" w:lineRule="exact"/>
              <w:rPr>
                <w:sz w:val="20"/>
                <w:szCs w:val="20"/>
                <w:color w:val="auto"/>
              </w:rPr>
            </w:pPr>
            <w:r>
              <w:rPr>
                <w:rFonts w:ascii="Arial" w:cs="Arial" w:eastAsia="Arial" w:hAnsi="Arial"/>
                <w:sz w:val="16"/>
                <w:szCs w:val="16"/>
                <w:color w:val="auto"/>
              </w:rPr>
              <w:t>―</w:t>
            </w:r>
          </w:p>
        </w:tc>
      </w:tr>
      <w:tr>
        <w:trPr>
          <w:trHeight w:val="194"/>
        </w:trPr>
        <w:tc>
          <w:tcPr>
            <w:tcW w:w="7820" w:type="dxa"/>
            <w:vAlign w:val="bottom"/>
          </w:tcPr>
          <w:p>
            <w:pPr>
              <w:ind w:left="180"/>
              <w:spacing w:after="0"/>
              <w:rPr>
                <w:sz w:val="20"/>
                <w:szCs w:val="20"/>
                <w:color w:val="auto"/>
              </w:rPr>
            </w:pPr>
            <w:r>
              <w:rPr>
                <w:rFonts w:ascii="Arial" w:cs="Arial" w:eastAsia="Arial" w:hAnsi="Arial"/>
                <w:sz w:val="16"/>
                <w:szCs w:val="16"/>
                <w:color w:val="auto"/>
              </w:rPr>
              <w:t>Due from various affiliates</w:t>
            </w:r>
          </w:p>
        </w:tc>
        <w:tc>
          <w:tcPr>
            <w:tcW w:w="7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w:t>
            </w:r>
          </w:p>
        </w:tc>
      </w:tr>
      <w:tr>
        <w:trPr>
          <w:trHeight w:val="183"/>
        </w:trPr>
        <w:tc>
          <w:tcPr>
            <w:tcW w:w="7820" w:type="dxa"/>
            <w:vAlign w:val="bottom"/>
          </w:tcPr>
          <w:p>
            <w:pPr>
              <w:spacing w:after="0"/>
              <w:rPr>
                <w:sz w:val="15"/>
                <w:szCs w:val="15"/>
                <w:color w:val="auto"/>
              </w:rPr>
            </w:pPr>
          </w:p>
        </w:tc>
        <w:tc>
          <w:tcPr>
            <w:tcW w:w="720" w:type="dxa"/>
            <w:vAlign w:val="bottom"/>
            <w:tcBorders>
              <w:bottom w:val="single" w:sz="8" w:color="auto"/>
            </w:tcBorders>
          </w:tcPr>
          <w:p>
            <w:pPr>
              <w:jc w:val="right"/>
              <w:ind w:right="539"/>
              <w:spacing w:after="0" w:line="176" w:lineRule="exact"/>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tcPr>
          <w:p>
            <w:pPr>
              <w:jc w:val="right"/>
              <w:ind w:right="99"/>
              <w:spacing w:after="0" w:line="176" w:lineRule="exact"/>
              <w:rPr>
                <w:sz w:val="20"/>
                <w:szCs w:val="20"/>
                <w:color w:val="auto"/>
              </w:rPr>
            </w:pPr>
            <w:r>
              <w:rPr>
                <w:rFonts w:ascii="Arial" w:cs="Arial" w:eastAsia="Arial" w:hAnsi="Arial"/>
                <w:sz w:val="16"/>
                <w:szCs w:val="16"/>
                <w:color w:val="auto"/>
              </w:rPr>
              <w:t>287</w:t>
            </w:r>
          </w:p>
        </w:tc>
        <w:tc>
          <w:tcPr>
            <w:tcW w:w="900" w:type="dxa"/>
            <w:vAlign w:val="bottom"/>
            <w:tcBorders>
              <w:bottom w:val="single" w:sz="8" w:color="auto"/>
            </w:tcBorders>
          </w:tcPr>
          <w:p>
            <w:pPr>
              <w:jc w:val="right"/>
              <w:ind w:right="599"/>
              <w:spacing w:after="0" w:line="176" w:lineRule="exact"/>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6"/>
                <w:szCs w:val="16"/>
                <w:color w:val="auto"/>
              </w:rPr>
              <w:t>63</w:t>
            </w:r>
          </w:p>
        </w:tc>
      </w:tr>
      <w:tr>
        <w:trPr>
          <w:trHeight w:val="358"/>
        </w:trPr>
        <w:tc>
          <w:tcPr>
            <w:tcW w:w="7820" w:type="dxa"/>
            <w:vAlign w:val="bottom"/>
          </w:tcPr>
          <w:p>
            <w:pPr>
              <w:ind w:left="180"/>
              <w:spacing w:after="0"/>
              <w:rPr>
                <w:sz w:val="20"/>
                <w:szCs w:val="20"/>
                <w:color w:val="auto"/>
              </w:rPr>
            </w:pPr>
            <w:r>
              <w:rPr>
                <w:rFonts w:ascii="Arial" w:cs="Arial" w:eastAsia="Arial" w:hAnsi="Arial"/>
                <w:sz w:val="16"/>
                <w:szCs w:val="16"/>
                <w:color w:val="auto"/>
              </w:rPr>
              <w:t>Due to SDG&amp;E</w:t>
            </w:r>
          </w:p>
        </w:tc>
        <w:tc>
          <w:tcPr>
            <w:tcW w:w="72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tcPr>
          <w:p>
            <w:pPr>
              <w:jc w:val="right"/>
              <w:ind w:right="59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w:t>
            </w:r>
          </w:p>
        </w:tc>
      </w:tr>
      <w:tr>
        <w:trPr>
          <w:trHeight w:val="386"/>
        </w:trPr>
        <w:tc>
          <w:tcPr>
            <w:tcW w:w="7820" w:type="dxa"/>
            <w:vAlign w:val="bottom"/>
          </w:tcPr>
          <w:p>
            <w:pPr>
              <w:ind w:left="180"/>
              <w:spacing w:after="0"/>
              <w:rPr>
                <w:sz w:val="20"/>
                <w:szCs w:val="20"/>
                <w:color w:val="auto"/>
              </w:rPr>
            </w:pPr>
            <w:r>
              <w:rPr>
                <w:rFonts w:ascii="Arial" w:cs="Arial" w:eastAsia="Arial" w:hAnsi="Arial"/>
                <w:sz w:val="16"/>
                <w:szCs w:val="16"/>
                <w:color w:val="auto"/>
              </w:rPr>
              <w:t>Income taxes due to Sempra Energy(1)</w:t>
            </w:r>
          </w:p>
        </w:tc>
        <w:tc>
          <w:tcPr>
            <w:tcW w:w="720" w:type="dxa"/>
            <w:vAlign w:val="bottom"/>
          </w:tcPr>
          <w:p>
            <w:pPr>
              <w:jc w:val="right"/>
              <w:ind w:right="539"/>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ind w:right="59"/>
              <w:spacing w:after="0"/>
              <w:rPr>
                <w:sz w:val="20"/>
                <w:szCs w:val="20"/>
                <w:color w:val="auto"/>
              </w:rPr>
            </w:pPr>
            <w:r>
              <w:rPr>
                <w:rFonts w:ascii="Arial" w:cs="Arial" w:eastAsia="Arial" w:hAnsi="Arial"/>
                <w:sz w:val="16"/>
                <w:szCs w:val="16"/>
                <w:color w:val="auto"/>
              </w:rPr>
              <w:t>(7)</w:t>
            </w:r>
          </w:p>
        </w:tc>
        <w:tc>
          <w:tcPr>
            <w:tcW w:w="900" w:type="dxa"/>
            <w:vAlign w:val="bottom"/>
          </w:tcPr>
          <w:p>
            <w:pPr>
              <w:jc w:val="right"/>
              <w:ind w:right="599"/>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wp:posOffset>
            </wp:positionV>
            <wp:extent cx="72466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ind w:left="460" w:right="360" w:hanging="452"/>
        <w:spacing w:after="0" w:line="249" w:lineRule="auto"/>
        <w:tabs>
          <w:tab w:leader="none" w:pos="460" w:val="left"/>
        </w:tabs>
        <w:numPr>
          <w:ilvl w:val="0"/>
          <w:numId w:val="12"/>
        </w:numPr>
        <w:rPr>
          <w:rFonts w:ascii="Arial" w:cs="Arial" w:eastAsia="Arial" w:hAnsi="Arial"/>
          <w:sz w:val="14"/>
          <w:szCs w:val="14"/>
          <w:i w:val="1"/>
          <w:iCs w:val="1"/>
          <w:color w:val="auto"/>
        </w:rPr>
      </w:pPr>
      <w:r>
        <w:rPr>
          <w:rFonts w:ascii="Arial" w:cs="Arial" w:eastAsia="Arial" w:hAnsi="Arial"/>
          <w:sz w:val="14"/>
          <w:szCs w:val="14"/>
          <w:i w:val="1"/>
          <w:iCs w:val="1"/>
          <w:color w:val="auto"/>
        </w:rPr>
        <w:t>SDG&amp;E and SoCalGas are included in the consolidated income tax return of Sempra Energy and are allocated income tax expense from Sempra Energy in an amount equal to that which would result from the companies' having always filed a separate return.</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Revenues from unconsolidated affiliates at the Sempra Utilities are as follows:</w:t>
      </w:r>
    </w:p>
    <w:p>
      <w:pPr>
        <w:spacing w:after="0" w:line="200" w:lineRule="exact"/>
        <w:rPr>
          <w:sz w:val="20"/>
          <w:szCs w:val="20"/>
          <w:color w:val="auto"/>
        </w:rPr>
      </w:pPr>
    </w:p>
    <w:p>
      <w:pPr>
        <w:spacing w:after="0" w:line="249" w:lineRule="exact"/>
        <w:rPr>
          <w:sz w:val="20"/>
          <w:szCs w:val="20"/>
          <w:color w:val="auto"/>
        </w:rPr>
      </w:pPr>
    </w:p>
    <w:p>
      <w:pPr>
        <w:ind w:right="5300"/>
        <w:spacing w:after="0" w:line="261" w:lineRule="auto"/>
        <w:rPr>
          <w:sz w:val="20"/>
          <w:szCs w:val="20"/>
          <w:color w:val="auto"/>
        </w:rPr>
      </w:pPr>
      <w:r>
        <w:rPr>
          <w:rFonts w:ascii="Arial" w:cs="Arial" w:eastAsia="Arial" w:hAnsi="Arial"/>
          <w:sz w:val="16"/>
          <w:szCs w:val="16"/>
          <w:b w:val="1"/>
          <w:bCs w:val="1"/>
          <w:color w:val="auto"/>
        </w:rPr>
        <w:t xml:space="preserve">REVENUES FROM UNCONSOLIDATED AFFILIATES AT THE SEMPRA UTILITIES </w:t>
      </w:r>
      <w:r>
        <w:rPr>
          <w:rFonts w:ascii="Arial" w:cs="Arial" w:eastAsia="Arial" w:hAnsi="Arial"/>
          <w:sz w:val="14"/>
          <w:szCs w:val="14"/>
          <w:i w:val="1"/>
          <w:iCs w:val="1"/>
          <w:color w:val="auto"/>
        </w:rPr>
        <w:t>(Dollars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-241935</wp:posOffset>
            </wp:positionV>
            <wp:extent cx="7246620" cy="22288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46620" cy="222885"/>
                    </a:xfrm>
                    <a:prstGeom prst="rect">
                      <a:avLst/>
                    </a:prstGeom>
                    <a:noFill/>
                  </pic:spPr>
                </pic:pic>
              </a:graphicData>
            </a:graphic>
          </wp:anchor>
        </w:drawing>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20" w:type="dxa"/>
            <w:vAlign w:val="bottom"/>
          </w:tcPr>
          <w:p>
            <w:pPr>
              <w:spacing w:after="0"/>
              <w:rPr>
                <w:sz w:val="14"/>
                <w:szCs w:val="14"/>
                <w:color w:val="auto"/>
              </w:rPr>
            </w:pPr>
          </w:p>
        </w:tc>
        <w:tc>
          <w:tcPr>
            <w:tcW w:w="266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2920" w:type="dxa"/>
            <w:vAlign w:val="bottom"/>
            <w:tcBorders>
              <w:bottom w:val="single" w:sz="8" w:color="auto"/>
            </w:tcBorders>
            <w:gridSpan w:val="3"/>
          </w:tcPr>
          <w:p>
            <w:pPr>
              <w:jc w:val="right"/>
              <w:ind w:right="183"/>
              <w:spacing w:after="0"/>
              <w:rPr>
                <w:sz w:val="20"/>
                <w:szCs w:val="20"/>
                <w:color w:val="auto"/>
              </w:rPr>
            </w:pPr>
            <w:r>
              <w:rPr>
                <w:rFonts w:ascii="Arial" w:cs="Arial" w:eastAsia="Arial" w:hAnsi="Arial"/>
                <w:sz w:val="14"/>
                <w:szCs w:val="14"/>
                <w:color w:val="auto"/>
              </w:rPr>
              <w:t>Three months ended June 30,</w:t>
            </w:r>
          </w:p>
        </w:tc>
        <w:tc>
          <w:tcPr>
            <w:tcW w:w="44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3040" w:type="dxa"/>
            <w:vAlign w:val="bottom"/>
            <w:tcBorders>
              <w:bottom w:val="single" w:sz="8" w:color="auto"/>
            </w:tcBorders>
            <w:gridSpan w:val="3"/>
          </w:tcPr>
          <w:p>
            <w:pPr>
              <w:jc w:val="right"/>
              <w:ind w:right="762"/>
              <w:spacing w:after="0"/>
              <w:rPr>
                <w:sz w:val="20"/>
                <w:szCs w:val="20"/>
                <w:color w:val="auto"/>
              </w:rPr>
            </w:pPr>
            <w:r>
              <w:rPr>
                <w:rFonts w:ascii="Arial" w:cs="Arial" w:eastAsia="Arial" w:hAnsi="Arial"/>
                <w:sz w:val="14"/>
                <w:szCs w:val="14"/>
                <w:color w:val="auto"/>
              </w:rPr>
              <w:t>Six months ended June 30,</w:t>
            </w:r>
          </w:p>
        </w:tc>
      </w:tr>
      <w:tr>
        <w:trPr>
          <w:trHeight w:val="183"/>
        </w:trPr>
        <w:tc>
          <w:tcPr>
            <w:tcW w:w="20" w:type="dxa"/>
            <w:vAlign w:val="bottom"/>
          </w:tcPr>
          <w:p>
            <w:pPr>
              <w:spacing w:after="0"/>
              <w:rPr>
                <w:sz w:val="15"/>
                <w:szCs w:val="15"/>
                <w:color w:val="auto"/>
              </w:rPr>
            </w:pPr>
          </w:p>
        </w:tc>
        <w:tc>
          <w:tcPr>
            <w:tcW w:w="2660" w:type="dxa"/>
            <w:vAlign w:val="bottom"/>
            <w:tcBorders>
              <w:bottom w:val="single" w:sz="8" w:color="auto"/>
            </w:tcBorders>
          </w:tcPr>
          <w:p>
            <w:pPr>
              <w:spacing w:after="0"/>
              <w:rPr>
                <w:sz w:val="15"/>
                <w:szCs w:val="15"/>
                <w:color w:val="auto"/>
              </w:rPr>
            </w:pPr>
          </w:p>
        </w:tc>
        <w:tc>
          <w:tcPr>
            <w:tcW w:w="3180" w:type="dxa"/>
            <w:vAlign w:val="bottom"/>
            <w:tcBorders>
              <w:bottom w:val="single" w:sz="8" w:color="auto"/>
            </w:tcBorders>
            <w:gridSpan w:val="2"/>
          </w:tcPr>
          <w:p>
            <w:pPr>
              <w:jc w:val="right"/>
              <w:ind w:right="168"/>
              <w:spacing w:after="0"/>
              <w:rPr>
                <w:sz w:val="20"/>
                <w:szCs w:val="20"/>
                <w:color w:val="auto"/>
              </w:rPr>
            </w:pPr>
            <w:r>
              <w:rPr>
                <w:rFonts w:ascii="Arial" w:cs="Arial" w:eastAsia="Arial" w:hAnsi="Arial"/>
                <w:sz w:val="14"/>
                <w:szCs w:val="14"/>
                <w:color w:val="auto"/>
              </w:rPr>
              <w:t>2011</w:t>
            </w:r>
          </w:p>
        </w:tc>
        <w:tc>
          <w:tcPr>
            <w:tcW w:w="44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ind w:right="163"/>
              <w:spacing w:after="0"/>
              <w:rPr>
                <w:sz w:val="20"/>
                <w:szCs w:val="20"/>
                <w:color w:val="auto"/>
              </w:rPr>
            </w:pPr>
            <w:r>
              <w:rPr>
                <w:rFonts w:ascii="Arial" w:cs="Arial" w:eastAsia="Arial" w:hAnsi="Arial"/>
                <w:sz w:val="14"/>
                <w:szCs w:val="14"/>
                <w:color w:val="auto"/>
              </w:rPr>
              <w:t>2010</w:t>
            </w:r>
          </w:p>
        </w:tc>
        <w:tc>
          <w:tcPr>
            <w:tcW w:w="44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ind w:right="603"/>
              <w:spacing w:after="0"/>
              <w:rPr>
                <w:sz w:val="20"/>
                <w:szCs w:val="20"/>
                <w:color w:val="auto"/>
              </w:rPr>
            </w:pPr>
            <w:r>
              <w:rPr>
                <w:rFonts w:ascii="Arial" w:cs="Arial" w:eastAsia="Arial" w:hAnsi="Arial"/>
                <w:sz w:val="14"/>
                <w:szCs w:val="14"/>
                <w:color w:val="auto"/>
              </w:rPr>
              <w:t>2011</w:t>
            </w:r>
          </w:p>
        </w:tc>
        <w:tc>
          <w:tcPr>
            <w:tcW w:w="40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ind w:right="642"/>
              <w:spacing w:after="0"/>
              <w:rPr>
                <w:sz w:val="20"/>
                <w:szCs w:val="20"/>
                <w:color w:val="auto"/>
              </w:rPr>
            </w:pPr>
            <w:r>
              <w:rPr>
                <w:rFonts w:ascii="Arial" w:cs="Arial" w:eastAsia="Arial" w:hAnsi="Arial"/>
                <w:sz w:val="14"/>
                <w:szCs w:val="14"/>
                <w:color w:val="auto"/>
              </w:rPr>
              <w:t>2010</w:t>
            </w:r>
          </w:p>
        </w:tc>
      </w:tr>
      <w:tr>
        <w:trPr>
          <w:trHeight w:val="164"/>
        </w:trPr>
        <w:tc>
          <w:tcPr>
            <w:tcW w:w="20" w:type="dxa"/>
            <w:vAlign w:val="bottom"/>
          </w:tcPr>
          <w:p>
            <w:pPr>
              <w:spacing w:after="0"/>
              <w:rPr>
                <w:sz w:val="14"/>
                <w:szCs w:val="14"/>
                <w:color w:val="auto"/>
              </w:rPr>
            </w:pPr>
          </w:p>
        </w:tc>
        <w:tc>
          <w:tcPr>
            <w:tcW w:w="2660" w:type="dxa"/>
            <w:vAlign w:val="bottom"/>
          </w:tcPr>
          <w:p>
            <w:pPr>
              <w:spacing w:after="0" w:line="164" w:lineRule="exact"/>
              <w:rPr>
                <w:sz w:val="20"/>
                <w:szCs w:val="20"/>
                <w:color w:val="auto"/>
              </w:rPr>
            </w:pPr>
            <w:r>
              <w:rPr>
                <w:rFonts w:ascii="Arial" w:cs="Arial" w:eastAsia="Arial" w:hAnsi="Arial"/>
                <w:sz w:val="16"/>
                <w:szCs w:val="16"/>
                <w:color w:val="auto"/>
              </w:rPr>
              <w:t>SDG&amp;E</w:t>
            </w:r>
          </w:p>
        </w:tc>
        <w:tc>
          <w:tcPr>
            <w:tcW w:w="3180" w:type="dxa"/>
            <w:vAlign w:val="bottom"/>
            <w:gridSpan w:val="2"/>
          </w:tcPr>
          <w:p>
            <w:pPr>
              <w:jc w:val="right"/>
              <w:ind w:right="1068"/>
              <w:spacing w:after="0" w:line="164" w:lineRule="exact"/>
              <w:rPr>
                <w:sz w:val="20"/>
                <w:szCs w:val="20"/>
                <w:color w:val="auto"/>
              </w:rPr>
            </w:pPr>
            <w:r>
              <w:rPr>
                <w:rFonts w:ascii="Arial" w:cs="Arial" w:eastAsia="Arial" w:hAnsi="Arial"/>
                <w:sz w:val="16"/>
                <w:szCs w:val="16"/>
                <w:color w:val="auto"/>
              </w:rPr>
              <w:t>$</w:t>
            </w:r>
          </w:p>
        </w:tc>
        <w:tc>
          <w:tcPr>
            <w:tcW w:w="440" w:type="dxa"/>
            <w:vAlign w:val="bottom"/>
          </w:tcPr>
          <w:p>
            <w:pPr>
              <w:jc w:val="right"/>
              <w:spacing w:after="0" w:line="164" w:lineRule="exact"/>
              <w:rPr>
                <w:sz w:val="20"/>
                <w:szCs w:val="20"/>
                <w:color w:val="auto"/>
              </w:rPr>
            </w:pPr>
            <w:r>
              <w:rPr>
                <w:rFonts w:ascii="Arial" w:cs="Arial" w:eastAsia="Arial" w:hAnsi="Arial"/>
                <w:sz w:val="16"/>
                <w:szCs w:val="16"/>
                <w:color w:val="auto"/>
              </w:rPr>
              <w:t>1</w:t>
            </w:r>
          </w:p>
        </w:tc>
        <w:tc>
          <w:tcPr>
            <w:tcW w:w="1240" w:type="dxa"/>
            <w:vAlign w:val="bottom"/>
          </w:tcPr>
          <w:p>
            <w:pPr>
              <w:jc w:val="right"/>
              <w:ind w:right="1063"/>
              <w:spacing w:after="0" w:line="164" w:lineRule="exact"/>
              <w:rPr>
                <w:sz w:val="20"/>
                <w:szCs w:val="20"/>
                <w:color w:val="auto"/>
              </w:rPr>
            </w:pPr>
            <w:r>
              <w:rPr>
                <w:rFonts w:ascii="Arial" w:cs="Arial" w:eastAsia="Arial" w:hAnsi="Arial"/>
                <w:sz w:val="16"/>
                <w:szCs w:val="16"/>
                <w:color w:val="auto"/>
                <w:w w:val="89"/>
              </w:rPr>
              <w:t>$</w:t>
            </w:r>
          </w:p>
        </w:tc>
        <w:tc>
          <w:tcPr>
            <w:tcW w:w="440" w:type="dxa"/>
            <w:vAlign w:val="bottom"/>
          </w:tcPr>
          <w:p>
            <w:pPr>
              <w:jc w:val="right"/>
              <w:spacing w:after="0" w:line="164" w:lineRule="exact"/>
              <w:rPr>
                <w:sz w:val="20"/>
                <w:szCs w:val="20"/>
                <w:color w:val="auto"/>
              </w:rPr>
            </w:pPr>
            <w:r>
              <w:rPr>
                <w:rFonts w:ascii="Arial" w:cs="Arial" w:eastAsia="Arial" w:hAnsi="Arial"/>
                <w:sz w:val="16"/>
                <w:szCs w:val="16"/>
                <w:color w:val="auto"/>
              </w:rPr>
              <w:t>4</w:t>
            </w:r>
          </w:p>
        </w:tc>
        <w:tc>
          <w:tcPr>
            <w:tcW w:w="400" w:type="dxa"/>
            <w:vAlign w:val="bottom"/>
          </w:tcPr>
          <w:p>
            <w:pPr>
              <w:jc w:val="right"/>
              <w:ind w:right="199"/>
              <w:spacing w:after="0" w:line="164" w:lineRule="exact"/>
              <w:rPr>
                <w:sz w:val="20"/>
                <w:szCs w:val="20"/>
                <w:color w:val="auto"/>
              </w:rPr>
            </w:pPr>
            <w:r>
              <w:rPr>
                <w:rFonts w:ascii="Arial" w:cs="Arial" w:eastAsia="Arial" w:hAnsi="Arial"/>
                <w:sz w:val="16"/>
                <w:szCs w:val="16"/>
                <w:color w:val="auto"/>
              </w:rPr>
              <w:t>$</w:t>
            </w:r>
          </w:p>
        </w:tc>
        <w:tc>
          <w:tcPr>
            <w:tcW w:w="1300" w:type="dxa"/>
            <w:vAlign w:val="bottom"/>
          </w:tcPr>
          <w:p>
            <w:pPr>
              <w:jc w:val="right"/>
              <w:spacing w:after="0" w:line="164" w:lineRule="exact"/>
              <w:rPr>
                <w:sz w:val="20"/>
                <w:szCs w:val="20"/>
                <w:color w:val="auto"/>
              </w:rPr>
            </w:pPr>
            <w:r>
              <w:rPr>
                <w:rFonts w:ascii="Arial" w:cs="Arial" w:eastAsia="Arial" w:hAnsi="Arial"/>
                <w:sz w:val="16"/>
                <w:szCs w:val="16"/>
                <w:color w:val="auto"/>
              </w:rPr>
              <w:t>3</w:t>
            </w:r>
          </w:p>
        </w:tc>
        <w:tc>
          <w:tcPr>
            <w:tcW w:w="400" w:type="dxa"/>
            <w:vAlign w:val="bottom"/>
          </w:tcPr>
          <w:p>
            <w:pPr>
              <w:jc w:val="right"/>
              <w:ind w:right="199"/>
              <w:spacing w:after="0" w:line="164" w:lineRule="exact"/>
              <w:rPr>
                <w:sz w:val="20"/>
                <w:szCs w:val="20"/>
                <w:color w:val="auto"/>
              </w:rPr>
            </w:pPr>
            <w:r>
              <w:rPr>
                <w:rFonts w:ascii="Arial" w:cs="Arial" w:eastAsia="Arial" w:hAnsi="Arial"/>
                <w:sz w:val="16"/>
                <w:szCs w:val="16"/>
                <w:color w:val="auto"/>
              </w:rPr>
              <w:t>$</w:t>
            </w:r>
          </w:p>
        </w:tc>
        <w:tc>
          <w:tcPr>
            <w:tcW w:w="1340" w:type="dxa"/>
            <w:vAlign w:val="bottom"/>
          </w:tcPr>
          <w:p>
            <w:pPr>
              <w:jc w:val="right"/>
              <w:spacing w:after="0" w:line="164" w:lineRule="exact"/>
              <w:rPr>
                <w:sz w:val="20"/>
                <w:szCs w:val="20"/>
                <w:color w:val="auto"/>
              </w:rPr>
            </w:pPr>
            <w:r>
              <w:rPr>
                <w:rFonts w:ascii="Arial" w:cs="Arial" w:eastAsia="Arial" w:hAnsi="Arial"/>
                <w:sz w:val="16"/>
                <w:szCs w:val="16"/>
                <w:color w:val="auto"/>
              </w:rPr>
              <w:t>5</w:t>
            </w:r>
          </w:p>
        </w:tc>
      </w:tr>
      <w:tr>
        <w:trPr>
          <w:trHeight w:val="194"/>
        </w:trPr>
        <w:tc>
          <w:tcPr>
            <w:tcW w:w="2680" w:type="dxa"/>
            <w:vAlign w:val="bottom"/>
            <w:tcBorders>
              <w:bottom w:val="single" w:sz="8" w:color="auto"/>
            </w:tcBorders>
            <w:gridSpan w:val="2"/>
          </w:tcPr>
          <w:p>
            <w:pPr>
              <w:spacing w:after="0"/>
              <w:rPr>
                <w:sz w:val="20"/>
                <w:szCs w:val="20"/>
                <w:color w:val="auto"/>
              </w:rPr>
            </w:pPr>
            <w:r>
              <w:rPr>
                <w:rFonts w:ascii="Arial" w:cs="Arial" w:eastAsia="Arial" w:hAnsi="Arial"/>
                <w:sz w:val="16"/>
                <w:szCs w:val="16"/>
                <w:color w:val="auto"/>
              </w:rPr>
              <w:t>SoCalGas</w:t>
            </w:r>
          </w:p>
        </w:tc>
        <w:tc>
          <w:tcPr>
            <w:tcW w:w="19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w:t>
            </w:r>
          </w:p>
        </w:tc>
        <w:tc>
          <w:tcPr>
            <w:tcW w:w="124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w:t>
            </w:r>
          </w:p>
        </w:tc>
        <w:tc>
          <w:tcPr>
            <w:tcW w:w="4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w:t>
            </w:r>
          </w:p>
        </w:tc>
        <w:tc>
          <w:tcPr>
            <w:tcW w:w="40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w:t>
            </w:r>
          </w:p>
        </w:tc>
      </w:tr>
    </w:tbl>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Transactions with RBS Sempra Commodities</w:t>
      </w:r>
    </w:p>
    <w:p>
      <w:pPr>
        <w:spacing w:after="0" w:line="205"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Several of our business units have engaged in transactions with RBS Sempra Commodities. As a result of the divestiture of substantially all of RBS Sempra Commodities’ businesses, transactions between our business units and RBS Sempra Commodities were assigned over time to the buyers of the joint venture businesses. The assignments of the related contracts were substantially completed by May 1, 2011. Amounts in our Condensed Consolidated Financial Statements related to these transactions are as follows:</w:t>
      </w:r>
    </w:p>
    <w:p>
      <w:pPr>
        <w:spacing w:after="0" w:line="200" w:lineRule="exact"/>
        <w:rPr>
          <w:sz w:val="20"/>
          <w:szCs w:val="20"/>
          <w:color w:val="auto"/>
        </w:rPr>
      </w:pPr>
    </w:p>
    <w:p>
      <w:pPr>
        <w:spacing w:after="0" w:line="226" w:lineRule="exact"/>
        <w:rPr>
          <w:sz w:val="20"/>
          <w:szCs w:val="20"/>
          <w:color w:val="auto"/>
        </w:rPr>
      </w:pPr>
    </w:p>
    <w:p>
      <w:pPr>
        <w:ind w:right="5100"/>
        <w:spacing w:after="0" w:line="261" w:lineRule="auto"/>
        <w:rPr>
          <w:sz w:val="20"/>
          <w:szCs w:val="20"/>
          <w:color w:val="auto"/>
        </w:rPr>
      </w:pPr>
      <w:r>
        <w:rPr>
          <w:rFonts w:ascii="Arial" w:cs="Arial" w:eastAsia="Arial" w:hAnsi="Arial"/>
          <w:sz w:val="16"/>
          <w:szCs w:val="16"/>
          <w:b w:val="1"/>
          <w:bCs w:val="1"/>
          <w:color w:val="auto"/>
        </w:rPr>
        <w:t xml:space="preserve">AMOUNTS RECORDED FOR TRANSACTIONS WITH RBS SEMPRA COMMODITIES </w:t>
      </w:r>
      <w:r>
        <w:rPr>
          <w:rFonts w:ascii="Arial" w:cs="Arial" w:eastAsia="Arial" w:hAnsi="Arial"/>
          <w:sz w:val="14"/>
          <w:szCs w:val="14"/>
          <w:i w:val="1"/>
          <w:iCs w:val="1"/>
          <w:color w:val="auto"/>
        </w:rPr>
        <w:t>(Dollars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-241935</wp:posOffset>
            </wp:positionV>
            <wp:extent cx="7246620" cy="22288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46620" cy="222885"/>
                    </a:xfrm>
                    <a:prstGeom prst="rect">
                      <a:avLst/>
                    </a:prstGeom>
                    <a:noFill/>
                  </pic:spPr>
                </pic:pic>
              </a:graphicData>
            </a:graphic>
          </wp:anchor>
        </w:drawing>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20" w:type="dxa"/>
            <w:vAlign w:val="bottom"/>
          </w:tcPr>
          <w:p>
            <w:pPr>
              <w:spacing w:after="0"/>
              <w:rPr>
                <w:sz w:val="14"/>
                <w:szCs w:val="14"/>
                <w:color w:val="auto"/>
              </w:rPr>
            </w:pPr>
          </w:p>
        </w:tc>
        <w:tc>
          <w:tcPr>
            <w:tcW w:w="5880" w:type="dxa"/>
            <w:vAlign w:val="bottom"/>
          </w:tcPr>
          <w:p>
            <w:pPr>
              <w:spacing w:after="0"/>
              <w:rPr>
                <w:sz w:val="14"/>
                <w:szCs w:val="14"/>
                <w:color w:val="auto"/>
              </w:rPr>
            </w:pPr>
          </w:p>
        </w:tc>
        <w:tc>
          <w:tcPr>
            <w:tcW w:w="23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color w:val="auto"/>
              </w:rPr>
              <w:t>Three months ended June 30,</w:t>
            </w:r>
          </w:p>
        </w:tc>
        <w:tc>
          <w:tcPr>
            <w:tcW w:w="42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440" w:type="dxa"/>
            <w:vAlign w:val="bottom"/>
            <w:tcBorders>
              <w:bottom w:val="single" w:sz="8" w:color="auto"/>
            </w:tcBorders>
            <w:gridSpan w:val="3"/>
          </w:tcPr>
          <w:p>
            <w:pPr>
              <w:jc w:val="right"/>
              <w:ind w:right="440"/>
              <w:spacing w:after="0"/>
              <w:rPr>
                <w:sz w:val="20"/>
                <w:szCs w:val="20"/>
                <w:color w:val="auto"/>
              </w:rPr>
            </w:pPr>
            <w:r>
              <w:rPr>
                <w:rFonts w:ascii="Arial" w:cs="Arial" w:eastAsia="Arial" w:hAnsi="Arial"/>
                <w:sz w:val="14"/>
                <w:szCs w:val="14"/>
                <w:color w:val="auto"/>
              </w:rPr>
              <w:t>Six months ended June 30,</w:t>
            </w:r>
          </w:p>
        </w:tc>
      </w:tr>
      <w:tr>
        <w:trPr>
          <w:trHeight w:val="183"/>
        </w:trPr>
        <w:tc>
          <w:tcPr>
            <w:tcW w:w="20" w:type="dxa"/>
            <w:vAlign w:val="bottom"/>
          </w:tcPr>
          <w:p>
            <w:pPr>
              <w:spacing w:after="0"/>
              <w:rPr>
                <w:sz w:val="15"/>
                <w:szCs w:val="15"/>
                <w:color w:val="auto"/>
              </w:rPr>
            </w:pPr>
          </w:p>
        </w:tc>
        <w:tc>
          <w:tcPr>
            <w:tcW w:w="588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22"/>
              <w:spacing w:after="0"/>
              <w:rPr>
                <w:sz w:val="20"/>
                <w:szCs w:val="20"/>
                <w:color w:val="auto"/>
              </w:rPr>
            </w:pPr>
            <w:r>
              <w:rPr>
                <w:rFonts w:ascii="Arial" w:cs="Arial" w:eastAsia="Arial" w:hAnsi="Arial"/>
                <w:sz w:val="14"/>
                <w:szCs w:val="14"/>
                <w:color w:val="auto"/>
              </w:rPr>
              <w:t>2011(1)</w:t>
            </w:r>
          </w:p>
        </w:tc>
        <w:tc>
          <w:tcPr>
            <w:tcW w:w="4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101"/>
              <w:spacing w:after="0"/>
              <w:rPr>
                <w:sz w:val="20"/>
                <w:szCs w:val="20"/>
                <w:color w:val="auto"/>
              </w:rPr>
            </w:pPr>
            <w:r>
              <w:rPr>
                <w:rFonts w:ascii="Arial" w:cs="Arial" w:eastAsia="Arial" w:hAnsi="Arial"/>
                <w:sz w:val="14"/>
                <w:szCs w:val="14"/>
                <w:color w:val="auto"/>
              </w:rPr>
              <w:t>2010</w:t>
            </w:r>
          </w:p>
        </w:tc>
        <w:tc>
          <w:tcPr>
            <w:tcW w:w="42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420"/>
              <w:spacing w:after="0"/>
              <w:rPr>
                <w:sz w:val="20"/>
                <w:szCs w:val="20"/>
                <w:color w:val="auto"/>
              </w:rPr>
            </w:pPr>
            <w:r>
              <w:rPr>
                <w:rFonts w:ascii="Arial" w:cs="Arial" w:eastAsia="Arial" w:hAnsi="Arial"/>
                <w:sz w:val="14"/>
                <w:szCs w:val="14"/>
                <w:color w:val="auto"/>
              </w:rPr>
              <w:t>2011(1)</w:t>
            </w:r>
          </w:p>
        </w:tc>
        <w:tc>
          <w:tcPr>
            <w:tcW w:w="3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480"/>
              <w:spacing w:after="0"/>
              <w:rPr>
                <w:sz w:val="20"/>
                <w:szCs w:val="20"/>
                <w:color w:val="auto"/>
              </w:rPr>
            </w:pPr>
            <w:r>
              <w:rPr>
                <w:rFonts w:ascii="Arial" w:cs="Arial" w:eastAsia="Arial" w:hAnsi="Arial"/>
                <w:sz w:val="14"/>
                <w:szCs w:val="14"/>
                <w:color w:val="auto"/>
              </w:rPr>
              <w:t>2010</w:t>
            </w:r>
          </w:p>
        </w:tc>
      </w:tr>
      <w:tr>
        <w:trPr>
          <w:trHeight w:val="164"/>
        </w:trPr>
        <w:tc>
          <w:tcPr>
            <w:tcW w:w="20" w:type="dxa"/>
            <w:vAlign w:val="bottom"/>
          </w:tcPr>
          <w:p>
            <w:pPr>
              <w:spacing w:after="0"/>
              <w:rPr>
                <w:sz w:val="14"/>
                <w:szCs w:val="14"/>
                <w:color w:val="auto"/>
              </w:rPr>
            </w:pPr>
          </w:p>
        </w:tc>
        <w:tc>
          <w:tcPr>
            <w:tcW w:w="5880" w:type="dxa"/>
            <w:vAlign w:val="bottom"/>
          </w:tcPr>
          <w:p>
            <w:pPr>
              <w:spacing w:after="0" w:line="164" w:lineRule="exact"/>
              <w:rPr>
                <w:sz w:val="20"/>
                <w:szCs w:val="20"/>
                <w:color w:val="auto"/>
              </w:rPr>
            </w:pPr>
            <w:r>
              <w:rPr>
                <w:rFonts w:ascii="Arial" w:cs="Arial" w:eastAsia="Arial" w:hAnsi="Arial"/>
                <w:sz w:val="16"/>
                <w:szCs w:val="16"/>
                <w:color w:val="auto"/>
              </w:rPr>
              <w:t>Revenues:</w:t>
            </w:r>
          </w:p>
        </w:tc>
        <w:tc>
          <w:tcPr>
            <w:tcW w:w="10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95"/>
        </w:trPr>
        <w:tc>
          <w:tcPr>
            <w:tcW w:w="20" w:type="dxa"/>
            <w:vAlign w:val="bottom"/>
          </w:tcPr>
          <w:p>
            <w:pPr>
              <w:spacing w:after="0"/>
              <w:rPr>
                <w:sz w:val="16"/>
                <w:szCs w:val="16"/>
                <w:color w:val="auto"/>
              </w:rPr>
            </w:pPr>
          </w:p>
        </w:tc>
        <w:tc>
          <w:tcPr>
            <w:tcW w:w="5880" w:type="dxa"/>
            <w:vAlign w:val="bottom"/>
          </w:tcPr>
          <w:p>
            <w:pPr>
              <w:ind w:left="160"/>
              <w:spacing w:after="0"/>
              <w:rPr>
                <w:sz w:val="20"/>
                <w:szCs w:val="20"/>
                <w:color w:val="auto"/>
              </w:rPr>
            </w:pPr>
            <w:r>
              <w:rPr>
                <w:rFonts w:ascii="Arial" w:cs="Arial" w:eastAsia="Arial" w:hAnsi="Arial"/>
                <w:sz w:val="16"/>
                <w:szCs w:val="16"/>
                <w:color w:val="auto"/>
              </w:rPr>
              <w:t>SoCalGas</w:t>
            </w:r>
          </w:p>
        </w:tc>
        <w:tc>
          <w:tcPr>
            <w:tcW w:w="1040" w:type="dxa"/>
            <w:vAlign w:val="bottom"/>
          </w:tcPr>
          <w:p>
            <w:pPr>
              <w:jc w:val="right"/>
              <w:ind w:right="722"/>
              <w:spacing w:after="0"/>
              <w:rPr>
                <w:sz w:val="20"/>
                <w:szCs w:val="20"/>
                <w:color w:val="auto"/>
              </w:rPr>
            </w:pPr>
            <w:r>
              <w:rPr>
                <w:rFonts w:ascii="Arial" w:cs="Arial" w:eastAsia="Arial" w:hAnsi="Arial"/>
                <w:sz w:val="16"/>
                <w:szCs w:val="16"/>
                <w:color w:val="auto"/>
              </w:rPr>
              <w:t>$</w:t>
            </w:r>
          </w:p>
        </w:tc>
        <w:tc>
          <w:tcPr>
            <w:tcW w:w="40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701"/>
              <w:spacing w:after="0"/>
              <w:rPr>
                <w:sz w:val="20"/>
                <w:szCs w:val="20"/>
                <w:color w:val="auto"/>
              </w:rPr>
            </w:pPr>
            <w:r>
              <w:rPr>
                <w:rFonts w:ascii="Arial" w:cs="Arial" w:eastAsia="Arial" w:hAnsi="Arial"/>
                <w:sz w:val="16"/>
                <w:szCs w:val="16"/>
                <w:color w:val="auto"/>
              </w:rPr>
              <w:t>$</w:t>
            </w:r>
          </w:p>
        </w:tc>
        <w:tc>
          <w:tcPr>
            <w:tcW w:w="420" w:type="dxa"/>
            <w:vAlign w:val="bottom"/>
          </w:tcPr>
          <w:p>
            <w:pPr>
              <w:jc w:val="right"/>
              <w:ind w:right="19"/>
              <w:spacing w:after="0"/>
              <w:rPr>
                <w:sz w:val="20"/>
                <w:szCs w:val="20"/>
                <w:color w:val="auto"/>
              </w:rPr>
            </w:pPr>
            <w:r>
              <w:rPr>
                <w:rFonts w:ascii="Arial" w:cs="Arial" w:eastAsia="Arial" w:hAnsi="Arial"/>
                <w:sz w:val="16"/>
                <w:szCs w:val="16"/>
                <w:color w:val="auto"/>
              </w:rPr>
              <w:t>3</w:t>
            </w:r>
          </w:p>
        </w:tc>
        <w:tc>
          <w:tcPr>
            <w:tcW w:w="2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32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7</w:t>
            </w:r>
          </w:p>
        </w:tc>
      </w:tr>
      <w:tr>
        <w:trPr>
          <w:trHeight w:val="203"/>
        </w:trPr>
        <w:tc>
          <w:tcPr>
            <w:tcW w:w="20" w:type="dxa"/>
            <w:vAlign w:val="bottom"/>
          </w:tcPr>
          <w:p>
            <w:pPr>
              <w:spacing w:after="0"/>
              <w:rPr>
                <w:sz w:val="17"/>
                <w:szCs w:val="17"/>
                <w:color w:val="auto"/>
              </w:rPr>
            </w:pPr>
          </w:p>
        </w:tc>
        <w:tc>
          <w:tcPr>
            <w:tcW w:w="5880" w:type="dxa"/>
            <w:vAlign w:val="bottom"/>
          </w:tcPr>
          <w:p>
            <w:pPr>
              <w:ind w:left="160"/>
              <w:spacing w:after="0"/>
              <w:rPr>
                <w:sz w:val="20"/>
                <w:szCs w:val="20"/>
                <w:color w:val="auto"/>
              </w:rPr>
            </w:pPr>
            <w:r>
              <w:rPr>
                <w:rFonts w:ascii="Arial" w:cs="Arial" w:eastAsia="Arial" w:hAnsi="Arial"/>
                <w:sz w:val="16"/>
                <w:szCs w:val="16"/>
                <w:color w:val="auto"/>
              </w:rPr>
              <w:t>Sempra Generation(2)</w:t>
            </w:r>
          </w:p>
        </w:tc>
        <w:tc>
          <w:tcPr>
            <w:tcW w:w="1040" w:type="dxa"/>
            <w:vAlign w:val="bottom"/>
          </w:tcPr>
          <w:p>
            <w:pPr>
              <w:spacing w:after="0"/>
              <w:rPr>
                <w:sz w:val="17"/>
                <w:szCs w:val="17"/>
                <w:color w:val="auto"/>
              </w:rPr>
            </w:pPr>
          </w:p>
        </w:tc>
        <w:tc>
          <w:tcPr>
            <w:tcW w:w="400" w:type="dxa"/>
            <w:vAlign w:val="bottom"/>
          </w:tcPr>
          <w:p>
            <w:pPr>
              <w:jc w:val="right"/>
              <w:spacing w:after="0"/>
              <w:rPr>
                <w:sz w:val="20"/>
                <w:szCs w:val="20"/>
                <w:color w:val="auto"/>
              </w:rPr>
            </w:pPr>
            <w:r>
              <w:rPr>
                <w:rFonts w:ascii="Arial" w:cs="Arial" w:eastAsia="Arial" w:hAnsi="Arial"/>
                <w:sz w:val="16"/>
                <w:szCs w:val="16"/>
                <w:color w:val="auto"/>
              </w:rPr>
              <w:t>(5)</w:t>
            </w:r>
          </w:p>
        </w:tc>
        <w:tc>
          <w:tcPr>
            <w:tcW w:w="940" w:type="dxa"/>
            <w:vAlign w:val="bottom"/>
          </w:tcPr>
          <w:p>
            <w:pPr>
              <w:spacing w:after="0"/>
              <w:rPr>
                <w:sz w:val="17"/>
                <w:szCs w:val="17"/>
                <w:color w:val="auto"/>
              </w:rPr>
            </w:pPr>
          </w:p>
        </w:tc>
        <w:tc>
          <w:tcPr>
            <w:tcW w:w="4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7"/>
                <w:szCs w:val="17"/>
                <w:color w:val="auto"/>
              </w:rPr>
            </w:pP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4</w:t>
            </w:r>
          </w:p>
        </w:tc>
        <w:tc>
          <w:tcPr>
            <w:tcW w:w="32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9</w:t>
            </w:r>
          </w:p>
        </w:tc>
      </w:tr>
      <w:tr>
        <w:trPr>
          <w:trHeight w:val="202"/>
        </w:trPr>
        <w:tc>
          <w:tcPr>
            <w:tcW w:w="20" w:type="dxa"/>
            <w:vAlign w:val="bottom"/>
          </w:tcPr>
          <w:p>
            <w:pPr>
              <w:spacing w:after="0"/>
              <w:rPr>
                <w:sz w:val="17"/>
                <w:szCs w:val="17"/>
                <w:color w:val="auto"/>
              </w:rPr>
            </w:pPr>
          </w:p>
        </w:tc>
        <w:tc>
          <w:tcPr>
            <w:tcW w:w="5880" w:type="dxa"/>
            <w:vAlign w:val="bottom"/>
          </w:tcPr>
          <w:p>
            <w:pPr>
              <w:ind w:left="160"/>
              <w:spacing w:after="0"/>
              <w:rPr>
                <w:sz w:val="20"/>
                <w:szCs w:val="20"/>
                <w:color w:val="auto"/>
              </w:rPr>
            </w:pPr>
            <w:r>
              <w:rPr>
                <w:rFonts w:ascii="Arial" w:cs="Arial" w:eastAsia="Arial" w:hAnsi="Arial"/>
                <w:sz w:val="16"/>
                <w:szCs w:val="16"/>
                <w:color w:val="auto"/>
              </w:rPr>
              <w:t>Sempra LNG</w:t>
            </w:r>
          </w:p>
        </w:tc>
        <w:tc>
          <w:tcPr>
            <w:tcW w:w="104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4</w:t>
            </w:r>
          </w:p>
        </w:tc>
        <w:tc>
          <w:tcPr>
            <w:tcW w:w="94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66</w:t>
            </w:r>
          </w:p>
        </w:tc>
        <w:tc>
          <w:tcPr>
            <w:tcW w:w="28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40</w:t>
            </w:r>
          </w:p>
        </w:tc>
        <w:tc>
          <w:tcPr>
            <w:tcW w:w="3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139</w:t>
            </w:r>
          </w:p>
        </w:tc>
      </w:tr>
      <w:tr>
        <w:trPr>
          <w:trHeight w:val="183"/>
        </w:trPr>
        <w:tc>
          <w:tcPr>
            <w:tcW w:w="20" w:type="dxa"/>
            <w:vAlign w:val="bottom"/>
          </w:tcPr>
          <w:p>
            <w:pPr>
              <w:spacing w:after="0"/>
              <w:rPr>
                <w:sz w:val="15"/>
                <w:szCs w:val="15"/>
                <w:color w:val="auto"/>
              </w:rPr>
            </w:pPr>
          </w:p>
        </w:tc>
        <w:tc>
          <w:tcPr>
            <w:tcW w:w="5880" w:type="dxa"/>
            <w:vAlign w:val="bottom"/>
          </w:tcPr>
          <w:p>
            <w:pPr>
              <w:ind w:left="340"/>
              <w:spacing w:after="0" w:line="176" w:lineRule="exact"/>
              <w:rPr>
                <w:sz w:val="20"/>
                <w:szCs w:val="20"/>
                <w:color w:val="auto"/>
              </w:rPr>
            </w:pPr>
            <w:r>
              <w:rPr>
                <w:rFonts w:ascii="Arial" w:cs="Arial" w:eastAsia="Arial" w:hAnsi="Arial"/>
                <w:sz w:val="16"/>
                <w:szCs w:val="16"/>
                <w:color w:val="auto"/>
              </w:rPr>
              <w:t>Total revenues</w:t>
            </w:r>
          </w:p>
        </w:tc>
        <w:tc>
          <w:tcPr>
            <w:tcW w:w="1040" w:type="dxa"/>
            <w:vAlign w:val="bottom"/>
            <w:tcBorders>
              <w:bottom w:val="single" w:sz="8" w:color="auto"/>
            </w:tcBorders>
          </w:tcPr>
          <w:p>
            <w:pPr>
              <w:jc w:val="right"/>
              <w:ind w:right="722"/>
              <w:spacing w:after="0" w:line="176" w:lineRule="exact"/>
              <w:rPr>
                <w:sz w:val="20"/>
                <w:szCs w:val="20"/>
                <w:color w:val="auto"/>
              </w:rPr>
            </w:pPr>
            <w:r>
              <w:rPr>
                <w:rFonts w:ascii="Arial" w:cs="Arial" w:eastAsia="Arial" w:hAnsi="Arial"/>
                <w:sz w:val="16"/>
                <w:szCs w:val="16"/>
                <w:color w:val="auto"/>
              </w:rPr>
              <w:t>$</w:t>
            </w:r>
          </w:p>
        </w:tc>
        <w:tc>
          <w:tcPr>
            <w:tcW w:w="40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6"/>
                <w:szCs w:val="16"/>
                <w:color w:val="auto"/>
              </w:rPr>
              <w:t>(1)</w:t>
            </w:r>
          </w:p>
        </w:tc>
        <w:tc>
          <w:tcPr>
            <w:tcW w:w="940" w:type="dxa"/>
            <w:vAlign w:val="bottom"/>
            <w:tcBorders>
              <w:bottom w:val="single" w:sz="8" w:color="auto"/>
            </w:tcBorders>
          </w:tcPr>
          <w:p>
            <w:pPr>
              <w:jc w:val="right"/>
              <w:ind w:right="701"/>
              <w:spacing w:after="0" w:line="176" w:lineRule="exact"/>
              <w:rPr>
                <w:sz w:val="20"/>
                <w:szCs w:val="20"/>
                <w:color w:val="auto"/>
              </w:rPr>
            </w:pPr>
            <w:r>
              <w:rPr>
                <w:rFonts w:ascii="Arial" w:cs="Arial" w:eastAsia="Arial" w:hAnsi="Arial"/>
                <w:sz w:val="16"/>
                <w:szCs w:val="16"/>
                <w:color w:val="auto"/>
              </w:rPr>
              <w:t>$</w:t>
            </w:r>
          </w:p>
        </w:tc>
        <w:tc>
          <w:tcPr>
            <w:tcW w:w="420" w:type="dxa"/>
            <w:vAlign w:val="bottom"/>
            <w:tcBorders>
              <w:bottom w:val="single" w:sz="8" w:color="auto"/>
            </w:tcBorders>
          </w:tcPr>
          <w:p>
            <w:pPr>
              <w:jc w:val="right"/>
              <w:ind w:right="19"/>
              <w:spacing w:after="0" w:line="176" w:lineRule="exact"/>
              <w:rPr>
                <w:sz w:val="20"/>
                <w:szCs w:val="20"/>
                <w:color w:val="auto"/>
              </w:rPr>
            </w:pPr>
            <w:r>
              <w:rPr>
                <w:rFonts w:ascii="Arial" w:cs="Arial" w:eastAsia="Arial" w:hAnsi="Arial"/>
                <w:sz w:val="16"/>
                <w:szCs w:val="16"/>
                <w:color w:val="auto"/>
              </w:rPr>
              <w:t>69</w:t>
            </w:r>
          </w:p>
        </w:tc>
        <w:tc>
          <w:tcPr>
            <w:tcW w:w="280" w:type="dxa"/>
            <w:vAlign w:val="bottom"/>
            <w:tcBorders>
              <w:bottom w:val="single" w:sz="8" w:color="auto"/>
            </w:tcBorders>
          </w:tcPr>
          <w:p>
            <w:pPr>
              <w:jc w:val="right"/>
              <w:ind w:right="19"/>
              <w:spacing w:after="0" w:line="176" w:lineRule="exact"/>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tcPr>
          <w:p>
            <w:pPr>
              <w:jc w:val="right"/>
              <w:ind w:right="20"/>
              <w:spacing w:after="0" w:line="176" w:lineRule="exact"/>
              <w:rPr>
                <w:sz w:val="20"/>
                <w:szCs w:val="20"/>
                <w:color w:val="auto"/>
              </w:rPr>
            </w:pPr>
            <w:r>
              <w:rPr>
                <w:rFonts w:ascii="Arial" w:cs="Arial" w:eastAsia="Arial" w:hAnsi="Arial"/>
                <w:sz w:val="16"/>
                <w:szCs w:val="16"/>
                <w:color w:val="auto"/>
              </w:rPr>
              <w:t>44</w:t>
            </w:r>
          </w:p>
        </w:tc>
        <w:tc>
          <w:tcPr>
            <w:tcW w:w="320" w:type="dxa"/>
            <w:vAlign w:val="bottom"/>
            <w:tcBorders>
              <w:bottom w:val="single" w:sz="8" w:color="auto"/>
            </w:tcBorders>
          </w:tcPr>
          <w:p>
            <w:pPr>
              <w:jc w:val="right"/>
              <w:ind w:right="39"/>
              <w:spacing w:after="0" w:line="176" w:lineRule="exact"/>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6"/>
                <w:szCs w:val="16"/>
                <w:color w:val="auto"/>
              </w:rPr>
              <w:t>155</w:t>
            </w:r>
          </w:p>
        </w:tc>
      </w:tr>
      <w:tr>
        <w:trPr>
          <w:trHeight w:val="367"/>
        </w:trPr>
        <w:tc>
          <w:tcPr>
            <w:tcW w:w="5900" w:type="dxa"/>
            <w:vAlign w:val="bottom"/>
            <w:gridSpan w:val="2"/>
          </w:tcPr>
          <w:p>
            <w:pPr>
              <w:spacing w:after="0"/>
              <w:rPr>
                <w:sz w:val="20"/>
                <w:szCs w:val="20"/>
                <w:color w:val="auto"/>
              </w:rPr>
            </w:pPr>
            <w:r>
              <w:rPr>
                <w:rFonts w:ascii="Arial" w:cs="Arial" w:eastAsia="Arial" w:hAnsi="Arial"/>
                <w:sz w:val="16"/>
                <w:szCs w:val="16"/>
                <w:color w:val="auto"/>
              </w:rPr>
              <w:t>Cost of natural gas:</w:t>
            </w:r>
          </w:p>
        </w:tc>
        <w:tc>
          <w:tcPr>
            <w:tcW w:w="10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195"/>
        </w:trPr>
        <w:tc>
          <w:tcPr>
            <w:tcW w:w="20" w:type="dxa"/>
            <w:vAlign w:val="bottom"/>
          </w:tcPr>
          <w:p>
            <w:pPr>
              <w:spacing w:after="0"/>
              <w:rPr>
                <w:sz w:val="16"/>
                <w:szCs w:val="16"/>
                <w:color w:val="auto"/>
              </w:rPr>
            </w:pPr>
          </w:p>
        </w:tc>
        <w:tc>
          <w:tcPr>
            <w:tcW w:w="5880" w:type="dxa"/>
            <w:vAlign w:val="bottom"/>
          </w:tcPr>
          <w:p>
            <w:pPr>
              <w:ind w:left="160"/>
              <w:spacing w:after="0"/>
              <w:rPr>
                <w:sz w:val="20"/>
                <w:szCs w:val="20"/>
                <w:color w:val="auto"/>
              </w:rPr>
            </w:pPr>
            <w:r>
              <w:rPr>
                <w:rFonts w:ascii="Arial" w:cs="Arial" w:eastAsia="Arial" w:hAnsi="Arial"/>
                <w:sz w:val="16"/>
                <w:szCs w:val="16"/>
                <w:color w:val="auto"/>
              </w:rPr>
              <w:t>SDG&amp;E</w:t>
            </w:r>
          </w:p>
        </w:tc>
        <w:tc>
          <w:tcPr>
            <w:tcW w:w="1040" w:type="dxa"/>
            <w:vAlign w:val="bottom"/>
          </w:tcPr>
          <w:p>
            <w:pPr>
              <w:jc w:val="right"/>
              <w:ind w:right="722"/>
              <w:spacing w:after="0"/>
              <w:rPr>
                <w:sz w:val="20"/>
                <w:szCs w:val="20"/>
                <w:color w:val="auto"/>
              </w:rPr>
            </w:pPr>
            <w:r>
              <w:rPr>
                <w:rFonts w:ascii="Arial" w:cs="Arial" w:eastAsia="Arial" w:hAnsi="Arial"/>
                <w:sz w:val="16"/>
                <w:szCs w:val="16"/>
                <w:color w:val="auto"/>
              </w:rPr>
              <w:t>$</w:t>
            </w:r>
          </w:p>
        </w:tc>
        <w:tc>
          <w:tcPr>
            <w:tcW w:w="40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701"/>
              <w:spacing w:after="0"/>
              <w:rPr>
                <w:sz w:val="20"/>
                <w:szCs w:val="20"/>
                <w:color w:val="auto"/>
              </w:rPr>
            </w:pPr>
            <w:r>
              <w:rPr>
                <w:rFonts w:ascii="Arial" w:cs="Arial" w:eastAsia="Arial" w:hAnsi="Arial"/>
                <w:sz w:val="16"/>
                <w:szCs w:val="16"/>
                <w:color w:val="auto"/>
              </w:rPr>
              <w:t>$</w:t>
            </w:r>
          </w:p>
        </w:tc>
        <w:tc>
          <w:tcPr>
            <w:tcW w:w="4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2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32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1</w:t>
            </w:r>
          </w:p>
        </w:tc>
      </w:tr>
      <w:tr>
        <w:trPr>
          <w:trHeight w:val="203"/>
        </w:trPr>
        <w:tc>
          <w:tcPr>
            <w:tcW w:w="20" w:type="dxa"/>
            <w:vAlign w:val="bottom"/>
          </w:tcPr>
          <w:p>
            <w:pPr>
              <w:spacing w:after="0"/>
              <w:rPr>
                <w:sz w:val="17"/>
                <w:szCs w:val="17"/>
                <w:color w:val="auto"/>
              </w:rPr>
            </w:pPr>
          </w:p>
        </w:tc>
        <w:tc>
          <w:tcPr>
            <w:tcW w:w="5880" w:type="dxa"/>
            <w:vAlign w:val="bottom"/>
          </w:tcPr>
          <w:p>
            <w:pPr>
              <w:ind w:left="160"/>
              <w:spacing w:after="0"/>
              <w:rPr>
                <w:sz w:val="20"/>
                <w:szCs w:val="20"/>
                <w:color w:val="auto"/>
              </w:rPr>
            </w:pPr>
            <w:r>
              <w:rPr>
                <w:rFonts w:ascii="Arial" w:cs="Arial" w:eastAsia="Arial" w:hAnsi="Arial"/>
                <w:sz w:val="16"/>
                <w:szCs w:val="16"/>
                <w:color w:val="auto"/>
              </w:rPr>
              <w:t>SoCalGas</w:t>
            </w:r>
          </w:p>
        </w:tc>
        <w:tc>
          <w:tcPr>
            <w:tcW w:w="1040" w:type="dxa"/>
            <w:vAlign w:val="bottom"/>
          </w:tcPr>
          <w:p>
            <w:pPr>
              <w:spacing w:after="0"/>
              <w:rPr>
                <w:sz w:val="17"/>
                <w:szCs w:val="17"/>
                <w:color w:val="auto"/>
              </w:rPr>
            </w:pPr>
          </w:p>
        </w:tc>
        <w:tc>
          <w:tcPr>
            <w:tcW w:w="40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940" w:type="dxa"/>
            <w:vAlign w:val="bottom"/>
          </w:tcPr>
          <w:p>
            <w:pPr>
              <w:spacing w:after="0"/>
              <w:rPr>
                <w:sz w:val="17"/>
                <w:szCs w:val="17"/>
                <w:color w:val="auto"/>
              </w:rPr>
            </w:pPr>
          </w:p>
        </w:tc>
        <w:tc>
          <w:tcPr>
            <w:tcW w:w="420" w:type="dxa"/>
            <w:vAlign w:val="bottom"/>
          </w:tcPr>
          <w:p>
            <w:pPr>
              <w:jc w:val="right"/>
              <w:ind w:right="19"/>
              <w:spacing w:after="0"/>
              <w:rPr>
                <w:sz w:val="20"/>
                <w:szCs w:val="20"/>
                <w:color w:val="auto"/>
              </w:rPr>
            </w:pPr>
            <w:r>
              <w:rPr>
                <w:rFonts w:ascii="Arial" w:cs="Arial" w:eastAsia="Arial" w:hAnsi="Arial"/>
                <w:sz w:val="16"/>
                <w:szCs w:val="16"/>
                <w:color w:val="auto"/>
              </w:rPr>
              <w:t>11</w:t>
            </w:r>
          </w:p>
        </w:tc>
        <w:tc>
          <w:tcPr>
            <w:tcW w:w="280" w:type="dxa"/>
            <w:vAlign w:val="bottom"/>
          </w:tcPr>
          <w:p>
            <w:pPr>
              <w:spacing w:after="0"/>
              <w:rPr>
                <w:sz w:val="17"/>
                <w:szCs w:val="17"/>
                <w:color w:val="auto"/>
              </w:rPr>
            </w:pP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23</w:t>
            </w:r>
          </w:p>
        </w:tc>
      </w:tr>
      <w:tr>
        <w:trPr>
          <w:trHeight w:val="183"/>
        </w:trPr>
        <w:tc>
          <w:tcPr>
            <w:tcW w:w="20" w:type="dxa"/>
            <w:vAlign w:val="bottom"/>
          </w:tcPr>
          <w:p>
            <w:pPr>
              <w:spacing w:after="0"/>
              <w:rPr>
                <w:sz w:val="15"/>
                <w:szCs w:val="15"/>
                <w:color w:val="auto"/>
              </w:rPr>
            </w:pPr>
          </w:p>
        </w:tc>
        <w:tc>
          <w:tcPr>
            <w:tcW w:w="5880" w:type="dxa"/>
            <w:vAlign w:val="bottom"/>
          </w:tcPr>
          <w:p>
            <w:pPr>
              <w:ind w:left="160"/>
              <w:spacing w:after="0"/>
              <w:rPr>
                <w:sz w:val="20"/>
                <w:szCs w:val="20"/>
                <w:color w:val="auto"/>
              </w:rPr>
            </w:pPr>
            <w:r>
              <w:rPr>
                <w:rFonts w:ascii="Arial" w:cs="Arial" w:eastAsia="Arial" w:hAnsi="Arial"/>
                <w:sz w:val="16"/>
                <w:szCs w:val="16"/>
                <w:color w:val="auto"/>
              </w:rPr>
              <w:t>Sempra Generation</w:t>
            </w:r>
          </w:p>
        </w:tc>
        <w:tc>
          <w:tcPr>
            <w:tcW w:w="1040" w:type="dxa"/>
            <w:vAlign w:val="bottom"/>
          </w:tcPr>
          <w:p>
            <w:pPr>
              <w:spacing w:after="0"/>
              <w:rPr>
                <w:sz w:val="15"/>
                <w:szCs w:val="15"/>
                <w:color w:val="auto"/>
              </w:rPr>
            </w:pPr>
          </w:p>
        </w:tc>
        <w:tc>
          <w:tcPr>
            <w:tcW w:w="400" w:type="dxa"/>
            <w:vAlign w:val="bottom"/>
          </w:tcPr>
          <w:p>
            <w:pPr>
              <w:jc w:val="right"/>
              <w:ind w:right="39"/>
              <w:spacing w:after="0"/>
              <w:rPr>
                <w:sz w:val="20"/>
                <w:szCs w:val="20"/>
                <w:color w:val="auto"/>
              </w:rPr>
            </w:pPr>
            <w:r>
              <w:rPr>
                <w:rFonts w:ascii="Arial" w:cs="Arial" w:eastAsia="Arial" w:hAnsi="Arial"/>
                <w:sz w:val="16"/>
                <w:szCs w:val="16"/>
                <w:color w:val="auto"/>
              </w:rPr>
              <w:t>4</w:t>
            </w:r>
          </w:p>
        </w:tc>
        <w:tc>
          <w:tcPr>
            <w:tcW w:w="940" w:type="dxa"/>
            <w:vAlign w:val="bottom"/>
          </w:tcPr>
          <w:p>
            <w:pPr>
              <w:spacing w:after="0"/>
              <w:rPr>
                <w:sz w:val="15"/>
                <w:szCs w:val="15"/>
                <w:color w:val="auto"/>
              </w:rPr>
            </w:pPr>
          </w:p>
        </w:tc>
        <w:tc>
          <w:tcPr>
            <w:tcW w:w="420" w:type="dxa"/>
            <w:vAlign w:val="bottom"/>
          </w:tcPr>
          <w:p>
            <w:pPr>
              <w:jc w:val="right"/>
              <w:ind w:right="19"/>
              <w:spacing w:after="0"/>
              <w:rPr>
                <w:sz w:val="20"/>
                <w:szCs w:val="20"/>
                <w:color w:val="auto"/>
              </w:rPr>
            </w:pPr>
            <w:r>
              <w:rPr>
                <w:rFonts w:ascii="Arial" w:cs="Arial" w:eastAsia="Arial" w:hAnsi="Arial"/>
                <w:sz w:val="16"/>
                <w:szCs w:val="16"/>
                <w:color w:val="auto"/>
              </w:rPr>
              <w:t>12</w:t>
            </w:r>
          </w:p>
        </w:tc>
        <w:tc>
          <w:tcPr>
            <w:tcW w:w="280" w:type="dxa"/>
            <w:vAlign w:val="bottom"/>
          </w:tcPr>
          <w:p>
            <w:pPr>
              <w:spacing w:after="0"/>
              <w:rPr>
                <w:sz w:val="15"/>
                <w:szCs w:val="15"/>
                <w:color w:val="auto"/>
              </w:rPr>
            </w:pP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30</w:t>
            </w:r>
          </w:p>
        </w:tc>
        <w:tc>
          <w:tcPr>
            <w:tcW w:w="32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28</w:t>
            </w:r>
          </w:p>
        </w:tc>
      </w:tr>
      <w:tr>
        <w:trPr>
          <w:trHeight w:val="176"/>
        </w:trPr>
        <w:tc>
          <w:tcPr>
            <w:tcW w:w="20" w:type="dxa"/>
            <w:vAlign w:val="bottom"/>
          </w:tcPr>
          <w:p>
            <w:pPr>
              <w:spacing w:after="0"/>
              <w:rPr>
                <w:sz w:val="15"/>
                <w:szCs w:val="15"/>
                <w:color w:val="auto"/>
              </w:rPr>
            </w:pPr>
          </w:p>
        </w:tc>
        <w:tc>
          <w:tcPr>
            <w:tcW w:w="5880" w:type="dxa"/>
            <w:vAlign w:val="bottom"/>
          </w:tcPr>
          <w:p>
            <w:pPr>
              <w:ind w:left="160"/>
              <w:spacing w:after="0" w:line="176" w:lineRule="exact"/>
              <w:rPr>
                <w:sz w:val="20"/>
                <w:szCs w:val="20"/>
                <w:color w:val="auto"/>
              </w:rPr>
            </w:pPr>
            <w:r>
              <w:rPr>
                <w:rFonts w:ascii="Arial" w:cs="Arial" w:eastAsia="Arial" w:hAnsi="Arial"/>
                <w:sz w:val="16"/>
                <w:szCs w:val="16"/>
                <w:color w:val="auto"/>
              </w:rPr>
              <w:t>Sempra Pipelines &amp; Storage</w:t>
            </w:r>
          </w:p>
        </w:tc>
        <w:tc>
          <w:tcPr>
            <w:tcW w:w="1040" w:type="dxa"/>
            <w:vAlign w:val="bottom"/>
          </w:tcPr>
          <w:p>
            <w:pPr>
              <w:spacing w:after="0"/>
              <w:rPr>
                <w:sz w:val="15"/>
                <w:szCs w:val="15"/>
                <w:color w:val="auto"/>
              </w:rPr>
            </w:pPr>
          </w:p>
        </w:tc>
        <w:tc>
          <w:tcPr>
            <w:tcW w:w="400" w:type="dxa"/>
            <w:vAlign w:val="bottom"/>
          </w:tcPr>
          <w:p>
            <w:pPr>
              <w:jc w:val="right"/>
              <w:ind w:right="39"/>
              <w:spacing w:after="0" w:line="176" w:lineRule="exact"/>
              <w:rPr>
                <w:sz w:val="20"/>
                <w:szCs w:val="20"/>
                <w:color w:val="auto"/>
              </w:rPr>
            </w:pPr>
            <w:r>
              <w:rPr>
                <w:rFonts w:ascii="Arial" w:cs="Arial" w:eastAsia="Arial" w:hAnsi="Arial"/>
                <w:sz w:val="16"/>
                <w:szCs w:val="16"/>
                <w:color w:val="auto"/>
              </w:rPr>
              <w:t>7</w:t>
            </w:r>
          </w:p>
        </w:tc>
        <w:tc>
          <w:tcPr>
            <w:tcW w:w="940" w:type="dxa"/>
            <w:vAlign w:val="bottom"/>
          </w:tcPr>
          <w:p>
            <w:pPr>
              <w:spacing w:after="0"/>
              <w:rPr>
                <w:sz w:val="15"/>
                <w:szCs w:val="15"/>
                <w:color w:val="auto"/>
              </w:rPr>
            </w:pPr>
          </w:p>
        </w:tc>
        <w:tc>
          <w:tcPr>
            <w:tcW w:w="420" w:type="dxa"/>
            <w:vAlign w:val="bottom"/>
          </w:tcPr>
          <w:p>
            <w:pPr>
              <w:jc w:val="right"/>
              <w:ind w:right="19"/>
              <w:spacing w:after="0" w:line="176" w:lineRule="exact"/>
              <w:rPr>
                <w:sz w:val="20"/>
                <w:szCs w:val="20"/>
                <w:color w:val="auto"/>
              </w:rPr>
            </w:pPr>
            <w:r>
              <w:rPr>
                <w:rFonts w:ascii="Arial" w:cs="Arial" w:eastAsia="Arial" w:hAnsi="Arial"/>
                <w:sz w:val="16"/>
                <w:szCs w:val="16"/>
                <w:color w:val="auto"/>
              </w:rPr>
              <w:t>7</w:t>
            </w:r>
          </w:p>
        </w:tc>
        <w:tc>
          <w:tcPr>
            <w:tcW w:w="280" w:type="dxa"/>
            <w:vAlign w:val="bottom"/>
          </w:tcPr>
          <w:p>
            <w:pPr>
              <w:spacing w:after="0"/>
              <w:rPr>
                <w:sz w:val="15"/>
                <w:szCs w:val="15"/>
                <w:color w:val="auto"/>
              </w:rPr>
            </w:pPr>
          </w:p>
        </w:tc>
        <w:tc>
          <w:tcPr>
            <w:tcW w:w="1100" w:type="dxa"/>
            <w:vAlign w:val="bottom"/>
          </w:tcPr>
          <w:p>
            <w:pPr>
              <w:jc w:val="right"/>
              <w:ind w:right="20"/>
              <w:spacing w:after="0" w:line="176" w:lineRule="exact"/>
              <w:rPr>
                <w:sz w:val="20"/>
                <w:szCs w:val="20"/>
                <w:color w:val="auto"/>
              </w:rPr>
            </w:pPr>
            <w:r>
              <w:rPr>
                <w:rFonts w:ascii="Arial" w:cs="Arial" w:eastAsia="Arial" w:hAnsi="Arial"/>
                <w:sz w:val="16"/>
                <w:szCs w:val="16"/>
                <w:color w:val="auto"/>
              </w:rPr>
              <w:t>14</w:t>
            </w:r>
          </w:p>
        </w:tc>
        <w:tc>
          <w:tcPr>
            <w:tcW w:w="320" w:type="dxa"/>
            <w:vAlign w:val="bottom"/>
          </w:tcPr>
          <w:p>
            <w:pPr>
              <w:spacing w:after="0"/>
              <w:rPr>
                <w:sz w:val="15"/>
                <w:szCs w:val="15"/>
                <w:color w:val="auto"/>
              </w:rPr>
            </w:pPr>
          </w:p>
        </w:tc>
        <w:tc>
          <w:tcPr>
            <w:tcW w:w="1020" w:type="dxa"/>
            <w:vAlign w:val="bottom"/>
          </w:tcPr>
          <w:p>
            <w:pPr>
              <w:jc w:val="right"/>
              <w:spacing w:after="0" w:line="176" w:lineRule="exact"/>
              <w:rPr>
                <w:sz w:val="20"/>
                <w:szCs w:val="20"/>
                <w:color w:val="auto"/>
              </w:rPr>
            </w:pPr>
            <w:r>
              <w:rPr>
                <w:rFonts w:ascii="Arial" w:cs="Arial" w:eastAsia="Arial" w:hAnsi="Arial"/>
                <w:sz w:val="16"/>
                <w:szCs w:val="16"/>
                <w:color w:val="auto"/>
              </w:rPr>
              <w:t>16</w:t>
            </w:r>
          </w:p>
        </w:tc>
      </w:tr>
      <w:tr>
        <w:trPr>
          <w:trHeight w:val="194"/>
        </w:trPr>
        <w:tc>
          <w:tcPr>
            <w:tcW w:w="20" w:type="dxa"/>
            <w:vAlign w:val="bottom"/>
          </w:tcPr>
          <w:p>
            <w:pPr>
              <w:spacing w:after="0"/>
              <w:rPr>
                <w:sz w:val="16"/>
                <w:szCs w:val="16"/>
                <w:color w:val="auto"/>
              </w:rPr>
            </w:pPr>
          </w:p>
        </w:tc>
        <w:tc>
          <w:tcPr>
            <w:tcW w:w="5880" w:type="dxa"/>
            <w:vAlign w:val="bottom"/>
          </w:tcPr>
          <w:p>
            <w:pPr>
              <w:ind w:left="160"/>
              <w:spacing w:after="0"/>
              <w:rPr>
                <w:sz w:val="20"/>
                <w:szCs w:val="20"/>
                <w:color w:val="auto"/>
              </w:rPr>
            </w:pPr>
            <w:r>
              <w:rPr>
                <w:rFonts w:ascii="Arial" w:cs="Arial" w:eastAsia="Arial" w:hAnsi="Arial"/>
                <w:sz w:val="16"/>
                <w:szCs w:val="16"/>
                <w:color w:val="auto"/>
              </w:rPr>
              <w:t>Sempra LNG</w:t>
            </w:r>
          </w:p>
        </w:tc>
        <w:tc>
          <w:tcPr>
            <w:tcW w:w="104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w:t>
            </w:r>
          </w:p>
        </w:tc>
        <w:tc>
          <w:tcPr>
            <w:tcW w:w="94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78</w:t>
            </w:r>
          </w:p>
        </w:tc>
        <w:tc>
          <w:tcPr>
            <w:tcW w:w="2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30</w:t>
            </w:r>
          </w:p>
        </w:tc>
        <w:tc>
          <w:tcPr>
            <w:tcW w:w="3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145</w:t>
            </w:r>
          </w:p>
        </w:tc>
      </w:tr>
      <w:tr>
        <w:trPr>
          <w:trHeight w:val="195"/>
        </w:trPr>
        <w:tc>
          <w:tcPr>
            <w:tcW w:w="20" w:type="dxa"/>
            <w:vAlign w:val="bottom"/>
          </w:tcPr>
          <w:p>
            <w:pPr>
              <w:spacing w:after="0"/>
              <w:rPr>
                <w:sz w:val="16"/>
                <w:szCs w:val="16"/>
                <w:color w:val="auto"/>
              </w:rPr>
            </w:pPr>
          </w:p>
        </w:tc>
        <w:tc>
          <w:tcPr>
            <w:tcW w:w="5880" w:type="dxa"/>
            <w:vAlign w:val="bottom"/>
          </w:tcPr>
          <w:p>
            <w:pPr>
              <w:ind w:left="340"/>
              <w:spacing w:after="0"/>
              <w:rPr>
                <w:sz w:val="20"/>
                <w:szCs w:val="20"/>
                <w:color w:val="auto"/>
              </w:rPr>
            </w:pPr>
            <w:r>
              <w:rPr>
                <w:rFonts w:ascii="Arial" w:cs="Arial" w:eastAsia="Arial" w:hAnsi="Arial"/>
                <w:sz w:val="16"/>
                <w:szCs w:val="16"/>
                <w:color w:val="auto"/>
              </w:rPr>
              <w:t>Total cost of natural gas</w:t>
            </w:r>
          </w:p>
        </w:tc>
        <w:tc>
          <w:tcPr>
            <w:tcW w:w="1040" w:type="dxa"/>
            <w:vAlign w:val="bottom"/>
          </w:tcPr>
          <w:p>
            <w:pPr>
              <w:jc w:val="right"/>
              <w:ind w:right="722"/>
              <w:spacing w:after="0"/>
              <w:rPr>
                <w:sz w:val="20"/>
                <w:szCs w:val="20"/>
                <w:color w:val="auto"/>
              </w:rPr>
            </w:pPr>
            <w:r>
              <w:rPr>
                <w:rFonts w:ascii="Arial" w:cs="Arial" w:eastAsia="Arial" w:hAnsi="Arial"/>
                <w:sz w:val="16"/>
                <w:szCs w:val="16"/>
                <w:color w:val="auto"/>
              </w:rPr>
              <w:t>$</w:t>
            </w:r>
          </w:p>
        </w:tc>
        <w:tc>
          <w:tcPr>
            <w:tcW w:w="400" w:type="dxa"/>
            <w:vAlign w:val="bottom"/>
          </w:tcPr>
          <w:p>
            <w:pPr>
              <w:jc w:val="right"/>
              <w:ind w:right="39"/>
              <w:spacing w:after="0"/>
              <w:rPr>
                <w:sz w:val="20"/>
                <w:szCs w:val="20"/>
                <w:color w:val="auto"/>
              </w:rPr>
            </w:pPr>
            <w:r>
              <w:rPr>
                <w:rFonts w:ascii="Arial" w:cs="Arial" w:eastAsia="Arial" w:hAnsi="Arial"/>
                <w:sz w:val="16"/>
                <w:szCs w:val="16"/>
                <w:color w:val="auto"/>
              </w:rPr>
              <w:t>13</w:t>
            </w:r>
          </w:p>
        </w:tc>
        <w:tc>
          <w:tcPr>
            <w:tcW w:w="940" w:type="dxa"/>
            <w:vAlign w:val="bottom"/>
          </w:tcPr>
          <w:p>
            <w:pPr>
              <w:jc w:val="right"/>
              <w:ind w:right="701"/>
              <w:spacing w:after="0"/>
              <w:rPr>
                <w:sz w:val="20"/>
                <w:szCs w:val="20"/>
                <w:color w:val="auto"/>
              </w:rPr>
            </w:pPr>
            <w:r>
              <w:rPr>
                <w:rFonts w:ascii="Arial" w:cs="Arial" w:eastAsia="Arial" w:hAnsi="Arial"/>
                <w:sz w:val="16"/>
                <w:szCs w:val="16"/>
                <w:color w:val="auto"/>
              </w:rPr>
              <w:t>$</w:t>
            </w:r>
          </w:p>
        </w:tc>
        <w:tc>
          <w:tcPr>
            <w:tcW w:w="420" w:type="dxa"/>
            <w:vAlign w:val="bottom"/>
          </w:tcPr>
          <w:p>
            <w:pPr>
              <w:jc w:val="right"/>
              <w:ind w:right="19"/>
              <w:spacing w:after="0"/>
              <w:rPr>
                <w:sz w:val="20"/>
                <w:szCs w:val="20"/>
                <w:color w:val="auto"/>
              </w:rPr>
            </w:pPr>
            <w:r>
              <w:rPr>
                <w:rFonts w:ascii="Arial" w:cs="Arial" w:eastAsia="Arial" w:hAnsi="Arial"/>
                <w:sz w:val="16"/>
                <w:szCs w:val="16"/>
                <w:color w:val="auto"/>
              </w:rPr>
              <w:t>108</w:t>
            </w:r>
          </w:p>
        </w:tc>
        <w:tc>
          <w:tcPr>
            <w:tcW w:w="2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74</w:t>
            </w:r>
          </w:p>
        </w:tc>
        <w:tc>
          <w:tcPr>
            <w:tcW w:w="32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213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2466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ind w:left="500" w:right="320" w:hanging="337"/>
        <w:spacing w:after="0" w:line="251" w:lineRule="auto"/>
        <w:tabs>
          <w:tab w:leader="none" w:pos="500" w:val="left"/>
        </w:tabs>
        <w:numPr>
          <w:ilvl w:val="0"/>
          <w:numId w:val="13"/>
        </w:numPr>
        <w:rPr>
          <w:rFonts w:ascii="Arial" w:cs="Arial" w:eastAsia="Arial" w:hAnsi="Arial"/>
          <w:sz w:val="14"/>
          <w:szCs w:val="14"/>
          <w:i w:val="1"/>
          <w:iCs w:val="1"/>
          <w:color w:val="auto"/>
        </w:rPr>
      </w:pPr>
      <w:r>
        <w:rPr>
          <w:rFonts w:ascii="Arial" w:cs="Arial" w:eastAsia="Arial" w:hAnsi="Arial"/>
          <w:sz w:val="14"/>
          <w:szCs w:val="14"/>
          <w:i w:val="1"/>
          <w:iCs w:val="1"/>
          <w:color w:val="auto"/>
        </w:rPr>
        <w:t>With the exception of Sempra Pipelines &amp; Storage, whose contract with RBS Sempra Commodities expired in July 2011, amounts only include activities prior to May 1, 2011, the date by which substantially all the contracts with RBS Sempra Commodities were assigned to buyers of the joint venture businesses.</w:t>
      </w:r>
    </w:p>
    <w:p>
      <w:pPr>
        <w:ind w:left="500" w:hanging="337"/>
        <w:spacing w:after="0"/>
        <w:tabs>
          <w:tab w:leader="none" w:pos="500" w:val="left"/>
        </w:tabs>
        <w:numPr>
          <w:ilvl w:val="0"/>
          <w:numId w:val="13"/>
        </w:numPr>
        <w:rPr>
          <w:rFonts w:ascii="Arial" w:cs="Arial" w:eastAsia="Arial" w:hAnsi="Arial"/>
          <w:sz w:val="14"/>
          <w:szCs w:val="14"/>
          <w:i w:val="1"/>
          <w:iCs w:val="1"/>
          <w:color w:val="auto"/>
        </w:rPr>
      </w:pPr>
      <w:r>
        <w:rPr>
          <w:rFonts w:ascii="Arial" w:cs="Arial" w:eastAsia="Arial" w:hAnsi="Arial"/>
          <w:sz w:val="14"/>
          <w:szCs w:val="14"/>
          <w:i w:val="1"/>
          <w:iCs w:val="1"/>
          <w:color w:val="auto"/>
        </w:rPr>
        <w:t>Includes amounts in 2010 for Sempra Rockies Marketing, previously reported in our former Sempra Commodities segment as we discuss in Note 11.</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7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tcPr>
          <w:p>
            <w:pPr>
              <w:jc w:val="right"/>
              <w:ind w:right="160"/>
              <w:spacing w:after="0"/>
              <w:rPr>
                <w:sz w:val="20"/>
                <w:szCs w:val="20"/>
                <w:color w:val="auto"/>
              </w:rPr>
            </w:pPr>
            <w:r>
              <w:rPr>
                <w:rFonts w:ascii="Arial" w:cs="Arial" w:eastAsia="Arial" w:hAnsi="Arial"/>
                <w:sz w:val="14"/>
                <w:szCs w:val="14"/>
                <w:color w:val="auto"/>
              </w:rPr>
              <w:t>December 31,</w:t>
            </w:r>
          </w:p>
        </w:tc>
      </w:tr>
      <w:tr>
        <w:trPr>
          <w:trHeight w:val="168"/>
        </w:trPr>
        <w:tc>
          <w:tcPr>
            <w:tcW w:w="72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460"/>
              <w:spacing w:after="0"/>
              <w:rPr>
                <w:sz w:val="20"/>
                <w:szCs w:val="20"/>
                <w:color w:val="auto"/>
              </w:rPr>
            </w:pPr>
            <w:r>
              <w:rPr>
                <w:rFonts w:ascii="Arial" w:cs="Arial" w:eastAsia="Arial" w:hAnsi="Arial"/>
                <w:sz w:val="14"/>
                <w:szCs w:val="14"/>
                <w:color w:val="auto"/>
              </w:rPr>
              <w:t>2010</w:t>
            </w:r>
          </w:p>
        </w:tc>
      </w:tr>
      <w:tr>
        <w:trPr>
          <w:trHeight w:val="210"/>
        </w:trPr>
        <w:tc>
          <w:tcPr>
            <w:tcW w:w="7280" w:type="dxa"/>
            <w:vAlign w:val="bottom"/>
          </w:tcPr>
          <w:p>
            <w:pPr>
              <w:spacing w:after="0"/>
              <w:rPr>
                <w:sz w:val="20"/>
                <w:szCs w:val="20"/>
                <w:color w:val="auto"/>
              </w:rPr>
            </w:pPr>
            <w:r>
              <w:rPr>
                <w:rFonts w:ascii="Arial" w:cs="Arial" w:eastAsia="Arial" w:hAnsi="Arial"/>
                <w:sz w:val="16"/>
                <w:szCs w:val="16"/>
                <w:color w:val="auto"/>
              </w:rPr>
              <w:t>Fixed-price contracts and other derivatives - Net Asset (Liability):</w:t>
            </w: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183"/>
        </w:trPr>
        <w:tc>
          <w:tcPr>
            <w:tcW w:w="7280" w:type="dxa"/>
            <w:vAlign w:val="bottom"/>
          </w:tcPr>
          <w:p>
            <w:pPr>
              <w:ind w:left="180"/>
              <w:spacing w:after="0"/>
              <w:rPr>
                <w:sz w:val="20"/>
                <w:szCs w:val="20"/>
                <w:color w:val="auto"/>
              </w:rPr>
            </w:pPr>
            <w:r>
              <w:rPr>
                <w:rFonts w:ascii="Arial" w:cs="Arial" w:eastAsia="Arial" w:hAnsi="Arial"/>
                <w:sz w:val="16"/>
                <w:szCs w:val="16"/>
                <w:color w:val="auto"/>
              </w:rPr>
              <w:t>Sempra Generation</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17</w:t>
            </w:r>
          </w:p>
        </w:tc>
      </w:tr>
      <w:tr>
        <w:trPr>
          <w:trHeight w:val="194"/>
        </w:trPr>
        <w:tc>
          <w:tcPr>
            <w:tcW w:w="7280" w:type="dxa"/>
            <w:vAlign w:val="bottom"/>
          </w:tcPr>
          <w:p>
            <w:pPr>
              <w:ind w:left="180"/>
              <w:spacing w:after="0"/>
              <w:rPr>
                <w:sz w:val="20"/>
                <w:szCs w:val="20"/>
                <w:color w:val="auto"/>
              </w:rPr>
            </w:pPr>
            <w:r>
              <w:rPr>
                <w:rFonts w:ascii="Arial" w:cs="Arial" w:eastAsia="Arial" w:hAnsi="Arial"/>
                <w:sz w:val="16"/>
                <w:szCs w:val="16"/>
                <w:color w:val="auto"/>
              </w:rPr>
              <w:t>Sempra LNG</w:t>
            </w:r>
          </w:p>
        </w:tc>
        <w:tc>
          <w:tcPr>
            <w:tcW w:w="2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w:t>
            </w:r>
          </w:p>
        </w:tc>
      </w:tr>
      <w:tr>
        <w:trPr>
          <w:trHeight w:val="183"/>
        </w:trPr>
        <w:tc>
          <w:tcPr>
            <w:tcW w:w="7280" w:type="dxa"/>
            <w:vAlign w:val="bottom"/>
          </w:tcPr>
          <w:p>
            <w:pPr>
              <w:ind w:left="360"/>
              <w:spacing w:after="0" w:line="176" w:lineRule="exact"/>
              <w:rPr>
                <w:sz w:val="20"/>
                <w:szCs w:val="20"/>
                <w:color w:val="auto"/>
              </w:rPr>
            </w:pPr>
            <w:r>
              <w:rPr>
                <w:rFonts w:ascii="Arial" w:cs="Arial" w:eastAsia="Arial" w:hAnsi="Arial"/>
                <w:sz w:val="16"/>
                <w:szCs w:val="16"/>
                <w:color w:val="auto"/>
              </w:rPr>
              <w:t>Total</w:t>
            </w:r>
          </w:p>
        </w:tc>
        <w:tc>
          <w:tcPr>
            <w:tcW w:w="22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6"/>
                <w:szCs w:val="16"/>
                <w:color w:val="auto"/>
              </w:rPr>
              <w:t>(18)</w:t>
            </w:r>
          </w:p>
        </w:tc>
      </w:tr>
      <w:tr>
        <w:trPr>
          <w:trHeight w:val="413"/>
        </w:trPr>
        <w:tc>
          <w:tcPr>
            <w:tcW w:w="7280" w:type="dxa"/>
            <w:vAlign w:val="bottom"/>
          </w:tcPr>
          <w:p>
            <w:pPr>
              <w:spacing w:after="0"/>
              <w:rPr>
                <w:sz w:val="20"/>
                <w:szCs w:val="20"/>
                <w:color w:val="auto"/>
              </w:rPr>
            </w:pPr>
            <w:r>
              <w:rPr>
                <w:rFonts w:ascii="Arial" w:cs="Arial" w:eastAsia="Arial" w:hAnsi="Arial"/>
                <w:sz w:val="16"/>
                <w:szCs w:val="16"/>
                <w:color w:val="auto"/>
              </w:rPr>
              <w:t>Due to unconsolidated affiliates:</w:t>
            </w: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03"/>
        </w:trPr>
        <w:tc>
          <w:tcPr>
            <w:tcW w:w="7280" w:type="dxa"/>
            <w:vAlign w:val="bottom"/>
          </w:tcPr>
          <w:p>
            <w:pPr>
              <w:ind w:left="180"/>
              <w:spacing w:after="0"/>
              <w:rPr>
                <w:sz w:val="20"/>
                <w:szCs w:val="20"/>
                <w:color w:val="auto"/>
              </w:rPr>
            </w:pPr>
            <w:r>
              <w:rPr>
                <w:rFonts w:ascii="Arial" w:cs="Arial" w:eastAsia="Arial" w:hAnsi="Arial"/>
                <w:sz w:val="16"/>
                <w:szCs w:val="16"/>
                <w:color w:val="auto"/>
              </w:rPr>
              <w:t>Sempra Generation</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11</w:t>
            </w:r>
          </w:p>
        </w:tc>
      </w:tr>
      <w:tr>
        <w:trPr>
          <w:trHeight w:val="183"/>
        </w:trPr>
        <w:tc>
          <w:tcPr>
            <w:tcW w:w="7280" w:type="dxa"/>
            <w:vAlign w:val="bottom"/>
          </w:tcPr>
          <w:p>
            <w:pPr>
              <w:ind w:left="180"/>
              <w:spacing w:after="0"/>
              <w:rPr>
                <w:sz w:val="20"/>
                <w:szCs w:val="20"/>
                <w:color w:val="auto"/>
              </w:rPr>
            </w:pPr>
            <w:r>
              <w:rPr>
                <w:rFonts w:ascii="Arial" w:cs="Arial" w:eastAsia="Arial" w:hAnsi="Arial"/>
                <w:sz w:val="16"/>
                <w:szCs w:val="16"/>
                <w:color w:val="auto"/>
              </w:rPr>
              <w:t>Sempra LNG</w:t>
            </w:r>
          </w:p>
        </w:tc>
        <w:tc>
          <w:tcPr>
            <w:tcW w:w="22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13</w:t>
            </w:r>
          </w:p>
        </w:tc>
      </w:tr>
      <w:tr>
        <w:trPr>
          <w:trHeight w:val="194"/>
        </w:trPr>
        <w:tc>
          <w:tcPr>
            <w:tcW w:w="7280" w:type="dxa"/>
            <w:vAlign w:val="bottom"/>
          </w:tcPr>
          <w:p>
            <w:pPr>
              <w:ind w:left="180"/>
              <w:spacing w:after="0"/>
              <w:rPr>
                <w:sz w:val="20"/>
                <w:szCs w:val="20"/>
                <w:color w:val="auto"/>
              </w:rPr>
            </w:pPr>
            <w:r>
              <w:rPr>
                <w:rFonts w:ascii="Arial" w:cs="Arial" w:eastAsia="Arial" w:hAnsi="Arial"/>
                <w:sz w:val="16"/>
                <w:szCs w:val="16"/>
                <w:color w:val="auto"/>
              </w:rPr>
              <w:t>Parent and other</w:t>
            </w:r>
          </w:p>
        </w:tc>
        <w:tc>
          <w:tcPr>
            <w:tcW w:w="2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w:t>
            </w:r>
          </w:p>
        </w:tc>
      </w:tr>
      <w:tr>
        <w:trPr>
          <w:trHeight w:val="183"/>
        </w:trPr>
        <w:tc>
          <w:tcPr>
            <w:tcW w:w="7280" w:type="dxa"/>
            <w:vAlign w:val="bottom"/>
          </w:tcPr>
          <w:p>
            <w:pPr>
              <w:ind w:left="360"/>
              <w:spacing w:after="0" w:line="176" w:lineRule="exact"/>
              <w:rPr>
                <w:sz w:val="20"/>
                <w:szCs w:val="20"/>
                <w:color w:val="auto"/>
              </w:rPr>
            </w:pPr>
            <w:r>
              <w:rPr>
                <w:rFonts w:ascii="Arial" w:cs="Arial" w:eastAsia="Arial" w:hAnsi="Arial"/>
                <w:sz w:val="16"/>
                <w:szCs w:val="16"/>
                <w:color w:val="auto"/>
              </w:rPr>
              <w:t>Total</w:t>
            </w:r>
          </w:p>
        </w:tc>
        <w:tc>
          <w:tcPr>
            <w:tcW w:w="22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6"/>
                <w:szCs w:val="16"/>
                <w:color w:val="auto"/>
              </w:rPr>
              <w:t>35</w:t>
            </w:r>
          </w:p>
        </w:tc>
      </w:tr>
      <w:tr>
        <w:trPr>
          <w:trHeight w:val="413"/>
        </w:trPr>
        <w:tc>
          <w:tcPr>
            <w:tcW w:w="7280" w:type="dxa"/>
            <w:vAlign w:val="bottom"/>
          </w:tcPr>
          <w:p>
            <w:pPr>
              <w:spacing w:after="0"/>
              <w:rPr>
                <w:sz w:val="20"/>
                <w:szCs w:val="20"/>
                <w:color w:val="auto"/>
              </w:rPr>
            </w:pPr>
            <w:r>
              <w:rPr>
                <w:rFonts w:ascii="Arial" w:cs="Arial" w:eastAsia="Arial" w:hAnsi="Arial"/>
                <w:sz w:val="16"/>
                <w:szCs w:val="16"/>
                <w:color w:val="auto"/>
              </w:rPr>
              <w:t>Due from unconsolidated affiliates:</w:t>
            </w: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03"/>
        </w:trPr>
        <w:tc>
          <w:tcPr>
            <w:tcW w:w="7280" w:type="dxa"/>
            <w:vAlign w:val="bottom"/>
          </w:tcPr>
          <w:p>
            <w:pPr>
              <w:ind w:left="180"/>
              <w:spacing w:after="0"/>
              <w:rPr>
                <w:sz w:val="20"/>
                <w:szCs w:val="20"/>
                <w:color w:val="auto"/>
              </w:rPr>
            </w:pPr>
            <w:r>
              <w:rPr>
                <w:rFonts w:ascii="Arial" w:cs="Arial" w:eastAsia="Arial" w:hAnsi="Arial"/>
                <w:sz w:val="16"/>
                <w:szCs w:val="16"/>
                <w:color w:val="auto"/>
              </w:rPr>
              <w:t>SoCalGas</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3</w:t>
            </w:r>
          </w:p>
        </w:tc>
      </w:tr>
      <w:tr>
        <w:trPr>
          <w:trHeight w:val="203"/>
        </w:trPr>
        <w:tc>
          <w:tcPr>
            <w:tcW w:w="7280" w:type="dxa"/>
            <w:vAlign w:val="bottom"/>
          </w:tcPr>
          <w:p>
            <w:pPr>
              <w:ind w:left="180"/>
              <w:spacing w:after="0"/>
              <w:rPr>
                <w:sz w:val="20"/>
                <w:szCs w:val="20"/>
                <w:color w:val="auto"/>
              </w:rPr>
            </w:pPr>
            <w:r>
              <w:rPr>
                <w:rFonts w:ascii="Arial" w:cs="Arial" w:eastAsia="Arial" w:hAnsi="Arial"/>
                <w:sz w:val="16"/>
                <w:szCs w:val="16"/>
                <w:color w:val="auto"/>
              </w:rPr>
              <w:t>Sempra Generation</w:t>
            </w:r>
          </w:p>
        </w:tc>
        <w:tc>
          <w:tcPr>
            <w:tcW w:w="22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13</w:t>
            </w:r>
          </w:p>
        </w:tc>
      </w:tr>
      <w:tr>
        <w:trPr>
          <w:trHeight w:val="183"/>
        </w:trPr>
        <w:tc>
          <w:tcPr>
            <w:tcW w:w="7280" w:type="dxa"/>
            <w:vAlign w:val="bottom"/>
          </w:tcPr>
          <w:p>
            <w:pPr>
              <w:ind w:left="180"/>
              <w:spacing w:after="0"/>
              <w:rPr>
                <w:sz w:val="20"/>
                <w:szCs w:val="20"/>
                <w:color w:val="auto"/>
              </w:rPr>
            </w:pPr>
            <w:r>
              <w:rPr>
                <w:rFonts w:ascii="Arial" w:cs="Arial" w:eastAsia="Arial" w:hAnsi="Arial"/>
                <w:sz w:val="16"/>
                <w:szCs w:val="16"/>
                <w:color w:val="auto"/>
              </w:rPr>
              <w:t>Sempra LNG</w:t>
            </w:r>
          </w:p>
        </w:tc>
        <w:tc>
          <w:tcPr>
            <w:tcW w:w="22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13</w:t>
            </w:r>
          </w:p>
        </w:tc>
      </w:tr>
      <w:tr>
        <w:trPr>
          <w:trHeight w:val="194"/>
        </w:trPr>
        <w:tc>
          <w:tcPr>
            <w:tcW w:w="7280" w:type="dxa"/>
            <w:vAlign w:val="bottom"/>
          </w:tcPr>
          <w:p>
            <w:pPr>
              <w:ind w:left="180"/>
              <w:spacing w:after="0"/>
              <w:rPr>
                <w:sz w:val="20"/>
                <w:szCs w:val="20"/>
                <w:color w:val="auto"/>
              </w:rPr>
            </w:pPr>
            <w:r>
              <w:rPr>
                <w:rFonts w:ascii="Arial" w:cs="Arial" w:eastAsia="Arial" w:hAnsi="Arial"/>
                <w:sz w:val="16"/>
                <w:szCs w:val="16"/>
                <w:color w:val="auto"/>
              </w:rPr>
              <w:t>Parent and other</w:t>
            </w:r>
          </w:p>
        </w:tc>
        <w:tc>
          <w:tcPr>
            <w:tcW w:w="2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w:t>
            </w:r>
          </w:p>
        </w:tc>
      </w:tr>
      <w:tr>
        <w:trPr>
          <w:trHeight w:val="183"/>
        </w:trPr>
        <w:tc>
          <w:tcPr>
            <w:tcW w:w="7280" w:type="dxa"/>
            <w:vAlign w:val="bottom"/>
            <w:tcBorders>
              <w:bottom w:val="single" w:sz="8" w:color="auto"/>
            </w:tcBorders>
          </w:tcPr>
          <w:p>
            <w:pPr>
              <w:ind w:left="360"/>
              <w:spacing w:after="0" w:line="176" w:lineRule="exact"/>
              <w:rPr>
                <w:sz w:val="20"/>
                <w:szCs w:val="20"/>
                <w:color w:val="auto"/>
              </w:rPr>
            </w:pPr>
            <w:r>
              <w:rPr>
                <w:rFonts w:ascii="Arial" w:cs="Arial" w:eastAsia="Arial" w:hAnsi="Arial"/>
                <w:sz w:val="16"/>
                <w:szCs w:val="16"/>
                <w:color w:val="auto"/>
              </w:rPr>
              <w:t>Total</w:t>
            </w:r>
          </w:p>
        </w:tc>
        <w:tc>
          <w:tcPr>
            <w:tcW w:w="22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6"/>
                <w:szCs w:val="16"/>
                <w:color w:val="auto"/>
              </w:rPr>
              <w:t>34</w:t>
            </w:r>
          </w:p>
        </w:tc>
      </w:tr>
    </w:tbl>
    <w:p>
      <w:pPr>
        <w:sectPr>
          <w:pgSz w:w="11900" w:h="16838" w:orient="portrait"/>
          <w:cols w:equalWidth="0" w:num="1">
            <w:col w:w="11420"/>
          </w:cols>
          <w:pgMar w:left="240" w:top="295" w:right="239" w:bottom="171" w:gutter="0" w:footer="0" w:header="0"/>
        </w:sectPr>
      </w:pPr>
    </w:p>
    <w:bookmarkStart w:id="31" w:name="page32"/>
    <w:bookmarkEnd w:id="31"/>
    <w:p>
      <w:pPr>
        <w:spacing w:after="0"/>
        <w:rPr>
          <w:sz w:val="20"/>
          <w:szCs w:val="20"/>
          <w:color w:val="auto"/>
        </w:rPr>
      </w:pPr>
      <w:r>
        <w:rPr>
          <w:rFonts w:ascii="Arial" w:cs="Arial" w:eastAsia="Arial" w:hAnsi="Arial"/>
          <w:sz w:val="18"/>
          <w:szCs w:val="18"/>
          <w:b w:val="1"/>
          <w:bCs w:val="1"/>
          <w:color w:val="auto"/>
        </w:rPr>
        <w:t>OTHER INCOME (EXPENSE), NET</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Other Income (Expense), Net on the Condensed Consolidated Statements of Operations consists of the following:</w:t>
      </w: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OTHER INCOME (EXPENSE),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-104775</wp:posOffset>
            </wp:positionV>
            <wp:extent cx="7246620" cy="22288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46620" cy="222885"/>
                    </a:xfrm>
                    <a:prstGeom prst="rect">
                      <a:avLst/>
                    </a:prstGeom>
                    <a:noFill/>
                  </pic:spPr>
                </pic:pic>
              </a:graphicData>
            </a:graphic>
          </wp:anchor>
        </w:drawing>
      </w:r>
    </w:p>
    <w:p>
      <w:pPr>
        <w:spacing w:after="0" w:line="8"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(Dollars in millions)</w:t>
      </w: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6920" w:type="dxa"/>
            <w:vAlign w:val="bottom"/>
          </w:tcPr>
          <w:p>
            <w:pPr>
              <w:spacing w:after="0"/>
              <w:rPr>
                <w:sz w:val="14"/>
                <w:szCs w:val="14"/>
                <w:color w:val="auto"/>
              </w:rPr>
            </w:pPr>
          </w:p>
        </w:tc>
        <w:tc>
          <w:tcPr>
            <w:tcW w:w="2220" w:type="dxa"/>
            <w:vAlign w:val="bottom"/>
            <w:gridSpan w:val="4"/>
          </w:tcPr>
          <w:p>
            <w:pPr>
              <w:jc w:val="right"/>
              <w:ind w:right="60"/>
              <w:spacing w:after="0"/>
              <w:rPr>
                <w:sz w:val="20"/>
                <w:szCs w:val="20"/>
                <w:color w:val="auto"/>
              </w:rPr>
            </w:pPr>
            <w:r>
              <w:rPr>
                <w:rFonts w:ascii="Arial" w:cs="Arial" w:eastAsia="Arial" w:hAnsi="Arial"/>
                <w:sz w:val="14"/>
                <w:szCs w:val="14"/>
                <w:color w:val="auto"/>
              </w:rPr>
              <w:t>Three months ended June 30,</w:t>
            </w:r>
          </w:p>
        </w:tc>
        <w:tc>
          <w:tcPr>
            <w:tcW w:w="140" w:type="dxa"/>
            <w:vAlign w:val="bottom"/>
          </w:tcPr>
          <w:p>
            <w:pPr>
              <w:spacing w:after="0"/>
              <w:rPr>
                <w:sz w:val="14"/>
                <w:szCs w:val="14"/>
                <w:color w:val="auto"/>
              </w:rPr>
            </w:pPr>
          </w:p>
        </w:tc>
        <w:tc>
          <w:tcPr>
            <w:tcW w:w="1280" w:type="dxa"/>
            <w:vAlign w:val="bottom"/>
            <w:gridSpan w:val="2"/>
          </w:tcPr>
          <w:p>
            <w:pPr>
              <w:jc w:val="right"/>
              <w:spacing w:after="0"/>
              <w:rPr>
                <w:sz w:val="20"/>
                <w:szCs w:val="20"/>
                <w:color w:val="auto"/>
              </w:rPr>
            </w:pPr>
            <w:r>
              <w:rPr>
                <w:rFonts w:ascii="Arial" w:cs="Arial" w:eastAsia="Arial" w:hAnsi="Arial"/>
                <w:sz w:val="14"/>
                <w:szCs w:val="14"/>
                <w:color w:val="auto"/>
              </w:rPr>
              <w:t>Six months ended</w:t>
            </w:r>
          </w:p>
        </w:tc>
        <w:tc>
          <w:tcPr>
            <w:tcW w:w="840" w:type="dxa"/>
            <w:vAlign w:val="bottom"/>
          </w:tcPr>
          <w:p>
            <w:pPr>
              <w:jc w:val="right"/>
              <w:ind w:right="100"/>
              <w:spacing w:after="0"/>
              <w:rPr>
                <w:sz w:val="20"/>
                <w:szCs w:val="20"/>
                <w:color w:val="auto"/>
              </w:rPr>
            </w:pPr>
            <w:r>
              <w:rPr>
                <w:rFonts w:ascii="Arial" w:cs="Arial" w:eastAsia="Arial" w:hAnsi="Arial"/>
                <w:sz w:val="14"/>
                <w:szCs w:val="14"/>
                <w:color w:val="auto"/>
              </w:rPr>
              <w:t>June 30,</w:t>
            </w:r>
          </w:p>
        </w:tc>
      </w:tr>
      <w:tr>
        <w:trPr>
          <w:trHeight w:val="168"/>
        </w:trPr>
        <w:tc>
          <w:tcPr>
            <w:tcW w:w="20" w:type="dxa"/>
            <w:vAlign w:val="bottom"/>
          </w:tcPr>
          <w:p>
            <w:pPr>
              <w:spacing w:after="0"/>
              <w:rPr>
                <w:sz w:val="14"/>
                <w:szCs w:val="14"/>
                <w:color w:val="auto"/>
              </w:rPr>
            </w:pPr>
          </w:p>
        </w:tc>
        <w:tc>
          <w:tcPr>
            <w:tcW w:w="69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21"/>
              <w:spacing w:after="0"/>
              <w:rPr>
                <w:sz w:val="20"/>
                <w:szCs w:val="20"/>
                <w:color w:val="auto"/>
              </w:rPr>
            </w:pPr>
            <w:r>
              <w:rPr>
                <w:rFonts w:ascii="Arial" w:cs="Arial" w:eastAsia="Arial" w:hAnsi="Arial"/>
                <w:sz w:val="14"/>
                <w:szCs w:val="14"/>
                <w:color w:val="auto"/>
              </w:rPr>
              <w:t>2011</w:t>
            </w:r>
          </w:p>
        </w:tc>
        <w:tc>
          <w:tcPr>
            <w:tcW w:w="3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320"/>
              <w:spacing w:after="0"/>
              <w:rPr>
                <w:sz w:val="20"/>
                <w:szCs w:val="20"/>
                <w:color w:val="auto"/>
              </w:rPr>
            </w:pPr>
            <w:r>
              <w:rPr>
                <w:rFonts w:ascii="Arial" w:cs="Arial" w:eastAsia="Arial" w:hAnsi="Arial"/>
                <w:sz w:val="14"/>
                <w:szCs w:val="14"/>
                <w:color w:val="auto"/>
              </w:rPr>
              <w:t>2010</w:t>
            </w:r>
          </w:p>
        </w:tc>
        <w:tc>
          <w:tcPr>
            <w:tcW w:w="14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340"/>
              <w:spacing w:after="0"/>
              <w:rPr>
                <w:sz w:val="20"/>
                <w:szCs w:val="20"/>
                <w:color w:val="auto"/>
              </w:rPr>
            </w:pPr>
            <w:r>
              <w:rPr>
                <w:rFonts w:ascii="Arial" w:cs="Arial" w:eastAsia="Arial" w:hAnsi="Arial"/>
                <w:sz w:val="14"/>
                <w:szCs w:val="14"/>
                <w:color w:val="auto"/>
              </w:rPr>
              <w:t>2011</w:t>
            </w:r>
          </w:p>
        </w:tc>
        <w:tc>
          <w:tcPr>
            <w:tcW w:w="3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340"/>
              <w:spacing w:after="0"/>
              <w:rPr>
                <w:sz w:val="20"/>
                <w:szCs w:val="20"/>
                <w:color w:val="auto"/>
              </w:rPr>
            </w:pPr>
            <w:r>
              <w:rPr>
                <w:rFonts w:ascii="Arial" w:cs="Arial" w:eastAsia="Arial" w:hAnsi="Arial"/>
                <w:sz w:val="14"/>
                <w:szCs w:val="14"/>
                <w:color w:val="auto"/>
              </w:rPr>
              <w:t>2010</w:t>
            </w:r>
          </w:p>
        </w:tc>
      </w:tr>
      <w:tr>
        <w:trPr>
          <w:trHeight w:val="164"/>
        </w:trPr>
        <w:tc>
          <w:tcPr>
            <w:tcW w:w="20" w:type="dxa"/>
            <w:vAlign w:val="bottom"/>
          </w:tcPr>
          <w:p>
            <w:pPr>
              <w:spacing w:after="0"/>
              <w:rPr>
                <w:sz w:val="14"/>
                <w:szCs w:val="14"/>
                <w:color w:val="auto"/>
              </w:rPr>
            </w:pPr>
          </w:p>
        </w:tc>
        <w:tc>
          <w:tcPr>
            <w:tcW w:w="6920" w:type="dxa"/>
            <w:vAlign w:val="bottom"/>
          </w:tcPr>
          <w:p>
            <w:pPr>
              <w:spacing w:after="0" w:line="164" w:lineRule="exact"/>
              <w:rPr>
                <w:sz w:val="20"/>
                <w:szCs w:val="20"/>
                <w:color w:val="auto"/>
              </w:rPr>
            </w:pPr>
            <w:r>
              <w:rPr>
                <w:rFonts w:ascii="Arial" w:cs="Arial" w:eastAsia="Arial" w:hAnsi="Arial"/>
                <w:sz w:val="16"/>
                <w:szCs w:val="16"/>
                <w:b w:val="1"/>
                <w:bCs w:val="1"/>
                <w:color w:val="auto"/>
              </w:rPr>
              <w:t>Sempra Energy Consolidated:</w:t>
            </w:r>
          </w:p>
        </w:tc>
        <w:tc>
          <w:tcPr>
            <w:tcW w:w="8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76"/>
        </w:trPr>
        <w:tc>
          <w:tcPr>
            <w:tcW w:w="6940" w:type="dxa"/>
            <w:vAlign w:val="bottom"/>
            <w:gridSpan w:val="2"/>
          </w:tcPr>
          <w:p>
            <w:pPr>
              <w:spacing w:after="0" w:line="176" w:lineRule="exact"/>
              <w:rPr>
                <w:sz w:val="20"/>
                <w:szCs w:val="20"/>
                <w:color w:val="auto"/>
              </w:rPr>
            </w:pPr>
            <w:r>
              <w:rPr>
                <w:rFonts w:ascii="Arial" w:cs="Arial" w:eastAsia="Arial" w:hAnsi="Arial"/>
                <w:sz w:val="16"/>
                <w:szCs w:val="16"/>
                <w:color w:val="auto"/>
              </w:rPr>
              <w:t>Allowance for equity funds used during construction</w:t>
            </w:r>
          </w:p>
        </w:tc>
        <w:tc>
          <w:tcPr>
            <w:tcW w:w="800" w:type="dxa"/>
            <w:vAlign w:val="bottom"/>
          </w:tcPr>
          <w:p>
            <w:pPr>
              <w:jc w:val="right"/>
              <w:ind w:right="621"/>
              <w:spacing w:after="0" w:line="176" w:lineRule="exact"/>
              <w:rPr>
                <w:sz w:val="20"/>
                <w:szCs w:val="20"/>
                <w:color w:val="auto"/>
              </w:rPr>
            </w:pPr>
            <w:r>
              <w:rPr>
                <w:rFonts w:ascii="Arial" w:cs="Arial" w:eastAsia="Arial" w:hAnsi="Arial"/>
                <w:sz w:val="16"/>
                <w:szCs w:val="16"/>
                <w:color w:val="auto"/>
                <w:w w:val="89"/>
              </w:rPr>
              <w:t>$</w:t>
            </w:r>
          </w:p>
        </w:tc>
        <w:tc>
          <w:tcPr>
            <w:tcW w:w="320" w:type="dxa"/>
            <w:vAlign w:val="bottom"/>
          </w:tcPr>
          <w:p>
            <w:pPr>
              <w:jc w:val="right"/>
              <w:spacing w:after="0" w:line="176" w:lineRule="exact"/>
              <w:rPr>
                <w:sz w:val="20"/>
                <w:szCs w:val="20"/>
                <w:color w:val="auto"/>
              </w:rPr>
            </w:pPr>
            <w:r>
              <w:rPr>
                <w:rFonts w:ascii="Arial" w:cs="Arial" w:eastAsia="Arial" w:hAnsi="Arial"/>
                <w:sz w:val="16"/>
                <w:szCs w:val="16"/>
                <w:color w:val="auto"/>
              </w:rPr>
              <w:t>22</w:t>
            </w:r>
          </w:p>
        </w:tc>
        <w:tc>
          <w:tcPr>
            <w:tcW w:w="220" w:type="dxa"/>
            <w:vAlign w:val="bottom"/>
          </w:tcPr>
          <w:p>
            <w:pPr>
              <w:jc w:val="right"/>
              <w:ind w:right="64"/>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line="176" w:lineRule="exact"/>
              <w:rPr>
                <w:sz w:val="20"/>
                <w:szCs w:val="20"/>
                <w:color w:val="auto"/>
              </w:rPr>
            </w:pPr>
            <w:r>
              <w:rPr>
                <w:rFonts w:ascii="Arial" w:cs="Arial" w:eastAsia="Arial" w:hAnsi="Arial"/>
                <w:sz w:val="16"/>
                <w:szCs w:val="16"/>
                <w:color w:val="auto"/>
              </w:rPr>
              <w:t>14</w:t>
            </w:r>
          </w:p>
        </w:tc>
        <w:tc>
          <w:tcPr>
            <w:tcW w:w="140" w:type="dxa"/>
            <w:vAlign w:val="bottom"/>
          </w:tcPr>
          <w:p>
            <w:pPr>
              <w:jc w:val="right"/>
              <w:spacing w:after="0" w:line="176" w:lineRule="exact"/>
              <w:rPr>
                <w:sz w:val="20"/>
                <w:szCs w:val="20"/>
                <w:color w:val="auto"/>
              </w:rPr>
            </w:pPr>
            <w:r>
              <w:rPr>
                <w:rFonts w:ascii="Arial" w:cs="Arial" w:eastAsia="Arial" w:hAnsi="Arial"/>
                <w:sz w:val="16"/>
                <w:szCs w:val="16"/>
                <w:color w:val="auto"/>
                <w:w w:val="89"/>
              </w:rPr>
              <w:t>$</w:t>
            </w:r>
          </w:p>
        </w:tc>
        <w:tc>
          <w:tcPr>
            <w:tcW w:w="980" w:type="dxa"/>
            <w:vAlign w:val="bottom"/>
          </w:tcPr>
          <w:p>
            <w:pPr>
              <w:jc w:val="right"/>
              <w:spacing w:after="0" w:line="176" w:lineRule="exact"/>
              <w:rPr>
                <w:sz w:val="20"/>
                <w:szCs w:val="20"/>
                <w:color w:val="auto"/>
              </w:rPr>
            </w:pPr>
            <w:r>
              <w:rPr>
                <w:rFonts w:ascii="Arial" w:cs="Arial" w:eastAsia="Arial" w:hAnsi="Arial"/>
                <w:sz w:val="16"/>
                <w:szCs w:val="16"/>
                <w:color w:val="auto"/>
              </w:rPr>
              <w:t>41</w:t>
            </w:r>
          </w:p>
        </w:tc>
        <w:tc>
          <w:tcPr>
            <w:tcW w:w="300" w:type="dxa"/>
            <w:vAlign w:val="bottom"/>
          </w:tcPr>
          <w:p>
            <w:pPr>
              <w:jc w:val="right"/>
              <w:ind w:right="119"/>
              <w:spacing w:after="0" w:line="176" w:lineRule="exact"/>
              <w:rPr>
                <w:sz w:val="20"/>
                <w:szCs w:val="20"/>
                <w:color w:val="auto"/>
              </w:rPr>
            </w:pPr>
            <w:r>
              <w:rPr>
                <w:rFonts w:ascii="Arial" w:cs="Arial" w:eastAsia="Arial" w:hAnsi="Arial"/>
                <w:sz w:val="16"/>
                <w:szCs w:val="16"/>
                <w:color w:val="auto"/>
                <w:w w:val="89"/>
              </w:rPr>
              <w:t>$</w:t>
            </w:r>
          </w:p>
        </w:tc>
        <w:tc>
          <w:tcPr>
            <w:tcW w:w="840" w:type="dxa"/>
            <w:vAlign w:val="bottom"/>
          </w:tcPr>
          <w:p>
            <w:pPr>
              <w:jc w:val="right"/>
              <w:spacing w:after="0" w:line="176" w:lineRule="exact"/>
              <w:rPr>
                <w:sz w:val="20"/>
                <w:szCs w:val="20"/>
                <w:color w:val="auto"/>
              </w:rPr>
            </w:pPr>
            <w:r>
              <w:rPr>
                <w:rFonts w:ascii="Arial" w:cs="Arial" w:eastAsia="Arial" w:hAnsi="Arial"/>
                <w:sz w:val="16"/>
                <w:szCs w:val="16"/>
                <w:color w:val="auto"/>
              </w:rPr>
              <w:t>27</w:t>
            </w:r>
          </w:p>
        </w:tc>
      </w:tr>
      <w:tr>
        <w:trPr>
          <w:trHeight w:val="176"/>
        </w:trPr>
        <w:tc>
          <w:tcPr>
            <w:tcW w:w="6940" w:type="dxa"/>
            <w:vAlign w:val="bottom"/>
            <w:gridSpan w:val="2"/>
          </w:tcPr>
          <w:p>
            <w:pPr>
              <w:spacing w:after="0" w:line="176" w:lineRule="exact"/>
              <w:rPr>
                <w:sz w:val="20"/>
                <w:szCs w:val="20"/>
                <w:color w:val="auto"/>
              </w:rPr>
            </w:pPr>
            <w:r>
              <w:rPr>
                <w:rFonts w:ascii="Arial" w:cs="Arial" w:eastAsia="Arial" w:hAnsi="Arial"/>
                <w:sz w:val="16"/>
                <w:szCs w:val="16"/>
                <w:color w:val="auto"/>
              </w:rPr>
              <w:t>Investment gains(1)</w:t>
            </w:r>
          </w:p>
        </w:tc>
        <w:tc>
          <w:tcPr>
            <w:tcW w:w="800" w:type="dxa"/>
            <w:vAlign w:val="bottom"/>
          </w:tcPr>
          <w:p>
            <w:pPr>
              <w:spacing w:after="0"/>
              <w:rPr>
                <w:sz w:val="15"/>
                <w:szCs w:val="15"/>
                <w:color w:val="auto"/>
              </w:rPr>
            </w:pPr>
          </w:p>
        </w:tc>
        <w:tc>
          <w:tcPr>
            <w:tcW w:w="320" w:type="dxa"/>
            <w:vAlign w:val="bottom"/>
          </w:tcPr>
          <w:p>
            <w:pPr>
              <w:jc w:val="right"/>
              <w:spacing w:after="0" w:line="176" w:lineRule="exact"/>
              <w:rPr>
                <w:sz w:val="20"/>
                <w:szCs w:val="20"/>
                <w:color w:val="auto"/>
              </w:rPr>
            </w:pPr>
            <w:r>
              <w:rPr>
                <w:rFonts w:ascii="Arial" w:cs="Arial" w:eastAsia="Arial" w:hAnsi="Arial"/>
                <w:sz w:val="16"/>
                <w:szCs w:val="16"/>
                <w:color w:val="auto"/>
              </w:rPr>
              <w:t>11</w:t>
            </w:r>
          </w:p>
        </w:tc>
        <w:tc>
          <w:tcPr>
            <w:tcW w:w="220" w:type="dxa"/>
            <w:vAlign w:val="bottom"/>
          </w:tcPr>
          <w:p>
            <w:pPr>
              <w:spacing w:after="0"/>
              <w:rPr>
                <w:sz w:val="15"/>
                <w:szCs w:val="15"/>
                <w:color w:val="auto"/>
              </w:rPr>
            </w:pPr>
          </w:p>
        </w:tc>
        <w:tc>
          <w:tcPr>
            <w:tcW w:w="880" w:type="dxa"/>
            <w:vAlign w:val="bottom"/>
          </w:tcPr>
          <w:p>
            <w:pPr>
              <w:jc w:val="right"/>
              <w:spacing w:after="0" w:line="176" w:lineRule="exact"/>
              <w:rPr>
                <w:sz w:val="20"/>
                <w:szCs w:val="20"/>
                <w:color w:val="auto"/>
              </w:rPr>
            </w:pPr>
            <w:r>
              <w:rPr>
                <w:rFonts w:ascii="Arial" w:cs="Arial" w:eastAsia="Arial" w:hAnsi="Arial"/>
                <w:sz w:val="16"/>
                <w:szCs w:val="16"/>
                <w:color w:val="auto"/>
              </w:rPr>
              <w:t>2</w:t>
            </w:r>
          </w:p>
        </w:tc>
        <w:tc>
          <w:tcPr>
            <w:tcW w:w="140" w:type="dxa"/>
            <w:vAlign w:val="bottom"/>
          </w:tcPr>
          <w:p>
            <w:pPr>
              <w:spacing w:after="0"/>
              <w:rPr>
                <w:sz w:val="15"/>
                <w:szCs w:val="15"/>
                <w:color w:val="auto"/>
              </w:rPr>
            </w:pPr>
          </w:p>
        </w:tc>
        <w:tc>
          <w:tcPr>
            <w:tcW w:w="980" w:type="dxa"/>
            <w:vAlign w:val="bottom"/>
          </w:tcPr>
          <w:p>
            <w:pPr>
              <w:jc w:val="right"/>
              <w:spacing w:after="0" w:line="176" w:lineRule="exact"/>
              <w:rPr>
                <w:sz w:val="20"/>
                <w:szCs w:val="20"/>
                <w:color w:val="auto"/>
              </w:rPr>
            </w:pPr>
            <w:r>
              <w:rPr>
                <w:rFonts w:ascii="Arial" w:cs="Arial" w:eastAsia="Arial" w:hAnsi="Arial"/>
                <w:sz w:val="16"/>
                <w:szCs w:val="16"/>
                <w:color w:val="auto"/>
              </w:rPr>
              <w:t>19</w:t>
            </w:r>
          </w:p>
        </w:tc>
        <w:tc>
          <w:tcPr>
            <w:tcW w:w="300" w:type="dxa"/>
            <w:vAlign w:val="bottom"/>
          </w:tcPr>
          <w:p>
            <w:pPr>
              <w:spacing w:after="0"/>
              <w:rPr>
                <w:sz w:val="15"/>
                <w:szCs w:val="15"/>
                <w:color w:val="auto"/>
              </w:rPr>
            </w:pPr>
          </w:p>
        </w:tc>
        <w:tc>
          <w:tcPr>
            <w:tcW w:w="840" w:type="dxa"/>
            <w:vAlign w:val="bottom"/>
          </w:tcPr>
          <w:p>
            <w:pPr>
              <w:jc w:val="right"/>
              <w:spacing w:after="0" w:line="176" w:lineRule="exact"/>
              <w:rPr>
                <w:sz w:val="20"/>
                <w:szCs w:val="20"/>
                <w:color w:val="auto"/>
              </w:rPr>
            </w:pPr>
            <w:r>
              <w:rPr>
                <w:rFonts w:ascii="Arial" w:cs="Arial" w:eastAsia="Arial" w:hAnsi="Arial"/>
                <w:sz w:val="16"/>
                <w:szCs w:val="16"/>
                <w:color w:val="auto"/>
              </w:rPr>
              <w:t>5</w:t>
            </w:r>
          </w:p>
        </w:tc>
      </w:tr>
      <w:tr>
        <w:trPr>
          <w:trHeight w:val="176"/>
        </w:trPr>
        <w:tc>
          <w:tcPr>
            <w:tcW w:w="6940" w:type="dxa"/>
            <w:vAlign w:val="bottom"/>
            <w:gridSpan w:val="2"/>
          </w:tcPr>
          <w:p>
            <w:pPr>
              <w:spacing w:after="0" w:line="176" w:lineRule="exact"/>
              <w:rPr>
                <w:sz w:val="20"/>
                <w:szCs w:val="20"/>
                <w:color w:val="auto"/>
              </w:rPr>
            </w:pPr>
            <w:r>
              <w:rPr>
                <w:rFonts w:ascii="Arial" w:cs="Arial" w:eastAsia="Arial" w:hAnsi="Arial"/>
                <w:sz w:val="16"/>
                <w:szCs w:val="16"/>
                <w:color w:val="auto"/>
              </w:rPr>
              <w:t>Gains (losses) on interest rate and foreign exchange instruments(2)</w:t>
            </w:r>
          </w:p>
        </w:tc>
        <w:tc>
          <w:tcPr>
            <w:tcW w:w="800" w:type="dxa"/>
            <w:vAlign w:val="bottom"/>
          </w:tcPr>
          <w:p>
            <w:pPr>
              <w:spacing w:after="0"/>
              <w:rPr>
                <w:sz w:val="15"/>
                <w:szCs w:val="15"/>
                <w:color w:val="auto"/>
              </w:rPr>
            </w:pPr>
          </w:p>
        </w:tc>
        <w:tc>
          <w:tcPr>
            <w:tcW w:w="320" w:type="dxa"/>
            <w:vAlign w:val="bottom"/>
          </w:tcPr>
          <w:p>
            <w:pPr>
              <w:jc w:val="right"/>
              <w:spacing w:after="0" w:line="176" w:lineRule="exact"/>
              <w:rPr>
                <w:sz w:val="20"/>
                <w:szCs w:val="20"/>
                <w:color w:val="auto"/>
              </w:rPr>
            </w:pPr>
            <w:r>
              <w:rPr>
                <w:rFonts w:ascii="Arial" w:cs="Arial" w:eastAsia="Arial" w:hAnsi="Arial"/>
                <w:sz w:val="16"/>
                <w:szCs w:val="16"/>
                <w:color w:val="auto"/>
              </w:rPr>
              <w:t>2</w:t>
            </w:r>
          </w:p>
        </w:tc>
        <w:tc>
          <w:tcPr>
            <w:tcW w:w="220" w:type="dxa"/>
            <w:vAlign w:val="bottom"/>
          </w:tcPr>
          <w:p>
            <w:pPr>
              <w:spacing w:after="0"/>
              <w:rPr>
                <w:sz w:val="15"/>
                <w:szCs w:val="15"/>
                <w:color w:val="auto"/>
              </w:rPr>
            </w:pPr>
          </w:p>
        </w:tc>
        <w:tc>
          <w:tcPr>
            <w:tcW w:w="880" w:type="dxa"/>
            <w:vAlign w:val="bottom"/>
          </w:tcPr>
          <w:p>
            <w:pPr>
              <w:jc w:val="right"/>
              <w:spacing w:after="0" w:line="176" w:lineRule="exact"/>
              <w:rPr>
                <w:sz w:val="20"/>
                <w:szCs w:val="20"/>
                <w:color w:val="auto"/>
              </w:rPr>
            </w:pPr>
            <w:r>
              <w:rPr>
                <w:rFonts w:ascii="Arial" w:cs="Arial" w:eastAsia="Arial" w:hAnsi="Arial"/>
                <w:sz w:val="16"/>
                <w:szCs w:val="16"/>
                <w:color w:val="auto"/>
              </w:rPr>
              <w:t>(14)</w:t>
            </w:r>
          </w:p>
        </w:tc>
        <w:tc>
          <w:tcPr>
            <w:tcW w:w="140" w:type="dxa"/>
            <w:vAlign w:val="bottom"/>
          </w:tcPr>
          <w:p>
            <w:pPr>
              <w:spacing w:after="0"/>
              <w:rPr>
                <w:sz w:val="15"/>
                <w:szCs w:val="15"/>
                <w:color w:val="auto"/>
              </w:rPr>
            </w:pPr>
          </w:p>
        </w:tc>
        <w:tc>
          <w:tcPr>
            <w:tcW w:w="980" w:type="dxa"/>
            <w:vAlign w:val="bottom"/>
          </w:tcPr>
          <w:p>
            <w:pPr>
              <w:jc w:val="right"/>
              <w:spacing w:after="0" w:line="176" w:lineRule="exact"/>
              <w:rPr>
                <w:sz w:val="20"/>
                <w:szCs w:val="20"/>
                <w:color w:val="auto"/>
              </w:rPr>
            </w:pPr>
            <w:r>
              <w:rPr>
                <w:rFonts w:ascii="Arial" w:cs="Arial" w:eastAsia="Arial" w:hAnsi="Arial"/>
                <w:sz w:val="16"/>
                <w:szCs w:val="16"/>
                <w:color w:val="auto"/>
              </w:rPr>
              <w:t>12</w:t>
            </w:r>
          </w:p>
        </w:tc>
        <w:tc>
          <w:tcPr>
            <w:tcW w:w="300" w:type="dxa"/>
            <w:vAlign w:val="bottom"/>
          </w:tcPr>
          <w:p>
            <w:pPr>
              <w:spacing w:after="0"/>
              <w:rPr>
                <w:sz w:val="15"/>
                <w:szCs w:val="15"/>
                <w:color w:val="auto"/>
              </w:rPr>
            </w:pPr>
          </w:p>
        </w:tc>
        <w:tc>
          <w:tcPr>
            <w:tcW w:w="840" w:type="dxa"/>
            <w:vAlign w:val="bottom"/>
          </w:tcPr>
          <w:p>
            <w:pPr>
              <w:jc w:val="right"/>
              <w:spacing w:after="0" w:line="176" w:lineRule="exact"/>
              <w:rPr>
                <w:sz w:val="20"/>
                <w:szCs w:val="20"/>
                <w:color w:val="auto"/>
              </w:rPr>
            </w:pPr>
            <w:r>
              <w:rPr>
                <w:rFonts w:ascii="Arial" w:cs="Arial" w:eastAsia="Arial" w:hAnsi="Arial"/>
                <w:sz w:val="16"/>
                <w:szCs w:val="16"/>
                <w:color w:val="auto"/>
              </w:rPr>
              <w:t>(23)</w:t>
            </w:r>
          </w:p>
        </w:tc>
      </w:tr>
      <w:tr>
        <w:trPr>
          <w:trHeight w:val="176"/>
        </w:trPr>
        <w:tc>
          <w:tcPr>
            <w:tcW w:w="6940" w:type="dxa"/>
            <w:vAlign w:val="bottom"/>
            <w:gridSpan w:val="2"/>
          </w:tcPr>
          <w:p>
            <w:pPr>
              <w:spacing w:after="0" w:line="176" w:lineRule="exact"/>
              <w:rPr>
                <w:sz w:val="20"/>
                <w:szCs w:val="20"/>
                <w:color w:val="auto"/>
              </w:rPr>
            </w:pPr>
            <w:r>
              <w:rPr>
                <w:rFonts w:ascii="Arial" w:cs="Arial" w:eastAsia="Arial" w:hAnsi="Arial"/>
                <w:sz w:val="16"/>
                <w:szCs w:val="16"/>
                <w:color w:val="auto"/>
              </w:rPr>
              <w:t>Regulatory interest, net</w:t>
            </w:r>
          </w:p>
        </w:tc>
        <w:tc>
          <w:tcPr>
            <w:tcW w:w="800" w:type="dxa"/>
            <w:vAlign w:val="bottom"/>
          </w:tcPr>
          <w:p>
            <w:pPr>
              <w:spacing w:after="0"/>
              <w:rPr>
                <w:sz w:val="15"/>
                <w:szCs w:val="15"/>
                <w:color w:val="auto"/>
              </w:rPr>
            </w:pPr>
          </w:p>
        </w:tc>
        <w:tc>
          <w:tcPr>
            <w:tcW w:w="320" w:type="dxa"/>
            <w:vAlign w:val="bottom"/>
          </w:tcPr>
          <w:p>
            <w:pPr>
              <w:jc w:val="right"/>
              <w:spacing w:after="0" w:line="176" w:lineRule="exact"/>
              <w:rPr>
                <w:sz w:val="20"/>
                <w:szCs w:val="20"/>
                <w:color w:val="auto"/>
              </w:rPr>
            </w:pPr>
            <w:r>
              <w:rPr>
                <w:rFonts w:ascii="Arial" w:cs="Arial" w:eastAsia="Arial" w:hAnsi="Arial"/>
                <w:sz w:val="16"/>
                <w:szCs w:val="16"/>
                <w:color w:val="auto"/>
              </w:rPr>
              <w:t>1</w:t>
            </w:r>
          </w:p>
        </w:tc>
        <w:tc>
          <w:tcPr>
            <w:tcW w:w="220" w:type="dxa"/>
            <w:vAlign w:val="bottom"/>
          </w:tcPr>
          <w:p>
            <w:pPr>
              <w:spacing w:after="0"/>
              <w:rPr>
                <w:sz w:val="15"/>
                <w:szCs w:val="15"/>
                <w:color w:val="auto"/>
              </w:rPr>
            </w:pPr>
          </w:p>
        </w:tc>
        <w:tc>
          <w:tcPr>
            <w:tcW w:w="880" w:type="dxa"/>
            <w:vAlign w:val="bottom"/>
          </w:tcPr>
          <w:p>
            <w:pPr>
              <w:jc w:val="right"/>
              <w:spacing w:after="0" w:line="176" w:lineRule="exact"/>
              <w:rPr>
                <w:sz w:val="20"/>
                <w:szCs w:val="20"/>
                <w:color w:val="auto"/>
              </w:rPr>
            </w:pPr>
            <w:r>
              <w:rPr>
                <w:rFonts w:ascii="Arial" w:cs="Arial" w:eastAsia="Arial" w:hAnsi="Arial"/>
                <w:sz w:val="16"/>
                <w:szCs w:val="16"/>
                <w:color w:val="auto"/>
              </w:rPr>
              <w:t>―</w:t>
            </w:r>
          </w:p>
        </w:tc>
        <w:tc>
          <w:tcPr>
            <w:tcW w:w="140" w:type="dxa"/>
            <w:vAlign w:val="bottom"/>
          </w:tcPr>
          <w:p>
            <w:pPr>
              <w:spacing w:after="0"/>
              <w:rPr>
                <w:sz w:val="15"/>
                <w:szCs w:val="15"/>
                <w:color w:val="auto"/>
              </w:rPr>
            </w:pPr>
          </w:p>
        </w:tc>
        <w:tc>
          <w:tcPr>
            <w:tcW w:w="980" w:type="dxa"/>
            <w:vAlign w:val="bottom"/>
          </w:tcPr>
          <w:p>
            <w:pPr>
              <w:jc w:val="right"/>
              <w:spacing w:after="0" w:line="176" w:lineRule="exact"/>
              <w:rPr>
                <w:sz w:val="20"/>
                <w:szCs w:val="20"/>
                <w:color w:val="auto"/>
              </w:rPr>
            </w:pPr>
            <w:r>
              <w:rPr>
                <w:rFonts w:ascii="Arial" w:cs="Arial" w:eastAsia="Arial" w:hAnsi="Arial"/>
                <w:sz w:val="16"/>
                <w:szCs w:val="16"/>
                <w:color w:val="auto"/>
              </w:rPr>
              <w:t>1</w:t>
            </w:r>
          </w:p>
        </w:tc>
        <w:tc>
          <w:tcPr>
            <w:tcW w:w="300" w:type="dxa"/>
            <w:vAlign w:val="bottom"/>
          </w:tcPr>
          <w:p>
            <w:pPr>
              <w:spacing w:after="0"/>
              <w:rPr>
                <w:sz w:val="15"/>
                <w:szCs w:val="15"/>
                <w:color w:val="auto"/>
              </w:rPr>
            </w:pPr>
          </w:p>
        </w:tc>
        <w:tc>
          <w:tcPr>
            <w:tcW w:w="840" w:type="dxa"/>
            <w:vAlign w:val="bottom"/>
          </w:tcPr>
          <w:p>
            <w:pPr>
              <w:jc w:val="right"/>
              <w:spacing w:after="0" w:line="176" w:lineRule="exact"/>
              <w:rPr>
                <w:sz w:val="20"/>
                <w:szCs w:val="20"/>
                <w:color w:val="auto"/>
              </w:rPr>
            </w:pPr>
            <w:r>
              <w:rPr>
                <w:rFonts w:ascii="Arial" w:cs="Arial" w:eastAsia="Arial" w:hAnsi="Arial"/>
                <w:sz w:val="16"/>
                <w:szCs w:val="16"/>
                <w:color w:val="auto"/>
              </w:rPr>
              <w:t>(1)</w:t>
            </w:r>
          </w:p>
        </w:tc>
      </w:tr>
      <w:tr>
        <w:trPr>
          <w:trHeight w:val="194"/>
        </w:trPr>
        <w:tc>
          <w:tcPr>
            <w:tcW w:w="6940" w:type="dxa"/>
            <w:vAlign w:val="bottom"/>
            <w:gridSpan w:val="2"/>
          </w:tcPr>
          <w:p>
            <w:pPr>
              <w:spacing w:after="0"/>
              <w:rPr>
                <w:sz w:val="20"/>
                <w:szCs w:val="20"/>
                <w:color w:val="auto"/>
              </w:rPr>
            </w:pPr>
            <w:r>
              <w:rPr>
                <w:rFonts w:ascii="Arial" w:cs="Arial" w:eastAsia="Arial" w:hAnsi="Arial"/>
                <w:sz w:val="16"/>
                <w:szCs w:val="16"/>
                <w:color w:val="auto"/>
              </w:rPr>
              <w:t>Sundry, net</w:t>
            </w:r>
          </w:p>
        </w:tc>
        <w:tc>
          <w:tcPr>
            <w:tcW w:w="80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w:t>
            </w:r>
          </w:p>
        </w:tc>
        <w:tc>
          <w:tcPr>
            <w:tcW w:w="2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w:t>
            </w:r>
          </w:p>
        </w:tc>
        <w:tc>
          <w:tcPr>
            <w:tcW w:w="1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3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w:t>
            </w:r>
          </w:p>
        </w:tc>
      </w:tr>
      <w:tr>
        <w:trPr>
          <w:trHeight w:val="183"/>
        </w:trPr>
        <w:tc>
          <w:tcPr>
            <w:tcW w:w="20" w:type="dxa"/>
            <w:vAlign w:val="bottom"/>
          </w:tcPr>
          <w:p>
            <w:pPr>
              <w:spacing w:after="0"/>
              <w:rPr>
                <w:sz w:val="15"/>
                <w:szCs w:val="15"/>
                <w:color w:val="auto"/>
              </w:rPr>
            </w:pPr>
          </w:p>
        </w:tc>
        <w:tc>
          <w:tcPr>
            <w:tcW w:w="6920" w:type="dxa"/>
            <w:vAlign w:val="bottom"/>
            <w:tcBorders>
              <w:bottom w:val="single" w:sz="8" w:color="auto"/>
            </w:tcBorders>
          </w:tcPr>
          <w:p>
            <w:pPr>
              <w:ind w:left="120"/>
              <w:spacing w:after="0" w:line="176" w:lineRule="exact"/>
              <w:rPr>
                <w:sz w:val="20"/>
                <w:szCs w:val="20"/>
                <w:color w:val="auto"/>
              </w:rPr>
            </w:pPr>
            <w:r>
              <w:rPr>
                <w:rFonts w:ascii="Arial" w:cs="Arial" w:eastAsia="Arial" w:hAnsi="Arial"/>
                <w:sz w:val="16"/>
                <w:szCs w:val="16"/>
                <w:color w:val="auto"/>
              </w:rPr>
              <w:t>Total</w:t>
            </w:r>
          </w:p>
        </w:tc>
        <w:tc>
          <w:tcPr>
            <w:tcW w:w="800" w:type="dxa"/>
            <w:vAlign w:val="bottom"/>
            <w:tcBorders>
              <w:bottom w:val="single" w:sz="8" w:color="auto"/>
            </w:tcBorders>
          </w:tcPr>
          <w:p>
            <w:pPr>
              <w:jc w:val="right"/>
              <w:ind w:right="621"/>
              <w:spacing w:after="0" w:line="176" w:lineRule="exact"/>
              <w:rPr>
                <w:sz w:val="20"/>
                <w:szCs w:val="20"/>
                <w:color w:val="auto"/>
              </w:rPr>
            </w:pPr>
            <w:r>
              <w:rPr>
                <w:rFonts w:ascii="Arial" w:cs="Arial" w:eastAsia="Arial" w:hAnsi="Arial"/>
                <w:sz w:val="16"/>
                <w:szCs w:val="16"/>
                <w:color w:val="auto"/>
                <w:w w:val="89"/>
              </w:rPr>
              <w:t>$</w:t>
            </w:r>
          </w:p>
        </w:tc>
        <w:tc>
          <w:tcPr>
            <w:tcW w:w="32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6"/>
                <w:szCs w:val="16"/>
                <w:color w:val="auto"/>
              </w:rPr>
              <w:t>31</w:t>
            </w:r>
          </w:p>
        </w:tc>
        <w:tc>
          <w:tcPr>
            <w:tcW w:w="220" w:type="dxa"/>
            <w:vAlign w:val="bottom"/>
            <w:tcBorders>
              <w:bottom w:val="single" w:sz="8" w:color="auto"/>
            </w:tcBorders>
          </w:tcPr>
          <w:p>
            <w:pPr>
              <w:jc w:val="right"/>
              <w:ind w:right="64"/>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6"/>
                <w:szCs w:val="16"/>
                <w:color w:val="auto"/>
              </w:rPr>
              <w:t>8</w:t>
            </w:r>
          </w:p>
        </w:tc>
        <w:tc>
          <w:tcPr>
            <w:tcW w:w="14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6"/>
                <w:szCs w:val="16"/>
                <w:color w:val="auto"/>
              </w:rPr>
              <w:t>74</w:t>
            </w:r>
          </w:p>
        </w:tc>
        <w:tc>
          <w:tcPr>
            <w:tcW w:w="300" w:type="dxa"/>
            <w:vAlign w:val="bottom"/>
            <w:tcBorders>
              <w:bottom w:val="single" w:sz="8" w:color="auto"/>
            </w:tcBorders>
          </w:tcPr>
          <w:p>
            <w:pPr>
              <w:jc w:val="right"/>
              <w:ind w:right="119"/>
              <w:spacing w:after="0" w:line="176" w:lineRule="exact"/>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6"/>
                <w:szCs w:val="16"/>
                <w:color w:val="auto"/>
              </w:rPr>
              <w:t>16</w:t>
            </w:r>
          </w:p>
        </w:tc>
      </w:tr>
      <w:tr>
        <w:trPr>
          <w:trHeight w:val="164"/>
        </w:trPr>
        <w:tc>
          <w:tcPr>
            <w:tcW w:w="20" w:type="dxa"/>
            <w:vAlign w:val="bottom"/>
          </w:tcPr>
          <w:p>
            <w:pPr>
              <w:spacing w:after="0"/>
              <w:rPr>
                <w:sz w:val="14"/>
                <w:szCs w:val="14"/>
                <w:color w:val="auto"/>
              </w:rPr>
            </w:pPr>
          </w:p>
        </w:tc>
        <w:tc>
          <w:tcPr>
            <w:tcW w:w="6920" w:type="dxa"/>
            <w:vAlign w:val="bottom"/>
          </w:tcPr>
          <w:p>
            <w:pPr>
              <w:spacing w:after="0" w:line="164" w:lineRule="exact"/>
              <w:rPr>
                <w:sz w:val="20"/>
                <w:szCs w:val="20"/>
                <w:color w:val="auto"/>
              </w:rPr>
            </w:pPr>
            <w:r>
              <w:rPr>
                <w:rFonts w:ascii="Arial" w:cs="Arial" w:eastAsia="Arial" w:hAnsi="Arial"/>
                <w:sz w:val="16"/>
                <w:szCs w:val="16"/>
                <w:b w:val="1"/>
                <w:bCs w:val="1"/>
                <w:color w:val="auto"/>
              </w:rPr>
              <w:t>SDG&amp;E:</w:t>
            </w:r>
          </w:p>
        </w:tc>
        <w:tc>
          <w:tcPr>
            <w:tcW w:w="8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76"/>
        </w:trPr>
        <w:tc>
          <w:tcPr>
            <w:tcW w:w="6940" w:type="dxa"/>
            <w:vAlign w:val="bottom"/>
            <w:gridSpan w:val="2"/>
          </w:tcPr>
          <w:p>
            <w:pPr>
              <w:spacing w:after="0" w:line="176" w:lineRule="exact"/>
              <w:rPr>
                <w:sz w:val="20"/>
                <w:szCs w:val="20"/>
                <w:color w:val="auto"/>
              </w:rPr>
            </w:pPr>
            <w:r>
              <w:rPr>
                <w:rFonts w:ascii="Arial" w:cs="Arial" w:eastAsia="Arial" w:hAnsi="Arial"/>
                <w:sz w:val="16"/>
                <w:szCs w:val="16"/>
                <w:color w:val="auto"/>
              </w:rPr>
              <w:t>Allowance for equity funds used during construction</w:t>
            </w:r>
          </w:p>
        </w:tc>
        <w:tc>
          <w:tcPr>
            <w:tcW w:w="800" w:type="dxa"/>
            <w:vAlign w:val="bottom"/>
          </w:tcPr>
          <w:p>
            <w:pPr>
              <w:jc w:val="right"/>
              <w:ind w:right="621"/>
              <w:spacing w:after="0" w:line="176" w:lineRule="exact"/>
              <w:rPr>
                <w:sz w:val="20"/>
                <w:szCs w:val="20"/>
                <w:color w:val="auto"/>
              </w:rPr>
            </w:pPr>
            <w:r>
              <w:rPr>
                <w:rFonts w:ascii="Arial" w:cs="Arial" w:eastAsia="Arial" w:hAnsi="Arial"/>
                <w:sz w:val="16"/>
                <w:szCs w:val="16"/>
                <w:color w:val="auto"/>
                <w:w w:val="89"/>
              </w:rPr>
              <w:t>$</w:t>
            </w:r>
          </w:p>
        </w:tc>
        <w:tc>
          <w:tcPr>
            <w:tcW w:w="320" w:type="dxa"/>
            <w:vAlign w:val="bottom"/>
          </w:tcPr>
          <w:p>
            <w:pPr>
              <w:jc w:val="right"/>
              <w:spacing w:after="0" w:line="176" w:lineRule="exact"/>
              <w:rPr>
                <w:sz w:val="20"/>
                <w:szCs w:val="20"/>
                <w:color w:val="auto"/>
              </w:rPr>
            </w:pPr>
            <w:r>
              <w:rPr>
                <w:rFonts w:ascii="Arial" w:cs="Arial" w:eastAsia="Arial" w:hAnsi="Arial"/>
                <w:sz w:val="16"/>
                <w:szCs w:val="16"/>
                <w:color w:val="auto"/>
              </w:rPr>
              <w:t>18</w:t>
            </w:r>
          </w:p>
        </w:tc>
        <w:tc>
          <w:tcPr>
            <w:tcW w:w="220" w:type="dxa"/>
            <w:vAlign w:val="bottom"/>
          </w:tcPr>
          <w:p>
            <w:pPr>
              <w:jc w:val="right"/>
              <w:ind w:right="64"/>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line="176" w:lineRule="exact"/>
              <w:rPr>
                <w:sz w:val="20"/>
                <w:szCs w:val="20"/>
                <w:color w:val="auto"/>
              </w:rPr>
            </w:pPr>
            <w:r>
              <w:rPr>
                <w:rFonts w:ascii="Arial" w:cs="Arial" w:eastAsia="Arial" w:hAnsi="Arial"/>
                <w:sz w:val="16"/>
                <w:szCs w:val="16"/>
                <w:color w:val="auto"/>
              </w:rPr>
              <w:t>10</w:t>
            </w:r>
          </w:p>
        </w:tc>
        <w:tc>
          <w:tcPr>
            <w:tcW w:w="140" w:type="dxa"/>
            <w:vAlign w:val="bottom"/>
          </w:tcPr>
          <w:p>
            <w:pPr>
              <w:jc w:val="right"/>
              <w:spacing w:after="0" w:line="176" w:lineRule="exact"/>
              <w:rPr>
                <w:sz w:val="20"/>
                <w:szCs w:val="20"/>
                <w:color w:val="auto"/>
              </w:rPr>
            </w:pPr>
            <w:r>
              <w:rPr>
                <w:rFonts w:ascii="Arial" w:cs="Arial" w:eastAsia="Arial" w:hAnsi="Arial"/>
                <w:sz w:val="16"/>
                <w:szCs w:val="16"/>
                <w:color w:val="auto"/>
                <w:w w:val="89"/>
              </w:rPr>
              <w:t>$</w:t>
            </w:r>
          </w:p>
        </w:tc>
        <w:tc>
          <w:tcPr>
            <w:tcW w:w="980" w:type="dxa"/>
            <w:vAlign w:val="bottom"/>
          </w:tcPr>
          <w:p>
            <w:pPr>
              <w:jc w:val="right"/>
              <w:spacing w:after="0" w:line="176" w:lineRule="exact"/>
              <w:rPr>
                <w:sz w:val="20"/>
                <w:szCs w:val="20"/>
                <w:color w:val="auto"/>
              </w:rPr>
            </w:pPr>
            <w:r>
              <w:rPr>
                <w:rFonts w:ascii="Arial" w:cs="Arial" w:eastAsia="Arial" w:hAnsi="Arial"/>
                <w:sz w:val="16"/>
                <w:szCs w:val="16"/>
                <w:color w:val="auto"/>
              </w:rPr>
              <w:t>33</w:t>
            </w:r>
          </w:p>
        </w:tc>
        <w:tc>
          <w:tcPr>
            <w:tcW w:w="300" w:type="dxa"/>
            <w:vAlign w:val="bottom"/>
          </w:tcPr>
          <w:p>
            <w:pPr>
              <w:jc w:val="right"/>
              <w:ind w:right="119"/>
              <w:spacing w:after="0" w:line="176" w:lineRule="exact"/>
              <w:rPr>
                <w:sz w:val="20"/>
                <w:szCs w:val="20"/>
                <w:color w:val="auto"/>
              </w:rPr>
            </w:pPr>
            <w:r>
              <w:rPr>
                <w:rFonts w:ascii="Arial" w:cs="Arial" w:eastAsia="Arial" w:hAnsi="Arial"/>
                <w:sz w:val="16"/>
                <w:szCs w:val="16"/>
                <w:color w:val="auto"/>
                <w:w w:val="89"/>
              </w:rPr>
              <w:t>$</w:t>
            </w:r>
          </w:p>
        </w:tc>
        <w:tc>
          <w:tcPr>
            <w:tcW w:w="840" w:type="dxa"/>
            <w:vAlign w:val="bottom"/>
          </w:tcPr>
          <w:p>
            <w:pPr>
              <w:jc w:val="right"/>
              <w:spacing w:after="0" w:line="176" w:lineRule="exact"/>
              <w:rPr>
                <w:sz w:val="20"/>
                <w:szCs w:val="20"/>
                <w:color w:val="auto"/>
              </w:rPr>
            </w:pPr>
            <w:r>
              <w:rPr>
                <w:rFonts w:ascii="Arial" w:cs="Arial" w:eastAsia="Arial" w:hAnsi="Arial"/>
                <w:sz w:val="16"/>
                <w:szCs w:val="16"/>
                <w:color w:val="auto"/>
              </w:rPr>
              <w:t>19</w:t>
            </w:r>
          </w:p>
        </w:tc>
      </w:tr>
      <w:tr>
        <w:trPr>
          <w:trHeight w:val="176"/>
        </w:trPr>
        <w:tc>
          <w:tcPr>
            <w:tcW w:w="6940" w:type="dxa"/>
            <w:vAlign w:val="bottom"/>
            <w:gridSpan w:val="2"/>
          </w:tcPr>
          <w:p>
            <w:pPr>
              <w:spacing w:after="0" w:line="176" w:lineRule="exact"/>
              <w:rPr>
                <w:sz w:val="20"/>
                <w:szCs w:val="20"/>
                <w:color w:val="auto"/>
              </w:rPr>
            </w:pPr>
            <w:r>
              <w:rPr>
                <w:rFonts w:ascii="Arial" w:cs="Arial" w:eastAsia="Arial" w:hAnsi="Arial"/>
                <w:sz w:val="16"/>
                <w:szCs w:val="16"/>
                <w:color w:val="auto"/>
              </w:rPr>
              <w:t>Losses on interest rate instruments(3)</w:t>
            </w:r>
          </w:p>
        </w:tc>
        <w:tc>
          <w:tcPr>
            <w:tcW w:w="800" w:type="dxa"/>
            <w:vAlign w:val="bottom"/>
          </w:tcPr>
          <w:p>
            <w:pPr>
              <w:spacing w:after="0"/>
              <w:rPr>
                <w:sz w:val="15"/>
                <w:szCs w:val="15"/>
                <w:color w:val="auto"/>
              </w:rPr>
            </w:pPr>
          </w:p>
        </w:tc>
        <w:tc>
          <w:tcPr>
            <w:tcW w:w="320" w:type="dxa"/>
            <w:vAlign w:val="bottom"/>
          </w:tcPr>
          <w:p>
            <w:pPr>
              <w:jc w:val="right"/>
              <w:spacing w:after="0" w:line="176" w:lineRule="exact"/>
              <w:rPr>
                <w:sz w:val="20"/>
                <w:szCs w:val="20"/>
                <w:color w:val="auto"/>
              </w:rPr>
            </w:pPr>
            <w:r>
              <w:rPr>
                <w:rFonts w:ascii="Arial" w:cs="Arial" w:eastAsia="Arial" w:hAnsi="Arial"/>
                <w:sz w:val="16"/>
                <w:szCs w:val="16"/>
                <w:color w:val="auto"/>
              </w:rPr>
              <w:t>―</w:t>
            </w:r>
          </w:p>
        </w:tc>
        <w:tc>
          <w:tcPr>
            <w:tcW w:w="220" w:type="dxa"/>
            <w:vAlign w:val="bottom"/>
          </w:tcPr>
          <w:p>
            <w:pPr>
              <w:spacing w:after="0"/>
              <w:rPr>
                <w:sz w:val="15"/>
                <w:szCs w:val="15"/>
                <w:color w:val="auto"/>
              </w:rPr>
            </w:pPr>
          </w:p>
        </w:tc>
        <w:tc>
          <w:tcPr>
            <w:tcW w:w="880" w:type="dxa"/>
            <w:vAlign w:val="bottom"/>
          </w:tcPr>
          <w:p>
            <w:pPr>
              <w:jc w:val="right"/>
              <w:spacing w:after="0" w:line="176" w:lineRule="exact"/>
              <w:rPr>
                <w:sz w:val="20"/>
                <w:szCs w:val="20"/>
                <w:color w:val="auto"/>
              </w:rPr>
            </w:pPr>
            <w:r>
              <w:rPr>
                <w:rFonts w:ascii="Arial" w:cs="Arial" w:eastAsia="Arial" w:hAnsi="Arial"/>
                <w:sz w:val="16"/>
                <w:szCs w:val="16"/>
                <w:color w:val="auto"/>
              </w:rPr>
              <w:t>(25)</w:t>
            </w:r>
          </w:p>
        </w:tc>
        <w:tc>
          <w:tcPr>
            <w:tcW w:w="140" w:type="dxa"/>
            <w:vAlign w:val="bottom"/>
          </w:tcPr>
          <w:p>
            <w:pPr>
              <w:spacing w:after="0"/>
              <w:rPr>
                <w:sz w:val="15"/>
                <w:szCs w:val="15"/>
                <w:color w:val="auto"/>
              </w:rPr>
            </w:pPr>
          </w:p>
        </w:tc>
        <w:tc>
          <w:tcPr>
            <w:tcW w:w="980" w:type="dxa"/>
            <w:vAlign w:val="bottom"/>
          </w:tcPr>
          <w:p>
            <w:pPr>
              <w:jc w:val="right"/>
              <w:spacing w:after="0" w:line="176" w:lineRule="exact"/>
              <w:rPr>
                <w:sz w:val="20"/>
                <w:szCs w:val="20"/>
                <w:color w:val="auto"/>
              </w:rPr>
            </w:pPr>
            <w:r>
              <w:rPr>
                <w:rFonts w:ascii="Arial" w:cs="Arial" w:eastAsia="Arial" w:hAnsi="Arial"/>
                <w:sz w:val="16"/>
                <w:szCs w:val="16"/>
                <w:color w:val="auto"/>
              </w:rPr>
              <w:t>―</w:t>
            </w:r>
          </w:p>
        </w:tc>
        <w:tc>
          <w:tcPr>
            <w:tcW w:w="300" w:type="dxa"/>
            <w:vAlign w:val="bottom"/>
          </w:tcPr>
          <w:p>
            <w:pPr>
              <w:spacing w:after="0"/>
              <w:rPr>
                <w:sz w:val="15"/>
                <w:szCs w:val="15"/>
                <w:color w:val="auto"/>
              </w:rPr>
            </w:pPr>
          </w:p>
        </w:tc>
        <w:tc>
          <w:tcPr>
            <w:tcW w:w="840" w:type="dxa"/>
            <w:vAlign w:val="bottom"/>
          </w:tcPr>
          <w:p>
            <w:pPr>
              <w:jc w:val="right"/>
              <w:spacing w:after="0" w:line="176" w:lineRule="exact"/>
              <w:rPr>
                <w:sz w:val="20"/>
                <w:szCs w:val="20"/>
                <w:color w:val="auto"/>
              </w:rPr>
            </w:pPr>
            <w:r>
              <w:rPr>
                <w:rFonts w:ascii="Arial" w:cs="Arial" w:eastAsia="Arial" w:hAnsi="Arial"/>
                <w:sz w:val="16"/>
                <w:szCs w:val="16"/>
                <w:color w:val="auto"/>
              </w:rPr>
              <w:t>(34)</w:t>
            </w:r>
          </w:p>
        </w:tc>
      </w:tr>
      <w:tr>
        <w:trPr>
          <w:trHeight w:val="176"/>
        </w:trPr>
        <w:tc>
          <w:tcPr>
            <w:tcW w:w="6940" w:type="dxa"/>
            <w:vAlign w:val="bottom"/>
            <w:gridSpan w:val="2"/>
          </w:tcPr>
          <w:p>
            <w:pPr>
              <w:spacing w:after="0" w:line="176" w:lineRule="exact"/>
              <w:rPr>
                <w:sz w:val="20"/>
                <w:szCs w:val="20"/>
                <w:color w:val="auto"/>
              </w:rPr>
            </w:pPr>
            <w:r>
              <w:rPr>
                <w:rFonts w:ascii="Arial" w:cs="Arial" w:eastAsia="Arial" w:hAnsi="Arial"/>
                <w:sz w:val="16"/>
                <w:szCs w:val="16"/>
                <w:color w:val="auto"/>
              </w:rPr>
              <w:t>Regulatory interest, net</w:t>
            </w:r>
          </w:p>
        </w:tc>
        <w:tc>
          <w:tcPr>
            <w:tcW w:w="800" w:type="dxa"/>
            <w:vAlign w:val="bottom"/>
          </w:tcPr>
          <w:p>
            <w:pPr>
              <w:spacing w:after="0"/>
              <w:rPr>
                <w:sz w:val="15"/>
                <w:szCs w:val="15"/>
                <w:color w:val="auto"/>
              </w:rPr>
            </w:pPr>
          </w:p>
        </w:tc>
        <w:tc>
          <w:tcPr>
            <w:tcW w:w="320" w:type="dxa"/>
            <w:vAlign w:val="bottom"/>
          </w:tcPr>
          <w:p>
            <w:pPr>
              <w:jc w:val="right"/>
              <w:spacing w:after="0" w:line="176" w:lineRule="exact"/>
              <w:rPr>
                <w:sz w:val="20"/>
                <w:szCs w:val="20"/>
                <w:color w:val="auto"/>
              </w:rPr>
            </w:pPr>
            <w:r>
              <w:rPr>
                <w:rFonts w:ascii="Arial" w:cs="Arial" w:eastAsia="Arial" w:hAnsi="Arial"/>
                <w:sz w:val="16"/>
                <w:szCs w:val="16"/>
                <w:color w:val="auto"/>
              </w:rPr>
              <w:t>1</w:t>
            </w:r>
          </w:p>
        </w:tc>
        <w:tc>
          <w:tcPr>
            <w:tcW w:w="220" w:type="dxa"/>
            <w:vAlign w:val="bottom"/>
          </w:tcPr>
          <w:p>
            <w:pPr>
              <w:spacing w:after="0"/>
              <w:rPr>
                <w:sz w:val="15"/>
                <w:szCs w:val="15"/>
                <w:color w:val="auto"/>
              </w:rPr>
            </w:pPr>
          </w:p>
        </w:tc>
        <w:tc>
          <w:tcPr>
            <w:tcW w:w="880" w:type="dxa"/>
            <w:vAlign w:val="bottom"/>
          </w:tcPr>
          <w:p>
            <w:pPr>
              <w:jc w:val="right"/>
              <w:spacing w:after="0" w:line="176" w:lineRule="exact"/>
              <w:rPr>
                <w:sz w:val="20"/>
                <w:szCs w:val="20"/>
                <w:color w:val="auto"/>
              </w:rPr>
            </w:pPr>
            <w:r>
              <w:rPr>
                <w:rFonts w:ascii="Arial" w:cs="Arial" w:eastAsia="Arial" w:hAnsi="Arial"/>
                <w:sz w:val="16"/>
                <w:szCs w:val="16"/>
                <w:color w:val="auto"/>
              </w:rPr>
              <w:t>1</w:t>
            </w:r>
          </w:p>
        </w:tc>
        <w:tc>
          <w:tcPr>
            <w:tcW w:w="140" w:type="dxa"/>
            <w:vAlign w:val="bottom"/>
          </w:tcPr>
          <w:p>
            <w:pPr>
              <w:spacing w:after="0"/>
              <w:rPr>
                <w:sz w:val="15"/>
                <w:szCs w:val="15"/>
                <w:color w:val="auto"/>
              </w:rPr>
            </w:pPr>
          </w:p>
        </w:tc>
        <w:tc>
          <w:tcPr>
            <w:tcW w:w="980" w:type="dxa"/>
            <w:vAlign w:val="bottom"/>
          </w:tcPr>
          <w:p>
            <w:pPr>
              <w:jc w:val="right"/>
              <w:spacing w:after="0" w:line="176" w:lineRule="exact"/>
              <w:rPr>
                <w:sz w:val="20"/>
                <w:szCs w:val="20"/>
                <w:color w:val="auto"/>
              </w:rPr>
            </w:pPr>
            <w:r>
              <w:rPr>
                <w:rFonts w:ascii="Arial" w:cs="Arial" w:eastAsia="Arial" w:hAnsi="Arial"/>
                <w:sz w:val="16"/>
                <w:szCs w:val="16"/>
                <w:color w:val="auto"/>
              </w:rPr>
              <w:t>1</w:t>
            </w:r>
          </w:p>
        </w:tc>
        <w:tc>
          <w:tcPr>
            <w:tcW w:w="300" w:type="dxa"/>
            <w:vAlign w:val="bottom"/>
          </w:tcPr>
          <w:p>
            <w:pPr>
              <w:spacing w:after="0"/>
              <w:rPr>
                <w:sz w:val="15"/>
                <w:szCs w:val="15"/>
                <w:color w:val="auto"/>
              </w:rPr>
            </w:pPr>
          </w:p>
        </w:tc>
        <w:tc>
          <w:tcPr>
            <w:tcW w:w="840" w:type="dxa"/>
            <w:vAlign w:val="bottom"/>
          </w:tcPr>
          <w:p>
            <w:pPr>
              <w:jc w:val="right"/>
              <w:spacing w:after="0" w:line="176" w:lineRule="exact"/>
              <w:rPr>
                <w:sz w:val="20"/>
                <w:szCs w:val="20"/>
                <w:color w:val="auto"/>
              </w:rPr>
            </w:pPr>
            <w:r>
              <w:rPr>
                <w:rFonts w:ascii="Arial" w:cs="Arial" w:eastAsia="Arial" w:hAnsi="Arial"/>
                <w:sz w:val="16"/>
                <w:szCs w:val="16"/>
                <w:color w:val="auto"/>
              </w:rPr>
              <w:t>―</w:t>
            </w:r>
          </w:p>
        </w:tc>
      </w:tr>
      <w:tr>
        <w:trPr>
          <w:trHeight w:val="194"/>
        </w:trPr>
        <w:tc>
          <w:tcPr>
            <w:tcW w:w="6940" w:type="dxa"/>
            <w:vAlign w:val="bottom"/>
            <w:gridSpan w:val="2"/>
          </w:tcPr>
          <w:p>
            <w:pPr>
              <w:spacing w:after="0"/>
              <w:rPr>
                <w:sz w:val="20"/>
                <w:szCs w:val="20"/>
                <w:color w:val="auto"/>
              </w:rPr>
            </w:pPr>
            <w:r>
              <w:rPr>
                <w:rFonts w:ascii="Arial" w:cs="Arial" w:eastAsia="Arial" w:hAnsi="Arial"/>
                <w:sz w:val="16"/>
                <w:szCs w:val="16"/>
                <w:color w:val="auto"/>
              </w:rPr>
              <w:t>Sundry, net</w:t>
            </w:r>
          </w:p>
        </w:tc>
        <w:tc>
          <w:tcPr>
            <w:tcW w:w="80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w:t>
            </w:r>
          </w:p>
        </w:tc>
        <w:tc>
          <w:tcPr>
            <w:tcW w:w="2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w:t>
            </w:r>
          </w:p>
        </w:tc>
        <w:tc>
          <w:tcPr>
            <w:tcW w:w="1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w:t>
            </w:r>
          </w:p>
        </w:tc>
        <w:tc>
          <w:tcPr>
            <w:tcW w:w="3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r>
      <w:tr>
        <w:trPr>
          <w:trHeight w:val="183"/>
        </w:trPr>
        <w:tc>
          <w:tcPr>
            <w:tcW w:w="20" w:type="dxa"/>
            <w:vAlign w:val="bottom"/>
          </w:tcPr>
          <w:p>
            <w:pPr>
              <w:spacing w:after="0"/>
              <w:rPr>
                <w:sz w:val="15"/>
                <w:szCs w:val="15"/>
                <w:color w:val="auto"/>
              </w:rPr>
            </w:pPr>
          </w:p>
        </w:tc>
        <w:tc>
          <w:tcPr>
            <w:tcW w:w="6920" w:type="dxa"/>
            <w:vAlign w:val="bottom"/>
            <w:tcBorders>
              <w:bottom w:val="single" w:sz="8" w:color="auto"/>
            </w:tcBorders>
          </w:tcPr>
          <w:p>
            <w:pPr>
              <w:ind w:left="120"/>
              <w:spacing w:after="0" w:line="176" w:lineRule="exact"/>
              <w:rPr>
                <w:sz w:val="20"/>
                <w:szCs w:val="20"/>
                <w:color w:val="auto"/>
              </w:rPr>
            </w:pPr>
            <w:r>
              <w:rPr>
                <w:rFonts w:ascii="Arial" w:cs="Arial" w:eastAsia="Arial" w:hAnsi="Arial"/>
                <w:sz w:val="16"/>
                <w:szCs w:val="16"/>
                <w:color w:val="auto"/>
              </w:rPr>
              <w:t>Total</w:t>
            </w:r>
          </w:p>
        </w:tc>
        <w:tc>
          <w:tcPr>
            <w:tcW w:w="800" w:type="dxa"/>
            <w:vAlign w:val="bottom"/>
            <w:tcBorders>
              <w:bottom w:val="single" w:sz="8" w:color="auto"/>
            </w:tcBorders>
          </w:tcPr>
          <w:p>
            <w:pPr>
              <w:jc w:val="right"/>
              <w:ind w:right="621"/>
              <w:spacing w:after="0" w:line="176" w:lineRule="exact"/>
              <w:rPr>
                <w:sz w:val="20"/>
                <w:szCs w:val="20"/>
                <w:color w:val="auto"/>
              </w:rPr>
            </w:pPr>
            <w:r>
              <w:rPr>
                <w:rFonts w:ascii="Arial" w:cs="Arial" w:eastAsia="Arial" w:hAnsi="Arial"/>
                <w:sz w:val="16"/>
                <w:szCs w:val="16"/>
                <w:color w:val="auto"/>
                <w:w w:val="89"/>
              </w:rPr>
              <w:t>$</w:t>
            </w:r>
          </w:p>
        </w:tc>
        <w:tc>
          <w:tcPr>
            <w:tcW w:w="32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6"/>
                <w:szCs w:val="16"/>
                <w:color w:val="auto"/>
              </w:rPr>
              <w:t>13</w:t>
            </w:r>
          </w:p>
        </w:tc>
        <w:tc>
          <w:tcPr>
            <w:tcW w:w="220" w:type="dxa"/>
            <w:vAlign w:val="bottom"/>
            <w:tcBorders>
              <w:bottom w:val="single" w:sz="8" w:color="auto"/>
            </w:tcBorders>
          </w:tcPr>
          <w:p>
            <w:pPr>
              <w:jc w:val="right"/>
              <w:ind w:right="64"/>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gridSpan w:val="2"/>
          </w:tcPr>
          <w:p>
            <w:pPr>
              <w:jc w:val="right"/>
              <w:spacing w:after="0" w:line="176" w:lineRule="exact"/>
              <w:rPr>
                <w:sz w:val="20"/>
                <w:szCs w:val="20"/>
                <w:color w:val="auto"/>
              </w:rPr>
            </w:pPr>
            <w:r>
              <w:rPr>
                <w:rFonts w:ascii="Arial" w:cs="Arial" w:eastAsia="Arial" w:hAnsi="Arial"/>
                <w:sz w:val="16"/>
                <w:szCs w:val="16"/>
                <w:color w:val="auto"/>
              </w:rPr>
              <w:t>(16)$</w:t>
            </w:r>
          </w:p>
        </w:tc>
        <w:tc>
          <w:tcPr>
            <w:tcW w:w="98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6"/>
                <w:szCs w:val="16"/>
                <w:color w:val="auto"/>
              </w:rPr>
              <w:t>29</w:t>
            </w:r>
          </w:p>
        </w:tc>
        <w:tc>
          <w:tcPr>
            <w:tcW w:w="300" w:type="dxa"/>
            <w:vAlign w:val="bottom"/>
            <w:tcBorders>
              <w:bottom w:val="single" w:sz="8" w:color="auto"/>
            </w:tcBorders>
          </w:tcPr>
          <w:p>
            <w:pPr>
              <w:jc w:val="right"/>
              <w:ind w:right="119"/>
              <w:spacing w:after="0" w:line="176" w:lineRule="exact"/>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6"/>
                <w:szCs w:val="16"/>
                <w:color w:val="auto"/>
              </w:rPr>
              <w:t>(16)</w:t>
            </w:r>
          </w:p>
        </w:tc>
      </w:tr>
      <w:tr>
        <w:trPr>
          <w:trHeight w:val="164"/>
        </w:trPr>
        <w:tc>
          <w:tcPr>
            <w:tcW w:w="20" w:type="dxa"/>
            <w:vAlign w:val="bottom"/>
          </w:tcPr>
          <w:p>
            <w:pPr>
              <w:spacing w:after="0"/>
              <w:rPr>
                <w:sz w:val="14"/>
                <w:szCs w:val="14"/>
                <w:color w:val="auto"/>
              </w:rPr>
            </w:pPr>
          </w:p>
        </w:tc>
        <w:tc>
          <w:tcPr>
            <w:tcW w:w="6920" w:type="dxa"/>
            <w:vAlign w:val="bottom"/>
          </w:tcPr>
          <w:p>
            <w:pPr>
              <w:spacing w:after="0" w:line="164" w:lineRule="exact"/>
              <w:rPr>
                <w:sz w:val="20"/>
                <w:szCs w:val="20"/>
                <w:color w:val="auto"/>
              </w:rPr>
            </w:pPr>
            <w:r>
              <w:rPr>
                <w:rFonts w:ascii="Arial" w:cs="Arial" w:eastAsia="Arial" w:hAnsi="Arial"/>
                <w:sz w:val="16"/>
                <w:szCs w:val="16"/>
                <w:b w:val="1"/>
                <w:bCs w:val="1"/>
                <w:color w:val="auto"/>
              </w:rPr>
              <w:t>SoCalGas:</w:t>
            </w:r>
          </w:p>
        </w:tc>
        <w:tc>
          <w:tcPr>
            <w:tcW w:w="8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76"/>
        </w:trPr>
        <w:tc>
          <w:tcPr>
            <w:tcW w:w="6940" w:type="dxa"/>
            <w:vAlign w:val="bottom"/>
            <w:gridSpan w:val="2"/>
          </w:tcPr>
          <w:p>
            <w:pPr>
              <w:spacing w:after="0" w:line="176" w:lineRule="exact"/>
              <w:rPr>
                <w:sz w:val="20"/>
                <w:szCs w:val="20"/>
                <w:color w:val="auto"/>
              </w:rPr>
            </w:pPr>
            <w:r>
              <w:rPr>
                <w:rFonts w:ascii="Arial" w:cs="Arial" w:eastAsia="Arial" w:hAnsi="Arial"/>
                <w:sz w:val="16"/>
                <w:szCs w:val="16"/>
                <w:color w:val="auto"/>
              </w:rPr>
              <w:t>Allowance for equity funds used during construction</w:t>
            </w:r>
          </w:p>
        </w:tc>
        <w:tc>
          <w:tcPr>
            <w:tcW w:w="800" w:type="dxa"/>
            <w:vAlign w:val="bottom"/>
          </w:tcPr>
          <w:p>
            <w:pPr>
              <w:jc w:val="right"/>
              <w:ind w:right="621"/>
              <w:spacing w:after="0" w:line="176" w:lineRule="exact"/>
              <w:rPr>
                <w:sz w:val="20"/>
                <w:szCs w:val="20"/>
                <w:color w:val="auto"/>
              </w:rPr>
            </w:pPr>
            <w:r>
              <w:rPr>
                <w:rFonts w:ascii="Arial" w:cs="Arial" w:eastAsia="Arial" w:hAnsi="Arial"/>
                <w:sz w:val="16"/>
                <w:szCs w:val="16"/>
                <w:color w:val="auto"/>
                <w:w w:val="89"/>
              </w:rPr>
              <w:t>$</w:t>
            </w:r>
          </w:p>
        </w:tc>
        <w:tc>
          <w:tcPr>
            <w:tcW w:w="320" w:type="dxa"/>
            <w:vAlign w:val="bottom"/>
          </w:tcPr>
          <w:p>
            <w:pPr>
              <w:jc w:val="right"/>
              <w:spacing w:after="0" w:line="176" w:lineRule="exact"/>
              <w:rPr>
                <w:sz w:val="20"/>
                <w:szCs w:val="20"/>
                <w:color w:val="auto"/>
              </w:rPr>
            </w:pPr>
            <w:r>
              <w:rPr>
                <w:rFonts w:ascii="Arial" w:cs="Arial" w:eastAsia="Arial" w:hAnsi="Arial"/>
                <w:sz w:val="16"/>
                <w:szCs w:val="16"/>
                <w:color w:val="auto"/>
              </w:rPr>
              <w:t>4</w:t>
            </w:r>
          </w:p>
        </w:tc>
        <w:tc>
          <w:tcPr>
            <w:tcW w:w="220" w:type="dxa"/>
            <w:vAlign w:val="bottom"/>
          </w:tcPr>
          <w:p>
            <w:pPr>
              <w:jc w:val="right"/>
              <w:ind w:right="64"/>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line="176" w:lineRule="exact"/>
              <w:rPr>
                <w:sz w:val="20"/>
                <w:szCs w:val="20"/>
                <w:color w:val="auto"/>
              </w:rPr>
            </w:pPr>
            <w:r>
              <w:rPr>
                <w:rFonts w:ascii="Arial" w:cs="Arial" w:eastAsia="Arial" w:hAnsi="Arial"/>
                <w:sz w:val="16"/>
                <w:szCs w:val="16"/>
                <w:color w:val="auto"/>
              </w:rPr>
              <w:t>4</w:t>
            </w:r>
          </w:p>
        </w:tc>
        <w:tc>
          <w:tcPr>
            <w:tcW w:w="140" w:type="dxa"/>
            <w:vAlign w:val="bottom"/>
          </w:tcPr>
          <w:p>
            <w:pPr>
              <w:jc w:val="right"/>
              <w:spacing w:after="0" w:line="176" w:lineRule="exact"/>
              <w:rPr>
                <w:sz w:val="20"/>
                <w:szCs w:val="20"/>
                <w:color w:val="auto"/>
              </w:rPr>
            </w:pPr>
            <w:r>
              <w:rPr>
                <w:rFonts w:ascii="Arial" w:cs="Arial" w:eastAsia="Arial" w:hAnsi="Arial"/>
                <w:sz w:val="16"/>
                <w:szCs w:val="16"/>
                <w:color w:val="auto"/>
                <w:w w:val="89"/>
              </w:rPr>
              <w:t>$</w:t>
            </w:r>
          </w:p>
        </w:tc>
        <w:tc>
          <w:tcPr>
            <w:tcW w:w="980" w:type="dxa"/>
            <w:vAlign w:val="bottom"/>
          </w:tcPr>
          <w:p>
            <w:pPr>
              <w:jc w:val="right"/>
              <w:spacing w:after="0" w:line="176" w:lineRule="exact"/>
              <w:rPr>
                <w:sz w:val="20"/>
                <w:szCs w:val="20"/>
                <w:color w:val="auto"/>
              </w:rPr>
            </w:pPr>
            <w:r>
              <w:rPr>
                <w:rFonts w:ascii="Arial" w:cs="Arial" w:eastAsia="Arial" w:hAnsi="Arial"/>
                <w:sz w:val="16"/>
                <w:szCs w:val="16"/>
                <w:color w:val="auto"/>
              </w:rPr>
              <w:t>8</w:t>
            </w:r>
          </w:p>
        </w:tc>
        <w:tc>
          <w:tcPr>
            <w:tcW w:w="300" w:type="dxa"/>
            <w:vAlign w:val="bottom"/>
          </w:tcPr>
          <w:p>
            <w:pPr>
              <w:jc w:val="right"/>
              <w:ind w:right="119"/>
              <w:spacing w:after="0" w:line="176" w:lineRule="exact"/>
              <w:rPr>
                <w:sz w:val="20"/>
                <w:szCs w:val="20"/>
                <w:color w:val="auto"/>
              </w:rPr>
            </w:pPr>
            <w:r>
              <w:rPr>
                <w:rFonts w:ascii="Arial" w:cs="Arial" w:eastAsia="Arial" w:hAnsi="Arial"/>
                <w:sz w:val="16"/>
                <w:szCs w:val="16"/>
                <w:color w:val="auto"/>
                <w:w w:val="89"/>
              </w:rPr>
              <w:t>$</w:t>
            </w:r>
          </w:p>
        </w:tc>
        <w:tc>
          <w:tcPr>
            <w:tcW w:w="840" w:type="dxa"/>
            <w:vAlign w:val="bottom"/>
          </w:tcPr>
          <w:p>
            <w:pPr>
              <w:jc w:val="right"/>
              <w:spacing w:after="0" w:line="176" w:lineRule="exact"/>
              <w:rPr>
                <w:sz w:val="20"/>
                <w:szCs w:val="20"/>
                <w:color w:val="auto"/>
              </w:rPr>
            </w:pPr>
            <w:r>
              <w:rPr>
                <w:rFonts w:ascii="Arial" w:cs="Arial" w:eastAsia="Arial" w:hAnsi="Arial"/>
                <w:sz w:val="16"/>
                <w:szCs w:val="16"/>
                <w:color w:val="auto"/>
              </w:rPr>
              <w:t>8</w:t>
            </w:r>
          </w:p>
        </w:tc>
      </w:tr>
      <w:tr>
        <w:trPr>
          <w:trHeight w:val="194"/>
        </w:trPr>
        <w:tc>
          <w:tcPr>
            <w:tcW w:w="6940" w:type="dxa"/>
            <w:vAlign w:val="bottom"/>
            <w:gridSpan w:val="2"/>
          </w:tcPr>
          <w:p>
            <w:pPr>
              <w:spacing w:after="0"/>
              <w:rPr>
                <w:sz w:val="20"/>
                <w:szCs w:val="20"/>
                <w:color w:val="auto"/>
              </w:rPr>
            </w:pPr>
            <w:r>
              <w:rPr>
                <w:rFonts w:ascii="Arial" w:cs="Arial" w:eastAsia="Arial" w:hAnsi="Arial"/>
                <w:sz w:val="16"/>
                <w:szCs w:val="16"/>
                <w:color w:val="auto"/>
              </w:rPr>
              <w:t>Sundry, net</w:t>
            </w:r>
          </w:p>
        </w:tc>
        <w:tc>
          <w:tcPr>
            <w:tcW w:w="80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2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w:t>
            </w:r>
          </w:p>
        </w:tc>
        <w:tc>
          <w:tcPr>
            <w:tcW w:w="1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w:t>
            </w:r>
          </w:p>
        </w:tc>
        <w:tc>
          <w:tcPr>
            <w:tcW w:w="3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w:t>
            </w:r>
          </w:p>
        </w:tc>
      </w:tr>
      <w:tr>
        <w:trPr>
          <w:trHeight w:val="195"/>
        </w:trPr>
        <w:tc>
          <w:tcPr>
            <w:tcW w:w="20" w:type="dxa"/>
            <w:vAlign w:val="bottom"/>
          </w:tcPr>
          <w:p>
            <w:pPr>
              <w:spacing w:after="0"/>
              <w:rPr>
                <w:sz w:val="16"/>
                <w:szCs w:val="16"/>
                <w:color w:val="auto"/>
              </w:rPr>
            </w:pPr>
          </w:p>
        </w:tc>
        <w:tc>
          <w:tcPr>
            <w:tcW w:w="6920" w:type="dxa"/>
            <w:vAlign w:val="bottom"/>
          </w:tcPr>
          <w:p>
            <w:pPr>
              <w:ind w:left="120"/>
              <w:spacing w:after="0"/>
              <w:rPr>
                <w:sz w:val="20"/>
                <w:szCs w:val="20"/>
                <w:color w:val="auto"/>
              </w:rPr>
            </w:pPr>
            <w:r>
              <w:rPr>
                <w:rFonts w:ascii="Arial" w:cs="Arial" w:eastAsia="Arial" w:hAnsi="Arial"/>
                <w:sz w:val="16"/>
                <w:szCs w:val="16"/>
                <w:color w:val="auto"/>
              </w:rPr>
              <w:t>Total</w:t>
            </w:r>
          </w:p>
        </w:tc>
        <w:tc>
          <w:tcPr>
            <w:tcW w:w="800" w:type="dxa"/>
            <w:vAlign w:val="bottom"/>
          </w:tcPr>
          <w:p>
            <w:pPr>
              <w:jc w:val="right"/>
              <w:ind w:right="621"/>
              <w:spacing w:after="0"/>
              <w:rPr>
                <w:sz w:val="20"/>
                <w:szCs w:val="20"/>
                <w:color w:val="auto"/>
              </w:rPr>
            </w:pPr>
            <w:r>
              <w:rPr>
                <w:rFonts w:ascii="Arial" w:cs="Arial" w:eastAsia="Arial" w:hAnsi="Arial"/>
                <w:sz w:val="16"/>
                <w:szCs w:val="16"/>
                <w:color w:val="auto"/>
                <w:w w:val="89"/>
              </w:rPr>
              <w:t>$</w:t>
            </w:r>
          </w:p>
        </w:tc>
        <w:tc>
          <w:tcPr>
            <w:tcW w:w="320" w:type="dxa"/>
            <w:vAlign w:val="bottom"/>
          </w:tcPr>
          <w:p>
            <w:pPr>
              <w:jc w:val="right"/>
              <w:spacing w:after="0"/>
              <w:rPr>
                <w:sz w:val="20"/>
                <w:szCs w:val="20"/>
                <w:color w:val="auto"/>
              </w:rPr>
            </w:pPr>
            <w:r>
              <w:rPr>
                <w:rFonts w:ascii="Arial" w:cs="Arial" w:eastAsia="Arial" w:hAnsi="Arial"/>
                <w:sz w:val="16"/>
                <w:szCs w:val="16"/>
                <w:color w:val="auto"/>
              </w:rPr>
              <w:t>3</w:t>
            </w:r>
          </w:p>
        </w:tc>
        <w:tc>
          <w:tcPr>
            <w:tcW w:w="220" w:type="dxa"/>
            <w:vAlign w:val="bottom"/>
          </w:tcPr>
          <w:p>
            <w:pPr>
              <w:jc w:val="right"/>
              <w:ind w:right="64"/>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2</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6</w:t>
            </w: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2466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ind w:left="560" w:right="660" w:hanging="363"/>
        <w:spacing w:after="0" w:line="251" w:lineRule="auto"/>
        <w:tabs>
          <w:tab w:leader="none" w:pos="560" w:val="left"/>
        </w:tabs>
        <w:numPr>
          <w:ilvl w:val="0"/>
          <w:numId w:val="14"/>
        </w:numPr>
        <w:rPr>
          <w:rFonts w:ascii="Arial" w:cs="Arial" w:eastAsia="Arial" w:hAnsi="Arial"/>
          <w:sz w:val="14"/>
          <w:szCs w:val="14"/>
          <w:i w:val="1"/>
          <w:iCs w:val="1"/>
          <w:color w:val="auto"/>
        </w:rPr>
      </w:pPr>
      <w:r>
        <w:rPr>
          <w:rFonts w:ascii="Arial" w:cs="Arial" w:eastAsia="Arial" w:hAnsi="Arial"/>
          <w:sz w:val="14"/>
          <w:szCs w:val="14"/>
          <w:i w:val="1"/>
          <w:iCs w:val="1"/>
          <w:color w:val="auto"/>
        </w:rPr>
        <w:t>Represents investment gains on dedicated assets in support of our executive retirement and deferred compensation plans. These amounts are partially offset by corresponding changes in compensation expense related to the plans.</w:t>
      </w:r>
    </w:p>
    <w:p>
      <w:pPr>
        <w:ind w:left="560" w:hanging="363"/>
        <w:spacing w:after="0"/>
        <w:tabs>
          <w:tab w:leader="none" w:pos="560" w:val="left"/>
        </w:tabs>
        <w:numPr>
          <w:ilvl w:val="0"/>
          <w:numId w:val="14"/>
        </w:numPr>
        <w:rPr>
          <w:rFonts w:ascii="Arial" w:cs="Arial" w:eastAsia="Arial" w:hAnsi="Arial"/>
          <w:sz w:val="14"/>
          <w:szCs w:val="14"/>
          <w:i w:val="1"/>
          <w:iCs w:val="1"/>
          <w:color w:val="auto"/>
        </w:rPr>
      </w:pPr>
      <w:r>
        <w:rPr>
          <w:rFonts w:ascii="Arial" w:cs="Arial" w:eastAsia="Arial" w:hAnsi="Arial"/>
          <w:sz w:val="14"/>
          <w:szCs w:val="14"/>
          <w:i w:val="1"/>
          <w:iCs w:val="1"/>
          <w:color w:val="auto"/>
        </w:rPr>
        <w:t>Sempra Energy Consolidated includes Otay Mesa VIE and additional instruments.</w:t>
      </w:r>
    </w:p>
    <w:p>
      <w:pPr>
        <w:spacing w:after="0" w:line="1" w:lineRule="exact"/>
        <w:rPr>
          <w:rFonts w:ascii="Arial" w:cs="Arial" w:eastAsia="Arial" w:hAnsi="Arial"/>
          <w:sz w:val="14"/>
          <w:szCs w:val="14"/>
          <w:i w:val="1"/>
          <w:iCs w:val="1"/>
          <w:color w:val="auto"/>
        </w:rPr>
      </w:pPr>
    </w:p>
    <w:p>
      <w:pPr>
        <w:ind w:left="560" w:hanging="363"/>
        <w:spacing w:after="0"/>
        <w:tabs>
          <w:tab w:leader="none" w:pos="560" w:val="left"/>
        </w:tabs>
        <w:numPr>
          <w:ilvl w:val="0"/>
          <w:numId w:val="14"/>
        </w:numPr>
        <w:rPr>
          <w:rFonts w:ascii="Arial" w:cs="Arial" w:eastAsia="Arial" w:hAnsi="Arial"/>
          <w:sz w:val="14"/>
          <w:szCs w:val="14"/>
          <w:i w:val="1"/>
          <w:iCs w:val="1"/>
          <w:color w:val="auto"/>
        </w:rPr>
      </w:pPr>
      <w:r>
        <w:rPr>
          <w:rFonts w:ascii="Arial" w:cs="Arial" w:eastAsia="Arial" w:hAnsi="Arial"/>
          <w:sz w:val="14"/>
          <w:szCs w:val="14"/>
          <w:i w:val="1"/>
          <w:iCs w:val="1"/>
          <w:color w:val="auto"/>
        </w:rPr>
        <w:t>Related to Otay Mesa VIE.</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23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INCOME TAX EXPENSE AND EFFECTIVE INCOME TAX RATES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-104775</wp:posOffset>
            </wp:positionV>
            <wp:extent cx="7246620" cy="22288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46620" cy="222885"/>
                    </a:xfrm>
                    <a:prstGeom prst="rect">
                      <a:avLst/>
                    </a:prstGeom>
                    <a:noFill/>
                  </pic:spPr>
                </pic:pic>
              </a:graphicData>
            </a:graphic>
          </wp:anchor>
        </w:drawing>
      </w:r>
    </w:p>
    <w:p>
      <w:pPr>
        <w:spacing w:after="0" w:line="8"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(Dollars in millions)</w:t>
      </w:r>
    </w:p>
    <w:tbl>
      <w:tblPr>
        <w:tblLayout w:type="fixed"/>
        <w:tblInd w:w="0" w:type="dxa"/>
        <w:tblCellMar>
          <w:top w:w="0" w:type="dxa"/>
          <w:left w:w="0" w:type="dxa"/>
          <w:bottom w:w="0" w:type="dxa"/>
          <w:right w:w="0" w:type="dxa"/>
        </w:tblCellMar>
      </w:tblPr>
      <w:tr>
        <w:trPr>
          <w:trHeight w:val="165"/>
        </w:trPr>
        <w:tc>
          <w:tcPr>
            <w:tcW w:w="20" w:type="dxa"/>
            <w:vAlign w:val="bottom"/>
          </w:tcPr>
          <w:p>
            <w:pPr>
              <w:spacing w:after="0"/>
              <w:rPr>
                <w:sz w:val="14"/>
                <w:szCs w:val="14"/>
                <w:color w:val="auto"/>
              </w:rPr>
            </w:pPr>
          </w:p>
        </w:tc>
        <w:tc>
          <w:tcPr>
            <w:tcW w:w="3480" w:type="dxa"/>
            <w:vAlign w:val="bottom"/>
          </w:tcPr>
          <w:p>
            <w:pPr>
              <w:spacing w:after="0"/>
              <w:rPr>
                <w:sz w:val="14"/>
                <w:szCs w:val="14"/>
                <w:color w:val="auto"/>
              </w:rPr>
            </w:pPr>
          </w:p>
        </w:tc>
        <w:tc>
          <w:tcPr>
            <w:tcW w:w="1520" w:type="dxa"/>
            <w:vAlign w:val="bottom"/>
            <w:tcBorders>
              <w:bottom w:val="single" w:sz="8" w:color="auto"/>
            </w:tcBorders>
          </w:tcPr>
          <w:p>
            <w:pPr>
              <w:spacing w:after="0"/>
              <w:rPr>
                <w:sz w:val="14"/>
                <w:szCs w:val="14"/>
                <w:color w:val="auto"/>
              </w:rPr>
            </w:pPr>
          </w:p>
        </w:tc>
        <w:tc>
          <w:tcPr>
            <w:tcW w:w="3940" w:type="dxa"/>
            <w:vAlign w:val="bottom"/>
            <w:tcBorders>
              <w:bottom w:val="single" w:sz="8" w:color="auto"/>
            </w:tcBorders>
            <w:gridSpan w:val="3"/>
          </w:tcPr>
          <w:p>
            <w:pPr>
              <w:jc w:val="right"/>
              <w:ind w:right="305"/>
              <w:spacing w:after="0" w:line="159" w:lineRule="exact"/>
              <w:rPr>
                <w:sz w:val="20"/>
                <w:szCs w:val="20"/>
                <w:color w:val="auto"/>
              </w:rPr>
            </w:pPr>
            <w:r>
              <w:rPr>
                <w:rFonts w:ascii="Arial" w:cs="Arial" w:eastAsia="Arial" w:hAnsi="Arial"/>
                <w:sz w:val="14"/>
                <w:szCs w:val="14"/>
                <w:color w:val="auto"/>
              </w:rPr>
              <w:t>Three months ended June 30,</w:t>
            </w:r>
          </w:p>
        </w:tc>
        <w:tc>
          <w:tcPr>
            <w:tcW w:w="380" w:type="dxa"/>
            <w:vAlign w:val="bottom"/>
            <w:tcBorders>
              <w:bottom w:val="single" w:sz="8" w:color="auto"/>
            </w:tcBorders>
          </w:tcPr>
          <w:p>
            <w:pPr>
              <w:spacing w:after="0"/>
              <w:rPr>
                <w:sz w:val="14"/>
                <w:szCs w:val="14"/>
                <w:color w:val="auto"/>
              </w:rPr>
            </w:pPr>
          </w:p>
        </w:tc>
        <w:tc>
          <w:tcPr>
            <w:tcW w:w="2080" w:type="dxa"/>
            <w:vAlign w:val="bottom"/>
            <w:tcBorders>
              <w:bottom w:val="single" w:sz="8" w:color="auto"/>
            </w:tcBorders>
          </w:tcPr>
          <w:p>
            <w:pPr>
              <w:spacing w:after="0"/>
              <w:rPr>
                <w:sz w:val="14"/>
                <w:szCs w:val="14"/>
                <w:color w:val="auto"/>
              </w:rPr>
            </w:pPr>
          </w:p>
        </w:tc>
      </w:tr>
      <w:tr>
        <w:trPr>
          <w:trHeight w:val="169"/>
        </w:trPr>
        <w:tc>
          <w:tcPr>
            <w:tcW w:w="20" w:type="dxa"/>
            <w:vAlign w:val="bottom"/>
          </w:tcPr>
          <w:p>
            <w:pPr>
              <w:spacing w:after="0"/>
              <w:rPr>
                <w:sz w:val="14"/>
                <w:szCs w:val="14"/>
                <w:color w:val="auto"/>
              </w:rPr>
            </w:pPr>
          </w:p>
        </w:tc>
        <w:tc>
          <w:tcPr>
            <w:tcW w:w="3480" w:type="dxa"/>
            <w:vAlign w:val="bottom"/>
          </w:tcPr>
          <w:p>
            <w:pPr>
              <w:spacing w:after="0"/>
              <w:rPr>
                <w:sz w:val="14"/>
                <w:szCs w:val="14"/>
                <w:color w:val="auto"/>
              </w:rPr>
            </w:pPr>
          </w:p>
        </w:tc>
        <w:tc>
          <w:tcPr>
            <w:tcW w:w="1520" w:type="dxa"/>
            <w:vAlign w:val="bottom"/>
            <w:tcBorders>
              <w:bottom w:val="single" w:sz="8" w:color="auto"/>
            </w:tcBorders>
          </w:tcPr>
          <w:p>
            <w:pPr>
              <w:spacing w:after="0"/>
              <w:rPr>
                <w:sz w:val="14"/>
                <w:szCs w:val="14"/>
                <w:color w:val="auto"/>
              </w:rPr>
            </w:pPr>
          </w:p>
        </w:tc>
        <w:tc>
          <w:tcPr>
            <w:tcW w:w="1700" w:type="dxa"/>
            <w:vAlign w:val="bottom"/>
            <w:tcBorders>
              <w:bottom w:val="single" w:sz="8" w:color="auto"/>
            </w:tcBorders>
          </w:tcPr>
          <w:p>
            <w:pPr>
              <w:jc w:val="right"/>
              <w:ind w:right="884"/>
              <w:spacing w:after="0"/>
              <w:rPr>
                <w:sz w:val="20"/>
                <w:szCs w:val="20"/>
                <w:color w:val="auto"/>
              </w:rPr>
            </w:pPr>
            <w:r>
              <w:rPr>
                <w:rFonts w:ascii="Arial" w:cs="Arial" w:eastAsia="Arial" w:hAnsi="Arial"/>
                <w:sz w:val="14"/>
                <w:szCs w:val="14"/>
                <w:color w:val="auto"/>
              </w:rPr>
              <w:t>2011</w:t>
            </w:r>
          </w:p>
        </w:tc>
        <w:tc>
          <w:tcPr>
            <w:tcW w:w="74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2080" w:type="dxa"/>
            <w:vAlign w:val="bottom"/>
            <w:tcBorders>
              <w:bottom w:val="single" w:sz="8" w:color="auto"/>
            </w:tcBorders>
          </w:tcPr>
          <w:p>
            <w:pPr>
              <w:ind w:left="60"/>
              <w:spacing w:after="0"/>
              <w:rPr>
                <w:sz w:val="20"/>
                <w:szCs w:val="20"/>
                <w:color w:val="auto"/>
              </w:rPr>
            </w:pPr>
            <w:r>
              <w:rPr>
                <w:rFonts w:ascii="Arial" w:cs="Arial" w:eastAsia="Arial" w:hAnsi="Arial"/>
                <w:sz w:val="14"/>
                <w:szCs w:val="14"/>
                <w:color w:val="auto"/>
              </w:rPr>
              <w:t>2010</w:t>
            </w:r>
          </w:p>
        </w:tc>
      </w:tr>
      <w:tr>
        <w:trPr>
          <w:trHeight w:val="191"/>
        </w:trPr>
        <w:tc>
          <w:tcPr>
            <w:tcW w:w="20" w:type="dxa"/>
            <w:vAlign w:val="bottom"/>
          </w:tcPr>
          <w:p>
            <w:pPr>
              <w:spacing w:after="0"/>
              <w:rPr>
                <w:sz w:val="16"/>
                <w:szCs w:val="16"/>
                <w:color w:val="auto"/>
              </w:rPr>
            </w:pPr>
          </w:p>
        </w:tc>
        <w:tc>
          <w:tcPr>
            <w:tcW w:w="3480" w:type="dxa"/>
            <w:vAlign w:val="bottom"/>
          </w:tcPr>
          <w:p>
            <w:pPr>
              <w:spacing w:after="0"/>
              <w:rPr>
                <w:sz w:val="16"/>
                <w:szCs w:val="16"/>
                <w:color w:val="auto"/>
              </w:rPr>
            </w:pPr>
          </w:p>
        </w:tc>
        <w:tc>
          <w:tcPr>
            <w:tcW w:w="1520" w:type="dxa"/>
            <w:vAlign w:val="bottom"/>
          </w:tcPr>
          <w:p>
            <w:pPr>
              <w:jc w:val="center"/>
              <w:ind w:left="605"/>
              <w:spacing w:after="0"/>
              <w:rPr>
                <w:sz w:val="20"/>
                <w:szCs w:val="20"/>
                <w:color w:val="auto"/>
              </w:rPr>
            </w:pPr>
            <w:r>
              <w:rPr>
                <w:rFonts w:ascii="Arial" w:cs="Arial" w:eastAsia="Arial" w:hAnsi="Arial"/>
                <w:sz w:val="14"/>
                <w:szCs w:val="14"/>
                <w:color w:val="auto"/>
                <w:w w:val="98"/>
              </w:rPr>
              <w:t>Income Tax</w:t>
            </w:r>
          </w:p>
        </w:tc>
        <w:tc>
          <w:tcPr>
            <w:tcW w:w="2440" w:type="dxa"/>
            <w:vAlign w:val="bottom"/>
            <w:gridSpan w:val="2"/>
          </w:tcPr>
          <w:p>
            <w:pPr>
              <w:jc w:val="center"/>
              <w:ind w:left="264"/>
              <w:spacing w:after="0"/>
              <w:rPr>
                <w:sz w:val="20"/>
                <w:szCs w:val="20"/>
                <w:color w:val="auto"/>
              </w:rPr>
            </w:pPr>
            <w:r>
              <w:rPr>
                <w:rFonts w:ascii="Arial" w:cs="Arial" w:eastAsia="Arial" w:hAnsi="Arial"/>
                <w:sz w:val="14"/>
                <w:szCs w:val="14"/>
                <w:color w:val="auto"/>
              </w:rPr>
              <w:t>Effective Income</w:t>
            </w:r>
          </w:p>
        </w:tc>
        <w:tc>
          <w:tcPr>
            <w:tcW w:w="1500" w:type="dxa"/>
            <w:vAlign w:val="bottom"/>
          </w:tcPr>
          <w:p>
            <w:pPr>
              <w:jc w:val="center"/>
              <w:ind w:left="565"/>
              <w:spacing w:after="0"/>
              <w:rPr>
                <w:sz w:val="20"/>
                <w:szCs w:val="20"/>
                <w:color w:val="auto"/>
              </w:rPr>
            </w:pPr>
            <w:r>
              <w:rPr>
                <w:rFonts w:ascii="Arial" w:cs="Arial" w:eastAsia="Arial" w:hAnsi="Arial"/>
                <w:sz w:val="14"/>
                <w:szCs w:val="14"/>
                <w:color w:val="auto"/>
              </w:rPr>
              <w:t>Income Tax</w:t>
            </w:r>
          </w:p>
        </w:tc>
        <w:tc>
          <w:tcPr>
            <w:tcW w:w="380" w:type="dxa"/>
            <w:vAlign w:val="bottom"/>
          </w:tcPr>
          <w:p>
            <w:pPr>
              <w:spacing w:after="0"/>
              <w:rPr>
                <w:sz w:val="16"/>
                <w:szCs w:val="16"/>
                <w:color w:val="auto"/>
              </w:rPr>
            </w:pPr>
          </w:p>
        </w:tc>
        <w:tc>
          <w:tcPr>
            <w:tcW w:w="2080" w:type="dxa"/>
            <w:vAlign w:val="bottom"/>
          </w:tcPr>
          <w:p>
            <w:pPr>
              <w:jc w:val="center"/>
              <w:spacing w:after="0"/>
              <w:rPr>
                <w:sz w:val="20"/>
                <w:szCs w:val="20"/>
                <w:color w:val="auto"/>
              </w:rPr>
            </w:pPr>
            <w:r>
              <w:rPr>
                <w:rFonts w:ascii="Arial" w:cs="Arial" w:eastAsia="Arial" w:hAnsi="Arial"/>
                <w:sz w:val="14"/>
                <w:szCs w:val="14"/>
                <w:color w:val="auto"/>
              </w:rPr>
              <w:t>Effective Income</w:t>
            </w:r>
          </w:p>
        </w:tc>
      </w:tr>
      <w:tr>
        <w:trPr>
          <w:trHeight w:val="168"/>
        </w:trPr>
        <w:tc>
          <w:tcPr>
            <w:tcW w:w="20" w:type="dxa"/>
            <w:vAlign w:val="bottom"/>
          </w:tcPr>
          <w:p>
            <w:pPr>
              <w:spacing w:after="0"/>
              <w:rPr>
                <w:sz w:val="14"/>
                <w:szCs w:val="14"/>
                <w:color w:val="auto"/>
              </w:rPr>
            </w:pPr>
          </w:p>
        </w:tc>
        <w:tc>
          <w:tcPr>
            <w:tcW w:w="348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tcPr>
          <w:p>
            <w:pPr>
              <w:jc w:val="center"/>
              <w:ind w:left="605"/>
              <w:spacing w:after="0"/>
              <w:rPr>
                <w:sz w:val="20"/>
                <w:szCs w:val="20"/>
                <w:color w:val="auto"/>
              </w:rPr>
            </w:pPr>
            <w:r>
              <w:rPr>
                <w:rFonts w:ascii="Arial" w:cs="Arial" w:eastAsia="Arial" w:hAnsi="Arial"/>
                <w:sz w:val="14"/>
                <w:szCs w:val="14"/>
                <w:color w:val="auto"/>
              </w:rPr>
              <w:t>Expense</w:t>
            </w:r>
          </w:p>
        </w:tc>
        <w:tc>
          <w:tcPr>
            <w:tcW w:w="1700" w:type="dxa"/>
            <w:vAlign w:val="bottom"/>
            <w:tcBorders>
              <w:bottom w:val="single" w:sz="8" w:color="auto"/>
            </w:tcBorders>
          </w:tcPr>
          <w:p>
            <w:pPr>
              <w:jc w:val="center"/>
              <w:ind w:left="1024"/>
              <w:spacing w:after="0"/>
              <w:rPr>
                <w:sz w:val="20"/>
                <w:szCs w:val="20"/>
                <w:color w:val="auto"/>
              </w:rPr>
            </w:pPr>
            <w:r>
              <w:rPr>
                <w:rFonts w:ascii="Arial" w:cs="Arial" w:eastAsia="Arial" w:hAnsi="Arial"/>
                <w:sz w:val="14"/>
                <w:szCs w:val="14"/>
                <w:color w:val="auto"/>
                <w:w w:val="98"/>
              </w:rPr>
              <w:t>Tax Rate</w:t>
            </w:r>
          </w:p>
        </w:tc>
        <w:tc>
          <w:tcPr>
            <w:tcW w:w="74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tcPr>
          <w:p>
            <w:pPr>
              <w:jc w:val="center"/>
              <w:ind w:left="585"/>
              <w:spacing w:after="0"/>
              <w:rPr>
                <w:sz w:val="20"/>
                <w:szCs w:val="20"/>
                <w:color w:val="auto"/>
              </w:rPr>
            </w:pPr>
            <w:r>
              <w:rPr>
                <w:rFonts w:ascii="Arial" w:cs="Arial" w:eastAsia="Arial" w:hAnsi="Arial"/>
                <w:sz w:val="14"/>
                <w:szCs w:val="14"/>
                <w:color w:val="auto"/>
              </w:rPr>
              <w:t>Expense</w:t>
            </w:r>
          </w:p>
        </w:tc>
        <w:tc>
          <w:tcPr>
            <w:tcW w:w="380" w:type="dxa"/>
            <w:vAlign w:val="bottom"/>
            <w:tcBorders>
              <w:bottom w:val="single" w:sz="8" w:color="auto"/>
            </w:tcBorders>
          </w:tcPr>
          <w:p>
            <w:pPr>
              <w:spacing w:after="0"/>
              <w:rPr>
                <w:sz w:val="14"/>
                <w:szCs w:val="14"/>
                <w:color w:val="auto"/>
              </w:rPr>
            </w:pPr>
          </w:p>
        </w:tc>
        <w:tc>
          <w:tcPr>
            <w:tcW w:w="20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Tax Rate</w:t>
            </w:r>
          </w:p>
        </w:tc>
      </w:tr>
      <w:tr>
        <w:trPr>
          <w:trHeight w:val="164"/>
        </w:trPr>
        <w:tc>
          <w:tcPr>
            <w:tcW w:w="20" w:type="dxa"/>
            <w:vAlign w:val="bottom"/>
          </w:tcPr>
          <w:p>
            <w:pPr>
              <w:spacing w:after="0"/>
              <w:rPr>
                <w:sz w:val="14"/>
                <w:szCs w:val="14"/>
                <w:color w:val="auto"/>
              </w:rPr>
            </w:pPr>
          </w:p>
        </w:tc>
        <w:tc>
          <w:tcPr>
            <w:tcW w:w="3480" w:type="dxa"/>
            <w:vAlign w:val="bottom"/>
          </w:tcPr>
          <w:p>
            <w:pPr>
              <w:spacing w:after="0" w:line="164" w:lineRule="exact"/>
              <w:rPr>
                <w:sz w:val="20"/>
                <w:szCs w:val="20"/>
                <w:color w:val="auto"/>
              </w:rPr>
            </w:pPr>
            <w:r>
              <w:rPr>
                <w:rFonts w:ascii="Arial" w:cs="Arial" w:eastAsia="Arial" w:hAnsi="Arial"/>
                <w:sz w:val="16"/>
                <w:szCs w:val="16"/>
                <w:color w:val="auto"/>
              </w:rPr>
              <w:t>Sempra Energy Consolidated</w:t>
            </w:r>
          </w:p>
        </w:tc>
        <w:tc>
          <w:tcPr>
            <w:tcW w:w="1520" w:type="dxa"/>
            <w:vAlign w:val="bottom"/>
          </w:tcPr>
          <w:p>
            <w:pPr>
              <w:jc w:val="right"/>
              <w:ind w:right="1145"/>
              <w:spacing w:after="0" w:line="164" w:lineRule="exact"/>
              <w:rPr>
                <w:sz w:val="20"/>
                <w:szCs w:val="20"/>
                <w:color w:val="auto"/>
              </w:rPr>
            </w:pPr>
            <w:r>
              <w:rPr>
                <w:rFonts w:ascii="Arial" w:cs="Arial" w:eastAsia="Arial" w:hAnsi="Arial"/>
                <w:sz w:val="16"/>
                <w:szCs w:val="16"/>
                <w:color w:val="auto"/>
              </w:rPr>
              <w:t>$</w:t>
            </w:r>
          </w:p>
        </w:tc>
        <w:tc>
          <w:tcPr>
            <w:tcW w:w="1700" w:type="dxa"/>
            <w:vAlign w:val="bottom"/>
          </w:tcPr>
          <w:p>
            <w:pPr>
              <w:jc w:val="right"/>
              <w:ind w:right="1284"/>
              <w:spacing w:after="0" w:line="164" w:lineRule="exact"/>
              <w:rPr>
                <w:sz w:val="20"/>
                <w:szCs w:val="20"/>
                <w:color w:val="auto"/>
              </w:rPr>
            </w:pPr>
            <w:r>
              <w:rPr>
                <w:rFonts w:ascii="Arial" w:cs="Arial" w:eastAsia="Arial" w:hAnsi="Arial"/>
                <w:sz w:val="16"/>
                <w:szCs w:val="16"/>
                <w:color w:val="auto"/>
              </w:rPr>
              <w:t>92</w:t>
            </w:r>
          </w:p>
        </w:tc>
        <w:tc>
          <w:tcPr>
            <w:tcW w:w="740" w:type="dxa"/>
            <w:vAlign w:val="bottom"/>
          </w:tcPr>
          <w:p>
            <w:pPr>
              <w:ind w:left="200"/>
              <w:spacing w:after="0" w:line="164" w:lineRule="exact"/>
              <w:rPr>
                <w:sz w:val="20"/>
                <w:szCs w:val="20"/>
                <w:color w:val="auto"/>
              </w:rPr>
            </w:pPr>
            <w:r>
              <w:rPr>
                <w:rFonts w:ascii="Arial" w:cs="Arial" w:eastAsia="Arial" w:hAnsi="Arial"/>
                <w:sz w:val="16"/>
                <w:szCs w:val="16"/>
                <w:color w:val="auto"/>
              </w:rPr>
              <w:t>16 %</w:t>
            </w:r>
          </w:p>
        </w:tc>
        <w:tc>
          <w:tcPr>
            <w:tcW w:w="1500" w:type="dxa"/>
            <w:vAlign w:val="bottom"/>
          </w:tcPr>
          <w:p>
            <w:pPr>
              <w:jc w:val="right"/>
              <w:ind w:right="1145"/>
              <w:spacing w:after="0" w:line="164" w:lineRule="exact"/>
              <w:rPr>
                <w:sz w:val="20"/>
                <w:szCs w:val="20"/>
                <w:color w:val="auto"/>
              </w:rPr>
            </w:pPr>
            <w:r>
              <w:rPr>
                <w:rFonts w:ascii="Arial" w:cs="Arial" w:eastAsia="Arial" w:hAnsi="Arial"/>
                <w:sz w:val="16"/>
                <w:szCs w:val="16"/>
                <w:color w:val="auto"/>
              </w:rPr>
              <w:t>$</w:t>
            </w:r>
          </w:p>
        </w:tc>
        <w:tc>
          <w:tcPr>
            <w:tcW w:w="380" w:type="dxa"/>
            <w:vAlign w:val="bottom"/>
          </w:tcPr>
          <w:p>
            <w:pPr>
              <w:jc w:val="right"/>
              <w:spacing w:after="0" w:line="164" w:lineRule="exact"/>
              <w:rPr>
                <w:sz w:val="20"/>
                <w:szCs w:val="20"/>
                <w:color w:val="auto"/>
              </w:rPr>
            </w:pPr>
            <w:r>
              <w:rPr>
                <w:rFonts w:ascii="Arial" w:cs="Arial" w:eastAsia="Arial" w:hAnsi="Arial"/>
                <w:sz w:val="16"/>
                <w:szCs w:val="16"/>
                <w:color w:val="auto"/>
              </w:rPr>
              <w:t>59</w:t>
            </w:r>
          </w:p>
        </w:tc>
        <w:tc>
          <w:tcPr>
            <w:tcW w:w="2080" w:type="dxa"/>
            <w:vAlign w:val="bottom"/>
          </w:tcPr>
          <w:p>
            <w:pPr>
              <w:ind w:left="1540"/>
              <w:spacing w:after="0" w:line="164" w:lineRule="exact"/>
              <w:rPr>
                <w:sz w:val="20"/>
                <w:szCs w:val="20"/>
                <w:color w:val="auto"/>
              </w:rPr>
            </w:pPr>
            <w:r>
              <w:rPr>
                <w:rFonts w:ascii="Arial" w:cs="Arial" w:eastAsia="Arial" w:hAnsi="Arial"/>
                <w:sz w:val="16"/>
                <w:szCs w:val="16"/>
                <w:color w:val="auto"/>
              </w:rPr>
              <w:t>25 %</w:t>
            </w:r>
          </w:p>
        </w:tc>
      </w:tr>
      <w:tr>
        <w:trPr>
          <w:trHeight w:val="176"/>
        </w:trPr>
        <w:tc>
          <w:tcPr>
            <w:tcW w:w="3500" w:type="dxa"/>
            <w:vAlign w:val="bottom"/>
            <w:gridSpan w:val="2"/>
          </w:tcPr>
          <w:p>
            <w:pPr>
              <w:spacing w:after="0" w:line="176" w:lineRule="exact"/>
              <w:rPr>
                <w:sz w:val="20"/>
                <w:szCs w:val="20"/>
                <w:color w:val="auto"/>
              </w:rPr>
            </w:pPr>
            <w:r>
              <w:rPr>
                <w:rFonts w:ascii="Arial" w:cs="Arial" w:eastAsia="Arial" w:hAnsi="Arial"/>
                <w:sz w:val="16"/>
                <w:szCs w:val="16"/>
                <w:color w:val="auto"/>
              </w:rPr>
              <w:t>SDG&amp;E</w:t>
            </w:r>
          </w:p>
        </w:tc>
        <w:tc>
          <w:tcPr>
            <w:tcW w:w="1520" w:type="dxa"/>
            <w:vAlign w:val="bottom"/>
          </w:tcPr>
          <w:p>
            <w:pPr>
              <w:spacing w:after="0"/>
              <w:rPr>
                <w:sz w:val="15"/>
                <w:szCs w:val="15"/>
                <w:color w:val="auto"/>
              </w:rPr>
            </w:pPr>
          </w:p>
        </w:tc>
        <w:tc>
          <w:tcPr>
            <w:tcW w:w="1700" w:type="dxa"/>
            <w:vAlign w:val="bottom"/>
          </w:tcPr>
          <w:p>
            <w:pPr>
              <w:jc w:val="right"/>
              <w:ind w:right="1284"/>
              <w:spacing w:after="0" w:line="176" w:lineRule="exact"/>
              <w:rPr>
                <w:sz w:val="20"/>
                <w:szCs w:val="20"/>
                <w:color w:val="auto"/>
              </w:rPr>
            </w:pPr>
            <w:r>
              <w:rPr>
                <w:rFonts w:ascii="Arial" w:cs="Arial" w:eastAsia="Arial" w:hAnsi="Arial"/>
                <w:sz w:val="16"/>
                <w:szCs w:val="16"/>
                <w:color w:val="auto"/>
              </w:rPr>
              <w:t>42</w:t>
            </w:r>
          </w:p>
        </w:tc>
        <w:tc>
          <w:tcPr>
            <w:tcW w:w="740" w:type="dxa"/>
            <w:vAlign w:val="bottom"/>
          </w:tcPr>
          <w:p>
            <w:pPr>
              <w:ind w:left="200"/>
              <w:spacing w:after="0" w:line="176" w:lineRule="exact"/>
              <w:rPr>
                <w:sz w:val="20"/>
                <w:szCs w:val="20"/>
                <w:color w:val="auto"/>
              </w:rPr>
            </w:pPr>
            <w:r>
              <w:rPr>
                <w:rFonts w:ascii="Arial" w:cs="Arial" w:eastAsia="Arial" w:hAnsi="Arial"/>
                <w:sz w:val="16"/>
                <w:szCs w:val="16"/>
                <w:color w:val="auto"/>
              </w:rPr>
              <w:t>44</w:t>
            </w:r>
          </w:p>
        </w:tc>
        <w:tc>
          <w:tcPr>
            <w:tcW w:w="1500" w:type="dxa"/>
            <w:vAlign w:val="bottom"/>
          </w:tcPr>
          <w:p>
            <w:pPr>
              <w:spacing w:after="0"/>
              <w:rPr>
                <w:sz w:val="15"/>
                <w:szCs w:val="15"/>
                <w:color w:val="auto"/>
              </w:rPr>
            </w:pPr>
          </w:p>
        </w:tc>
        <w:tc>
          <w:tcPr>
            <w:tcW w:w="380" w:type="dxa"/>
            <w:vAlign w:val="bottom"/>
          </w:tcPr>
          <w:p>
            <w:pPr>
              <w:jc w:val="right"/>
              <w:spacing w:after="0" w:line="176" w:lineRule="exact"/>
              <w:rPr>
                <w:sz w:val="20"/>
                <w:szCs w:val="20"/>
                <w:color w:val="auto"/>
              </w:rPr>
            </w:pPr>
            <w:r>
              <w:rPr>
                <w:rFonts w:ascii="Arial" w:cs="Arial" w:eastAsia="Arial" w:hAnsi="Arial"/>
                <w:sz w:val="16"/>
                <w:szCs w:val="16"/>
                <w:color w:val="auto"/>
              </w:rPr>
              <w:t>44</w:t>
            </w:r>
          </w:p>
        </w:tc>
        <w:tc>
          <w:tcPr>
            <w:tcW w:w="2080" w:type="dxa"/>
            <w:vAlign w:val="bottom"/>
          </w:tcPr>
          <w:p>
            <w:pPr>
              <w:ind w:left="1540"/>
              <w:spacing w:after="0" w:line="176" w:lineRule="exact"/>
              <w:rPr>
                <w:sz w:val="20"/>
                <w:szCs w:val="20"/>
                <w:color w:val="auto"/>
              </w:rPr>
            </w:pPr>
            <w:r>
              <w:rPr>
                <w:rFonts w:ascii="Arial" w:cs="Arial" w:eastAsia="Arial" w:hAnsi="Arial"/>
                <w:sz w:val="16"/>
                <w:szCs w:val="16"/>
                <w:color w:val="auto"/>
              </w:rPr>
              <w:t>44</w:t>
            </w:r>
          </w:p>
        </w:tc>
      </w:tr>
      <w:tr>
        <w:trPr>
          <w:trHeight w:val="194"/>
        </w:trPr>
        <w:tc>
          <w:tcPr>
            <w:tcW w:w="3500" w:type="dxa"/>
            <w:vAlign w:val="bottom"/>
            <w:gridSpan w:val="2"/>
          </w:tcPr>
          <w:p>
            <w:pPr>
              <w:spacing w:after="0"/>
              <w:rPr>
                <w:sz w:val="20"/>
                <w:szCs w:val="20"/>
                <w:color w:val="auto"/>
              </w:rPr>
            </w:pPr>
            <w:r>
              <w:rPr>
                <w:rFonts w:ascii="Arial" w:cs="Arial" w:eastAsia="Arial" w:hAnsi="Arial"/>
                <w:sz w:val="16"/>
                <w:szCs w:val="16"/>
                <w:color w:val="auto"/>
              </w:rPr>
              <w:t>SoCalGas</w:t>
            </w:r>
          </w:p>
        </w:tc>
        <w:tc>
          <w:tcPr>
            <w:tcW w:w="1520" w:type="dxa"/>
            <w:vAlign w:val="bottom"/>
          </w:tcPr>
          <w:p>
            <w:pPr>
              <w:spacing w:after="0"/>
              <w:rPr>
                <w:sz w:val="16"/>
                <w:szCs w:val="16"/>
                <w:color w:val="auto"/>
              </w:rPr>
            </w:pPr>
          </w:p>
        </w:tc>
        <w:tc>
          <w:tcPr>
            <w:tcW w:w="1700" w:type="dxa"/>
            <w:vAlign w:val="bottom"/>
          </w:tcPr>
          <w:p>
            <w:pPr>
              <w:jc w:val="right"/>
              <w:ind w:right="1284"/>
              <w:spacing w:after="0"/>
              <w:rPr>
                <w:sz w:val="20"/>
                <w:szCs w:val="20"/>
                <w:color w:val="auto"/>
              </w:rPr>
            </w:pPr>
            <w:r>
              <w:rPr>
                <w:rFonts w:ascii="Arial" w:cs="Arial" w:eastAsia="Arial" w:hAnsi="Arial"/>
                <w:sz w:val="16"/>
                <w:szCs w:val="16"/>
                <w:color w:val="auto"/>
              </w:rPr>
              <w:t>28</w:t>
            </w:r>
          </w:p>
        </w:tc>
        <w:tc>
          <w:tcPr>
            <w:tcW w:w="740" w:type="dxa"/>
            <w:vAlign w:val="bottom"/>
          </w:tcPr>
          <w:p>
            <w:pPr>
              <w:ind w:left="200"/>
              <w:spacing w:after="0"/>
              <w:rPr>
                <w:sz w:val="20"/>
                <w:szCs w:val="20"/>
                <w:color w:val="auto"/>
              </w:rPr>
            </w:pPr>
            <w:r>
              <w:rPr>
                <w:rFonts w:ascii="Arial" w:cs="Arial" w:eastAsia="Arial" w:hAnsi="Arial"/>
                <w:sz w:val="16"/>
                <w:szCs w:val="16"/>
                <w:color w:val="auto"/>
              </w:rPr>
              <w:t>32</w:t>
            </w:r>
          </w:p>
        </w:tc>
        <w:tc>
          <w:tcPr>
            <w:tcW w:w="1500" w:type="dxa"/>
            <w:vAlign w:val="bottom"/>
          </w:tcPr>
          <w:p>
            <w:pPr>
              <w:spacing w:after="0"/>
              <w:rPr>
                <w:sz w:val="16"/>
                <w:szCs w:val="16"/>
                <w:color w:val="auto"/>
              </w:rPr>
            </w:pPr>
          </w:p>
        </w:tc>
        <w:tc>
          <w:tcPr>
            <w:tcW w:w="380" w:type="dxa"/>
            <w:vAlign w:val="bottom"/>
          </w:tcPr>
          <w:p>
            <w:pPr>
              <w:jc w:val="right"/>
              <w:spacing w:after="0"/>
              <w:rPr>
                <w:sz w:val="20"/>
                <w:szCs w:val="20"/>
                <w:color w:val="auto"/>
              </w:rPr>
            </w:pPr>
            <w:r>
              <w:rPr>
                <w:rFonts w:ascii="Arial" w:cs="Arial" w:eastAsia="Arial" w:hAnsi="Arial"/>
                <w:sz w:val="16"/>
                <w:szCs w:val="16"/>
                <w:color w:val="auto"/>
              </w:rPr>
              <w:t>34</w:t>
            </w:r>
          </w:p>
        </w:tc>
        <w:tc>
          <w:tcPr>
            <w:tcW w:w="2080" w:type="dxa"/>
            <w:vAlign w:val="bottom"/>
          </w:tcPr>
          <w:p>
            <w:pPr>
              <w:ind w:left="1540"/>
              <w:spacing w:after="0"/>
              <w:rPr>
                <w:sz w:val="20"/>
                <w:szCs w:val="20"/>
                <w:color w:val="auto"/>
              </w:rPr>
            </w:pPr>
            <w:r>
              <w:rPr>
                <w:rFonts w:ascii="Arial" w:cs="Arial" w:eastAsia="Arial" w:hAnsi="Arial"/>
                <w:sz w:val="16"/>
                <w:szCs w:val="16"/>
                <w:color w:val="auto"/>
              </w:rPr>
              <w:t>33</w:t>
            </w:r>
          </w:p>
        </w:tc>
      </w:tr>
      <w:tr>
        <w:trPr>
          <w:trHeight w:val="169"/>
        </w:trPr>
        <w:tc>
          <w:tcPr>
            <w:tcW w:w="20" w:type="dxa"/>
            <w:vAlign w:val="bottom"/>
          </w:tcPr>
          <w:p>
            <w:pPr>
              <w:spacing w:after="0"/>
              <w:rPr>
                <w:sz w:val="14"/>
                <w:szCs w:val="14"/>
                <w:color w:val="auto"/>
              </w:rPr>
            </w:pPr>
          </w:p>
        </w:tc>
        <w:tc>
          <w:tcPr>
            <w:tcW w:w="3480" w:type="dxa"/>
            <w:vAlign w:val="bottom"/>
            <w:tcBorders>
              <w:top w:val="single" w:sz="8" w:color="auto"/>
            </w:tcBorders>
          </w:tcPr>
          <w:p>
            <w:pPr>
              <w:spacing w:after="0"/>
              <w:rPr>
                <w:sz w:val="14"/>
                <w:szCs w:val="14"/>
                <w:color w:val="auto"/>
              </w:rPr>
            </w:pPr>
          </w:p>
        </w:tc>
        <w:tc>
          <w:tcPr>
            <w:tcW w:w="1520" w:type="dxa"/>
            <w:vAlign w:val="bottom"/>
            <w:tcBorders>
              <w:top w:val="single" w:sz="8" w:color="auto"/>
              <w:bottom w:val="single" w:sz="8" w:color="auto"/>
            </w:tcBorders>
          </w:tcPr>
          <w:p>
            <w:pPr>
              <w:spacing w:after="0"/>
              <w:rPr>
                <w:sz w:val="14"/>
                <w:szCs w:val="14"/>
                <w:color w:val="auto"/>
              </w:rPr>
            </w:pPr>
          </w:p>
        </w:tc>
        <w:tc>
          <w:tcPr>
            <w:tcW w:w="1700" w:type="dxa"/>
            <w:vAlign w:val="bottom"/>
            <w:tcBorders>
              <w:top w:val="single" w:sz="8" w:color="auto"/>
              <w:bottom w:val="single" w:sz="8" w:color="auto"/>
            </w:tcBorders>
          </w:tcPr>
          <w:p>
            <w:pPr>
              <w:spacing w:after="0"/>
              <w:rPr>
                <w:sz w:val="14"/>
                <w:szCs w:val="14"/>
                <w:color w:val="auto"/>
              </w:rPr>
            </w:pPr>
          </w:p>
        </w:tc>
        <w:tc>
          <w:tcPr>
            <w:tcW w:w="2240" w:type="dxa"/>
            <w:vAlign w:val="bottom"/>
            <w:tcBorders>
              <w:top w:val="single" w:sz="8" w:color="auto"/>
              <w:bottom w:val="single" w:sz="8" w:color="auto"/>
            </w:tcBorders>
            <w:gridSpan w:val="2"/>
          </w:tcPr>
          <w:p>
            <w:pPr>
              <w:ind w:left="20"/>
              <w:spacing w:after="0"/>
              <w:rPr>
                <w:sz w:val="20"/>
                <w:szCs w:val="20"/>
                <w:color w:val="auto"/>
              </w:rPr>
            </w:pPr>
            <w:r>
              <w:rPr>
                <w:rFonts w:ascii="Arial" w:cs="Arial" w:eastAsia="Arial" w:hAnsi="Arial"/>
                <w:sz w:val="14"/>
                <w:szCs w:val="14"/>
                <w:color w:val="auto"/>
              </w:rPr>
              <w:t>Six months ended June 30,</w:t>
            </w:r>
          </w:p>
        </w:tc>
        <w:tc>
          <w:tcPr>
            <w:tcW w:w="380" w:type="dxa"/>
            <w:vAlign w:val="bottom"/>
            <w:tcBorders>
              <w:top w:val="single" w:sz="8" w:color="auto"/>
              <w:bottom w:val="single" w:sz="8" w:color="auto"/>
            </w:tcBorders>
          </w:tcPr>
          <w:p>
            <w:pPr>
              <w:spacing w:after="0"/>
              <w:rPr>
                <w:sz w:val="14"/>
                <w:szCs w:val="14"/>
                <w:color w:val="auto"/>
              </w:rPr>
            </w:pPr>
          </w:p>
        </w:tc>
        <w:tc>
          <w:tcPr>
            <w:tcW w:w="2080" w:type="dxa"/>
            <w:vAlign w:val="bottom"/>
            <w:tcBorders>
              <w:top w:val="single" w:sz="8" w:color="auto"/>
              <w:bottom w:val="single" w:sz="8" w:color="auto"/>
            </w:tcBorders>
          </w:tcPr>
          <w:p>
            <w:pPr>
              <w:spacing w:after="0"/>
              <w:rPr>
                <w:sz w:val="14"/>
                <w:szCs w:val="14"/>
                <w:color w:val="auto"/>
              </w:rPr>
            </w:pPr>
          </w:p>
        </w:tc>
      </w:tr>
      <w:tr>
        <w:trPr>
          <w:trHeight w:val="169"/>
        </w:trPr>
        <w:tc>
          <w:tcPr>
            <w:tcW w:w="20" w:type="dxa"/>
            <w:vAlign w:val="bottom"/>
          </w:tcPr>
          <w:p>
            <w:pPr>
              <w:spacing w:after="0"/>
              <w:rPr>
                <w:sz w:val="14"/>
                <w:szCs w:val="14"/>
                <w:color w:val="auto"/>
              </w:rPr>
            </w:pPr>
          </w:p>
        </w:tc>
        <w:tc>
          <w:tcPr>
            <w:tcW w:w="3480" w:type="dxa"/>
            <w:vAlign w:val="bottom"/>
          </w:tcPr>
          <w:p>
            <w:pPr>
              <w:spacing w:after="0"/>
              <w:rPr>
                <w:sz w:val="14"/>
                <w:szCs w:val="14"/>
                <w:color w:val="auto"/>
              </w:rPr>
            </w:pPr>
          </w:p>
        </w:tc>
        <w:tc>
          <w:tcPr>
            <w:tcW w:w="1520" w:type="dxa"/>
            <w:vAlign w:val="bottom"/>
            <w:tcBorders>
              <w:bottom w:val="single" w:sz="8" w:color="auto"/>
            </w:tcBorders>
          </w:tcPr>
          <w:p>
            <w:pPr>
              <w:spacing w:after="0"/>
              <w:rPr>
                <w:sz w:val="14"/>
                <w:szCs w:val="14"/>
                <w:color w:val="auto"/>
              </w:rPr>
            </w:pPr>
          </w:p>
        </w:tc>
        <w:tc>
          <w:tcPr>
            <w:tcW w:w="1700" w:type="dxa"/>
            <w:vAlign w:val="bottom"/>
            <w:tcBorders>
              <w:bottom w:val="single" w:sz="8" w:color="auto"/>
            </w:tcBorders>
          </w:tcPr>
          <w:p>
            <w:pPr>
              <w:jc w:val="right"/>
              <w:ind w:right="884"/>
              <w:spacing w:after="0"/>
              <w:rPr>
                <w:sz w:val="20"/>
                <w:szCs w:val="20"/>
                <w:color w:val="auto"/>
              </w:rPr>
            </w:pPr>
            <w:r>
              <w:rPr>
                <w:rFonts w:ascii="Arial" w:cs="Arial" w:eastAsia="Arial" w:hAnsi="Arial"/>
                <w:sz w:val="14"/>
                <w:szCs w:val="14"/>
                <w:color w:val="auto"/>
              </w:rPr>
              <w:t>2011</w:t>
            </w:r>
          </w:p>
        </w:tc>
        <w:tc>
          <w:tcPr>
            <w:tcW w:w="74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2080" w:type="dxa"/>
            <w:vAlign w:val="bottom"/>
            <w:tcBorders>
              <w:bottom w:val="single" w:sz="8" w:color="auto"/>
            </w:tcBorders>
          </w:tcPr>
          <w:p>
            <w:pPr>
              <w:ind w:left="60"/>
              <w:spacing w:after="0"/>
              <w:rPr>
                <w:sz w:val="20"/>
                <w:szCs w:val="20"/>
                <w:color w:val="auto"/>
              </w:rPr>
            </w:pPr>
            <w:r>
              <w:rPr>
                <w:rFonts w:ascii="Arial" w:cs="Arial" w:eastAsia="Arial" w:hAnsi="Arial"/>
                <w:sz w:val="14"/>
                <w:szCs w:val="14"/>
                <w:color w:val="auto"/>
              </w:rPr>
              <w:t>2010</w:t>
            </w:r>
          </w:p>
        </w:tc>
      </w:tr>
      <w:tr>
        <w:trPr>
          <w:trHeight w:val="191"/>
        </w:trPr>
        <w:tc>
          <w:tcPr>
            <w:tcW w:w="20" w:type="dxa"/>
            <w:vAlign w:val="bottom"/>
          </w:tcPr>
          <w:p>
            <w:pPr>
              <w:spacing w:after="0"/>
              <w:rPr>
                <w:sz w:val="16"/>
                <w:szCs w:val="16"/>
                <w:color w:val="auto"/>
              </w:rPr>
            </w:pPr>
          </w:p>
        </w:tc>
        <w:tc>
          <w:tcPr>
            <w:tcW w:w="3480" w:type="dxa"/>
            <w:vAlign w:val="bottom"/>
          </w:tcPr>
          <w:p>
            <w:pPr>
              <w:spacing w:after="0"/>
              <w:rPr>
                <w:sz w:val="16"/>
                <w:szCs w:val="16"/>
                <w:color w:val="auto"/>
              </w:rPr>
            </w:pPr>
          </w:p>
        </w:tc>
        <w:tc>
          <w:tcPr>
            <w:tcW w:w="1520" w:type="dxa"/>
            <w:vAlign w:val="bottom"/>
          </w:tcPr>
          <w:p>
            <w:pPr>
              <w:jc w:val="center"/>
              <w:ind w:left="605"/>
              <w:spacing w:after="0"/>
              <w:rPr>
                <w:sz w:val="20"/>
                <w:szCs w:val="20"/>
                <w:color w:val="auto"/>
              </w:rPr>
            </w:pPr>
            <w:r>
              <w:rPr>
                <w:rFonts w:ascii="Arial" w:cs="Arial" w:eastAsia="Arial" w:hAnsi="Arial"/>
                <w:sz w:val="14"/>
                <w:szCs w:val="14"/>
                <w:color w:val="auto"/>
                <w:w w:val="98"/>
              </w:rPr>
              <w:t>Income Tax</w:t>
            </w:r>
          </w:p>
        </w:tc>
        <w:tc>
          <w:tcPr>
            <w:tcW w:w="2440" w:type="dxa"/>
            <w:vAlign w:val="bottom"/>
            <w:gridSpan w:val="2"/>
          </w:tcPr>
          <w:p>
            <w:pPr>
              <w:jc w:val="center"/>
              <w:ind w:left="264"/>
              <w:spacing w:after="0"/>
              <w:rPr>
                <w:sz w:val="20"/>
                <w:szCs w:val="20"/>
                <w:color w:val="auto"/>
              </w:rPr>
            </w:pPr>
            <w:r>
              <w:rPr>
                <w:rFonts w:ascii="Arial" w:cs="Arial" w:eastAsia="Arial" w:hAnsi="Arial"/>
                <w:sz w:val="14"/>
                <w:szCs w:val="14"/>
                <w:color w:val="auto"/>
              </w:rPr>
              <w:t>Effective Income</w:t>
            </w:r>
          </w:p>
        </w:tc>
        <w:tc>
          <w:tcPr>
            <w:tcW w:w="1500" w:type="dxa"/>
            <w:vAlign w:val="bottom"/>
          </w:tcPr>
          <w:p>
            <w:pPr>
              <w:jc w:val="center"/>
              <w:ind w:left="565"/>
              <w:spacing w:after="0"/>
              <w:rPr>
                <w:sz w:val="20"/>
                <w:szCs w:val="20"/>
                <w:color w:val="auto"/>
              </w:rPr>
            </w:pPr>
            <w:r>
              <w:rPr>
                <w:rFonts w:ascii="Arial" w:cs="Arial" w:eastAsia="Arial" w:hAnsi="Arial"/>
                <w:sz w:val="14"/>
                <w:szCs w:val="14"/>
                <w:color w:val="auto"/>
              </w:rPr>
              <w:t>Income Tax</w:t>
            </w:r>
          </w:p>
        </w:tc>
        <w:tc>
          <w:tcPr>
            <w:tcW w:w="380" w:type="dxa"/>
            <w:vAlign w:val="bottom"/>
          </w:tcPr>
          <w:p>
            <w:pPr>
              <w:spacing w:after="0"/>
              <w:rPr>
                <w:sz w:val="16"/>
                <w:szCs w:val="16"/>
                <w:color w:val="auto"/>
              </w:rPr>
            </w:pPr>
          </w:p>
        </w:tc>
        <w:tc>
          <w:tcPr>
            <w:tcW w:w="2080" w:type="dxa"/>
            <w:vAlign w:val="bottom"/>
          </w:tcPr>
          <w:p>
            <w:pPr>
              <w:jc w:val="center"/>
              <w:spacing w:after="0"/>
              <w:rPr>
                <w:sz w:val="20"/>
                <w:szCs w:val="20"/>
                <w:color w:val="auto"/>
              </w:rPr>
            </w:pPr>
            <w:r>
              <w:rPr>
                <w:rFonts w:ascii="Arial" w:cs="Arial" w:eastAsia="Arial" w:hAnsi="Arial"/>
                <w:sz w:val="14"/>
                <w:szCs w:val="14"/>
                <w:color w:val="auto"/>
              </w:rPr>
              <w:t>Effective Income</w:t>
            </w:r>
          </w:p>
        </w:tc>
      </w:tr>
      <w:tr>
        <w:trPr>
          <w:trHeight w:val="168"/>
        </w:trPr>
        <w:tc>
          <w:tcPr>
            <w:tcW w:w="20" w:type="dxa"/>
            <w:vAlign w:val="bottom"/>
          </w:tcPr>
          <w:p>
            <w:pPr>
              <w:spacing w:after="0"/>
              <w:rPr>
                <w:sz w:val="14"/>
                <w:szCs w:val="14"/>
                <w:color w:val="auto"/>
              </w:rPr>
            </w:pPr>
          </w:p>
        </w:tc>
        <w:tc>
          <w:tcPr>
            <w:tcW w:w="348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tcPr>
          <w:p>
            <w:pPr>
              <w:jc w:val="center"/>
              <w:ind w:left="605"/>
              <w:spacing w:after="0"/>
              <w:rPr>
                <w:sz w:val="20"/>
                <w:szCs w:val="20"/>
                <w:color w:val="auto"/>
              </w:rPr>
            </w:pPr>
            <w:r>
              <w:rPr>
                <w:rFonts w:ascii="Arial" w:cs="Arial" w:eastAsia="Arial" w:hAnsi="Arial"/>
                <w:sz w:val="14"/>
                <w:szCs w:val="14"/>
                <w:color w:val="auto"/>
              </w:rPr>
              <w:t>Expense</w:t>
            </w:r>
          </w:p>
        </w:tc>
        <w:tc>
          <w:tcPr>
            <w:tcW w:w="1700" w:type="dxa"/>
            <w:vAlign w:val="bottom"/>
            <w:tcBorders>
              <w:bottom w:val="single" w:sz="8" w:color="auto"/>
            </w:tcBorders>
          </w:tcPr>
          <w:p>
            <w:pPr>
              <w:jc w:val="center"/>
              <w:ind w:left="1024"/>
              <w:spacing w:after="0"/>
              <w:rPr>
                <w:sz w:val="20"/>
                <w:szCs w:val="20"/>
                <w:color w:val="auto"/>
              </w:rPr>
            </w:pPr>
            <w:r>
              <w:rPr>
                <w:rFonts w:ascii="Arial" w:cs="Arial" w:eastAsia="Arial" w:hAnsi="Arial"/>
                <w:sz w:val="14"/>
                <w:szCs w:val="14"/>
                <w:color w:val="auto"/>
                <w:w w:val="98"/>
              </w:rPr>
              <w:t>Tax Rate</w:t>
            </w:r>
          </w:p>
        </w:tc>
        <w:tc>
          <w:tcPr>
            <w:tcW w:w="74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tcPr>
          <w:p>
            <w:pPr>
              <w:jc w:val="center"/>
              <w:ind w:left="585"/>
              <w:spacing w:after="0"/>
              <w:rPr>
                <w:sz w:val="20"/>
                <w:szCs w:val="20"/>
                <w:color w:val="auto"/>
              </w:rPr>
            </w:pPr>
            <w:r>
              <w:rPr>
                <w:rFonts w:ascii="Arial" w:cs="Arial" w:eastAsia="Arial" w:hAnsi="Arial"/>
                <w:sz w:val="14"/>
                <w:szCs w:val="14"/>
                <w:color w:val="auto"/>
              </w:rPr>
              <w:t>Expense</w:t>
            </w:r>
          </w:p>
        </w:tc>
        <w:tc>
          <w:tcPr>
            <w:tcW w:w="380" w:type="dxa"/>
            <w:vAlign w:val="bottom"/>
            <w:tcBorders>
              <w:bottom w:val="single" w:sz="8" w:color="auto"/>
            </w:tcBorders>
          </w:tcPr>
          <w:p>
            <w:pPr>
              <w:spacing w:after="0"/>
              <w:rPr>
                <w:sz w:val="14"/>
                <w:szCs w:val="14"/>
                <w:color w:val="auto"/>
              </w:rPr>
            </w:pPr>
          </w:p>
        </w:tc>
        <w:tc>
          <w:tcPr>
            <w:tcW w:w="20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Tax Rate</w:t>
            </w:r>
          </w:p>
        </w:tc>
      </w:tr>
      <w:tr>
        <w:trPr>
          <w:trHeight w:val="164"/>
        </w:trPr>
        <w:tc>
          <w:tcPr>
            <w:tcW w:w="20" w:type="dxa"/>
            <w:vAlign w:val="bottom"/>
          </w:tcPr>
          <w:p>
            <w:pPr>
              <w:spacing w:after="0"/>
              <w:rPr>
                <w:sz w:val="14"/>
                <w:szCs w:val="14"/>
                <w:color w:val="auto"/>
              </w:rPr>
            </w:pPr>
          </w:p>
        </w:tc>
        <w:tc>
          <w:tcPr>
            <w:tcW w:w="3480" w:type="dxa"/>
            <w:vAlign w:val="bottom"/>
          </w:tcPr>
          <w:p>
            <w:pPr>
              <w:spacing w:after="0" w:line="164" w:lineRule="exact"/>
              <w:rPr>
                <w:sz w:val="20"/>
                <w:szCs w:val="20"/>
                <w:color w:val="auto"/>
              </w:rPr>
            </w:pPr>
            <w:r>
              <w:rPr>
                <w:rFonts w:ascii="Arial" w:cs="Arial" w:eastAsia="Arial" w:hAnsi="Arial"/>
                <w:sz w:val="16"/>
                <w:szCs w:val="16"/>
                <w:color w:val="auto"/>
              </w:rPr>
              <w:t>Sempra Energy Consolidated</w:t>
            </w:r>
          </w:p>
        </w:tc>
        <w:tc>
          <w:tcPr>
            <w:tcW w:w="1520" w:type="dxa"/>
            <w:vAlign w:val="bottom"/>
          </w:tcPr>
          <w:p>
            <w:pPr>
              <w:jc w:val="right"/>
              <w:ind w:right="1145"/>
              <w:spacing w:after="0" w:line="164" w:lineRule="exact"/>
              <w:rPr>
                <w:sz w:val="20"/>
                <w:szCs w:val="20"/>
                <w:color w:val="auto"/>
              </w:rPr>
            </w:pPr>
            <w:r>
              <w:rPr>
                <w:rFonts w:ascii="Arial" w:cs="Arial" w:eastAsia="Arial" w:hAnsi="Arial"/>
                <w:sz w:val="16"/>
                <w:szCs w:val="16"/>
                <w:color w:val="auto"/>
              </w:rPr>
              <w:t>$</w:t>
            </w:r>
          </w:p>
        </w:tc>
        <w:tc>
          <w:tcPr>
            <w:tcW w:w="1700" w:type="dxa"/>
            <w:vAlign w:val="bottom"/>
          </w:tcPr>
          <w:p>
            <w:pPr>
              <w:jc w:val="right"/>
              <w:ind w:right="1284"/>
              <w:spacing w:after="0" w:line="164" w:lineRule="exact"/>
              <w:rPr>
                <w:sz w:val="20"/>
                <w:szCs w:val="20"/>
                <w:color w:val="auto"/>
              </w:rPr>
            </w:pPr>
            <w:r>
              <w:rPr>
                <w:rFonts w:ascii="Arial" w:cs="Arial" w:eastAsia="Arial" w:hAnsi="Arial"/>
                <w:sz w:val="16"/>
                <w:szCs w:val="16"/>
                <w:color w:val="auto"/>
              </w:rPr>
              <w:t>201</w:t>
            </w:r>
          </w:p>
        </w:tc>
        <w:tc>
          <w:tcPr>
            <w:tcW w:w="740" w:type="dxa"/>
            <w:vAlign w:val="bottom"/>
          </w:tcPr>
          <w:p>
            <w:pPr>
              <w:ind w:left="200"/>
              <w:spacing w:after="0" w:line="164" w:lineRule="exact"/>
              <w:rPr>
                <w:sz w:val="20"/>
                <w:szCs w:val="20"/>
                <w:color w:val="auto"/>
              </w:rPr>
            </w:pPr>
            <w:r>
              <w:rPr>
                <w:rFonts w:ascii="Arial" w:cs="Arial" w:eastAsia="Arial" w:hAnsi="Arial"/>
                <w:sz w:val="16"/>
                <w:szCs w:val="16"/>
                <w:color w:val="auto"/>
              </w:rPr>
              <w:t>22 %</w:t>
            </w:r>
          </w:p>
        </w:tc>
        <w:tc>
          <w:tcPr>
            <w:tcW w:w="1500" w:type="dxa"/>
            <w:vAlign w:val="bottom"/>
          </w:tcPr>
          <w:p>
            <w:pPr>
              <w:jc w:val="right"/>
              <w:ind w:right="1145"/>
              <w:spacing w:after="0" w:line="164" w:lineRule="exact"/>
              <w:rPr>
                <w:sz w:val="20"/>
                <w:szCs w:val="20"/>
                <w:color w:val="auto"/>
              </w:rPr>
            </w:pPr>
            <w:r>
              <w:rPr>
                <w:rFonts w:ascii="Arial" w:cs="Arial" w:eastAsia="Arial" w:hAnsi="Arial"/>
                <w:sz w:val="16"/>
                <w:szCs w:val="16"/>
                <w:color w:val="auto"/>
              </w:rPr>
              <w:t>$</w:t>
            </w:r>
          </w:p>
        </w:tc>
        <w:tc>
          <w:tcPr>
            <w:tcW w:w="380" w:type="dxa"/>
            <w:vAlign w:val="bottom"/>
          </w:tcPr>
          <w:p>
            <w:pPr>
              <w:jc w:val="right"/>
              <w:spacing w:after="0" w:line="164" w:lineRule="exact"/>
              <w:rPr>
                <w:sz w:val="20"/>
                <w:szCs w:val="20"/>
                <w:color w:val="auto"/>
              </w:rPr>
            </w:pPr>
            <w:r>
              <w:rPr>
                <w:rFonts w:ascii="Arial" w:cs="Arial" w:eastAsia="Arial" w:hAnsi="Arial"/>
                <w:sz w:val="16"/>
                <w:szCs w:val="16"/>
                <w:color w:val="auto"/>
              </w:rPr>
              <w:t>117</w:t>
            </w:r>
          </w:p>
        </w:tc>
        <w:tc>
          <w:tcPr>
            <w:tcW w:w="2080" w:type="dxa"/>
            <w:vAlign w:val="bottom"/>
          </w:tcPr>
          <w:p>
            <w:pPr>
              <w:ind w:left="1540"/>
              <w:spacing w:after="0" w:line="164" w:lineRule="exact"/>
              <w:rPr>
                <w:sz w:val="20"/>
                <w:szCs w:val="20"/>
                <w:color w:val="auto"/>
              </w:rPr>
            </w:pPr>
            <w:r>
              <w:rPr>
                <w:rFonts w:ascii="Arial" w:cs="Arial" w:eastAsia="Arial" w:hAnsi="Arial"/>
                <w:sz w:val="16"/>
                <w:szCs w:val="16"/>
                <w:color w:val="auto"/>
              </w:rPr>
              <w:t>31 %</w:t>
            </w:r>
          </w:p>
        </w:tc>
      </w:tr>
      <w:tr>
        <w:trPr>
          <w:trHeight w:val="176"/>
        </w:trPr>
        <w:tc>
          <w:tcPr>
            <w:tcW w:w="3500" w:type="dxa"/>
            <w:vAlign w:val="bottom"/>
            <w:gridSpan w:val="2"/>
          </w:tcPr>
          <w:p>
            <w:pPr>
              <w:spacing w:after="0" w:line="176" w:lineRule="exact"/>
              <w:rPr>
                <w:sz w:val="20"/>
                <w:szCs w:val="20"/>
                <w:color w:val="auto"/>
              </w:rPr>
            </w:pPr>
            <w:r>
              <w:rPr>
                <w:rFonts w:ascii="Arial" w:cs="Arial" w:eastAsia="Arial" w:hAnsi="Arial"/>
                <w:sz w:val="16"/>
                <w:szCs w:val="16"/>
                <w:color w:val="auto"/>
              </w:rPr>
              <w:t>SDG&amp;E</w:t>
            </w:r>
          </w:p>
        </w:tc>
        <w:tc>
          <w:tcPr>
            <w:tcW w:w="1520" w:type="dxa"/>
            <w:vAlign w:val="bottom"/>
          </w:tcPr>
          <w:p>
            <w:pPr>
              <w:spacing w:after="0"/>
              <w:rPr>
                <w:sz w:val="15"/>
                <w:szCs w:val="15"/>
                <w:color w:val="auto"/>
              </w:rPr>
            </w:pPr>
          </w:p>
        </w:tc>
        <w:tc>
          <w:tcPr>
            <w:tcW w:w="1700" w:type="dxa"/>
            <w:vAlign w:val="bottom"/>
          </w:tcPr>
          <w:p>
            <w:pPr>
              <w:jc w:val="right"/>
              <w:ind w:right="1284"/>
              <w:spacing w:after="0" w:line="176" w:lineRule="exact"/>
              <w:rPr>
                <w:sz w:val="20"/>
                <w:szCs w:val="20"/>
                <w:color w:val="auto"/>
              </w:rPr>
            </w:pPr>
            <w:r>
              <w:rPr>
                <w:rFonts w:ascii="Arial" w:cs="Arial" w:eastAsia="Arial" w:hAnsi="Arial"/>
                <w:sz w:val="16"/>
                <w:szCs w:val="16"/>
                <w:color w:val="auto"/>
              </w:rPr>
              <w:t>91</w:t>
            </w:r>
          </w:p>
        </w:tc>
        <w:tc>
          <w:tcPr>
            <w:tcW w:w="740" w:type="dxa"/>
            <w:vAlign w:val="bottom"/>
          </w:tcPr>
          <w:p>
            <w:pPr>
              <w:ind w:left="200"/>
              <w:spacing w:after="0" w:line="176" w:lineRule="exact"/>
              <w:rPr>
                <w:sz w:val="20"/>
                <w:szCs w:val="20"/>
                <w:color w:val="auto"/>
              </w:rPr>
            </w:pPr>
            <w:r>
              <w:rPr>
                <w:rFonts w:ascii="Arial" w:cs="Arial" w:eastAsia="Arial" w:hAnsi="Arial"/>
                <w:sz w:val="16"/>
                <w:szCs w:val="16"/>
                <w:color w:val="auto"/>
              </w:rPr>
              <w:t>38</w:t>
            </w:r>
          </w:p>
        </w:tc>
        <w:tc>
          <w:tcPr>
            <w:tcW w:w="1500" w:type="dxa"/>
            <w:vAlign w:val="bottom"/>
          </w:tcPr>
          <w:p>
            <w:pPr>
              <w:spacing w:after="0"/>
              <w:rPr>
                <w:sz w:val="15"/>
                <w:szCs w:val="15"/>
                <w:color w:val="auto"/>
              </w:rPr>
            </w:pPr>
          </w:p>
        </w:tc>
        <w:tc>
          <w:tcPr>
            <w:tcW w:w="380" w:type="dxa"/>
            <w:vAlign w:val="bottom"/>
          </w:tcPr>
          <w:p>
            <w:pPr>
              <w:jc w:val="right"/>
              <w:spacing w:after="0" w:line="176" w:lineRule="exact"/>
              <w:rPr>
                <w:sz w:val="20"/>
                <w:szCs w:val="20"/>
                <w:color w:val="auto"/>
              </w:rPr>
            </w:pPr>
            <w:r>
              <w:rPr>
                <w:rFonts w:ascii="Arial" w:cs="Arial" w:eastAsia="Arial" w:hAnsi="Arial"/>
                <w:sz w:val="16"/>
                <w:szCs w:val="16"/>
                <w:color w:val="auto"/>
              </w:rPr>
              <w:t>75</w:t>
            </w:r>
          </w:p>
        </w:tc>
        <w:tc>
          <w:tcPr>
            <w:tcW w:w="2080" w:type="dxa"/>
            <w:vAlign w:val="bottom"/>
          </w:tcPr>
          <w:p>
            <w:pPr>
              <w:ind w:left="1540"/>
              <w:spacing w:after="0" w:line="176" w:lineRule="exact"/>
              <w:rPr>
                <w:sz w:val="20"/>
                <w:szCs w:val="20"/>
                <w:color w:val="auto"/>
              </w:rPr>
            </w:pPr>
            <w:r>
              <w:rPr>
                <w:rFonts w:ascii="Arial" w:cs="Arial" w:eastAsia="Arial" w:hAnsi="Arial"/>
                <w:sz w:val="16"/>
                <w:szCs w:val="16"/>
                <w:color w:val="auto"/>
              </w:rPr>
              <w:t>36</w:t>
            </w:r>
          </w:p>
        </w:tc>
      </w:tr>
      <w:tr>
        <w:trPr>
          <w:trHeight w:val="194"/>
        </w:trPr>
        <w:tc>
          <w:tcPr>
            <w:tcW w:w="3500" w:type="dxa"/>
            <w:vAlign w:val="bottom"/>
            <w:tcBorders>
              <w:bottom w:val="single" w:sz="8" w:color="auto"/>
            </w:tcBorders>
            <w:gridSpan w:val="2"/>
          </w:tcPr>
          <w:p>
            <w:pPr>
              <w:spacing w:after="0"/>
              <w:rPr>
                <w:sz w:val="20"/>
                <w:szCs w:val="20"/>
                <w:color w:val="auto"/>
              </w:rPr>
            </w:pPr>
            <w:r>
              <w:rPr>
                <w:rFonts w:ascii="Arial" w:cs="Arial" w:eastAsia="Arial" w:hAnsi="Arial"/>
                <w:sz w:val="16"/>
                <w:szCs w:val="16"/>
                <w:color w:val="auto"/>
              </w:rPr>
              <w:t>SoCalGas</w:t>
            </w:r>
          </w:p>
        </w:tc>
        <w:tc>
          <w:tcPr>
            <w:tcW w:w="152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tcPr>
          <w:p>
            <w:pPr>
              <w:jc w:val="right"/>
              <w:ind w:right="1284"/>
              <w:spacing w:after="0"/>
              <w:rPr>
                <w:sz w:val="20"/>
                <w:szCs w:val="20"/>
                <w:color w:val="auto"/>
              </w:rPr>
            </w:pPr>
            <w:r>
              <w:rPr>
                <w:rFonts w:ascii="Arial" w:cs="Arial" w:eastAsia="Arial" w:hAnsi="Arial"/>
                <w:sz w:val="16"/>
                <w:szCs w:val="16"/>
                <w:color w:val="auto"/>
              </w:rPr>
              <w:t>65</w:t>
            </w:r>
          </w:p>
        </w:tc>
        <w:tc>
          <w:tcPr>
            <w:tcW w:w="740" w:type="dxa"/>
            <w:vAlign w:val="bottom"/>
            <w:tcBorders>
              <w:bottom w:val="single" w:sz="8" w:color="auto"/>
            </w:tcBorders>
          </w:tcPr>
          <w:p>
            <w:pPr>
              <w:ind w:left="200"/>
              <w:spacing w:after="0"/>
              <w:rPr>
                <w:sz w:val="20"/>
                <w:szCs w:val="20"/>
                <w:color w:val="auto"/>
              </w:rPr>
            </w:pPr>
            <w:r>
              <w:rPr>
                <w:rFonts w:ascii="Arial" w:cs="Arial" w:eastAsia="Arial" w:hAnsi="Arial"/>
                <w:sz w:val="16"/>
                <w:szCs w:val="16"/>
                <w:color w:val="auto"/>
              </w:rPr>
              <w:t>34</w:t>
            </w:r>
          </w:p>
        </w:tc>
        <w:tc>
          <w:tcPr>
            <w:tcW w:w="150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90</w:t>
            </w:r>
          </w:p>
        </w:tc>
        <w:tc>
          <w:tcPr>
            <w:tcW w:w="2080" w:type="dxa"/>
            <w:vAlign w:val="bottom"/>
            <w:tcBorders>
              <w:bottom w:val="single" w:sz="8" w:color="auto"/>
            </w:tcBorders>
          </w:tcPr>
          <w:p>
            <w:pPr>
              <w:ind w:left="1540"/>
              <w:spacing w:after="0"/>
              <w:rPr>
                <w:sz w:val="20"/>
                <w:szCs w:val="20"/>
                <w:color w:val="auto"/>
              </w:rPr>
            </w:pPr>
            <w:r>
              <w:rPr>
                <w:rFonts w:ascii="Arial" w:cs="Arial" w:eastAsia="Arial" w:hAnsi="Arial"/>
                <w:sz w:val="16"/>
                <w:szCs w:val="16"/>
                <w:color w:val="auto"/>
              </w:rPr>
              <w:t>40</w:t>
            </w:r>
          </w:p>
        </w:tc>
      </w:tr>
    </w:tbl>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Changes in Effective Income Tax Rates</w:t>
      </w:r>
    </w:p>
    <w:p>
      <w:pPr>
        <w:spacing w:after="0" w:line="202"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Sempra Energy Consolidated</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The decrease in the effective income tax rate for the three months ended June 30, 2011 was primarily due to:</w:t>
      </w:r>
    </w:p>
    <w:p>
      <w:pPr>
        <w:spacing w:after="0" w:line="225" w:lineRule="exact"/>
        <w:rPr>
          <w:sz w:val="20"/>
          <w:szCs w:val="20"/>
          <w:color w:val="auto"/>
        </w:rPr>
      </w:pPr>
    </w:p>
    <w:p>
      <w:pPr>
        <w:ind w:left="340" w:hanging="188"/>
        <w:spacing w:after="0" w:line="277" w:lineRule="auto"/>
        <w:tabs>
          <w:tab w:leader="none" w:pos="3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higher income in countries with lower statutory rates, including a $277 million non-taxable gain from remeasurement of our equity method investments related to our acquisition from AEI of their investments in Chile and Peru, discussed below; and</w:t>
      </w:r>
    </w:p>
    <w:p>
      <w:pPr>
        <w:spacing w:after="0" w:line="193" w:lineRule="exact"/>
        <w:rPr>
          <w:rFonts w:ascii="Arial" w:cs="Arial" w:eastAsia="Arial" w:hAnsi="Arial"/>
          <w:sz w:val="18"/>
          <w:szCs w:val="18"/>
          <w:color w:val="auto"/>
        </w:rPr>
      </w:pPr>
    </w:p>
    <w:p>
      <w:pPr>
        <w:ind w:left="340" w:hanging="188"/>
        <w:spacing w:after="0"/>
        <w:tabs>
          <w:tab w:leader="none" w:pos="3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 xml:space="preserve">higher exclusions from taxable income of the equity portion of AFUDC; </w:t>
      </w:r>
      <w:r>
        <w:rPr>
          <w:rFonts w:ascii="Arial" w:cs="Arial" w:eastAsia="Arial" w:hAnsi="Arial"/>
          <w:sz w:val="18"/>
          <w:szCs w:val="18"/>
          <w:b w:val="1"/>
          <w:bCs w:val="1"/>
          <w:color w:val="auto"/>
        </w:rPr>
        <w:t>offset by</w:t>
      </w:r>
    </w:p>
    <w:p>
      <w:pPr>
        <w:spacing w:after="0" w:line="256" w:lineRule="exact"/>
        <w:rPr>
          <w:rFonts w:ascii="Arial" w:cs="Arial" w:eastAsia="Arial" w:hAnsi="Arial"/>
          <w:sz w:val="18"/>
          <w:szCs w:val="18"/>
          <w:color w:val="auto"/>
        </w:rPr>
      </w:pPr>
    </w:p>
    <w:p>
      <w:pPr>
        <w:ind w:left="340" w:hanging="188"/>
        <w:spacing w:after="0"/>
        <w:tabs>
          <w:tab w:leader="none" w:pos="340" w:val="left"/>
        </w:tabs>
        <w:numPr>
          <w:ilvl w:val="0"/>
          <w:numId w:val="15"/>
        </w:numPr>
        <w:rPr>
          <w:rFonts w:ascii="Arial" w:cs="Arial" w:eastAsia="Arial" w:hAnsi="Arial"/>
          <w:sz w:val="17"/>
          <w:szCs w:val="17"/>
          <w:color w:val="auto"/>
        </w:rPr>
      </w:pPr>
      <w:r>
        <w:rPr>
          <w:rFonts w:ascii="Arial" w:cs="Arial" w:eastAsia="Arial" w:hAnsi="Arial"/>
          <w:sz w:val="17"/>
          <w:szCs w:val="17"/>
          <w:color w:val="auto"/>
        </w:rPr>
        <w:t>$2 million tax expense in 2011 compared to $4 million tax benefit in 2010 due to Mexican currency translation and inflation adjustments; and</w:t>
      </w:r>
    </w:p>
    <w:p>
      <w:pPr>
        <w:spacing w:after="0" w:line="263" w:lineRule="exact"/>
        <w:rPr>
          <w:rFonts w:ascii="Arial" w:cs="Arial" w:eastAsia="Arial" w:hAnsi="Arial"/>
          <w:sz w:val="17"/>
          <w:szCs w:val="17"/>
          <w:color w:val="auto"/>
        </w:rPr>
      </w:pPr>
    </w:p>
    <w:p>
      <w:pPr>
        <w:ind w:left="340" w:hanging="188"/>
        <w:spacing w:after="0"/>
        <w:tabs>
          <w:tab w:leader="none" w:pos="3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lower planned investment tax credits.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For the six months ended June 30, 2011, the decrease in the effective income tax rate was primarily due to:</w:t>
      </w:r>
    </w:p>
    <w:p>
      <w:pPr>
        <w:spacing w:after="0" w:line="225" w:lineRule="exact"/>
        <w:rPr>
          <w:sz w:val="20"/>
          <w:szCs w:val="20"/>
          <w:color w:val="auto"/>
        </w:rPr>
      </w:pPr>
    </w:p>
    <w:p>
      <w:pPr>
        <w:ind w:left="340" w:hanging="188"/>
        <w:spacing w:after="0" w:line="277" w:lineRule="auto"/>
        <w:tabs>
          <w:tab w:leader="none" w:pos="3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higher income in countries with lower statutory rates, including a $277 million non-taxable gain from remeasurement of our equity method investments related to our acquisition from AEI of their investments in Chile and Peru, discussed below;</w:t>
      </w:r>
    </w:p>
    <w:p>
      <w:pPr>
        <w:spacing w:after="0" w:line="197" w:lineRule="exact"/>
        <w:rPr>
          <w:rFonts w:ascii="Arial" w:cs="Arial" w:eastAsia="Arial" w:hAnsi="Arial"/>
          <w:sz w:val="18"/>
          <w:szCs w:val="18"/>
          <w:color w:val="auto"/>
        </w:rPr>
      </w:pPr>
    </w:p>
    <w:p>
      <w:pPr>
        <w:ind w:left="340" w:right="20" w:hanging="188"/>
        <w:spacing w:after="0" w:line="277" w:lineRule="auto"/>
        <w:tabs>
          <w:tab w:leader="none" w:pos="3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 $16 million write-down in 2010 of the deferred tax assets related to other postretirement benefits, as a result of a change in U.S. tax law that eliminates a future deduction, starting in 2013, for retiree healthcare funded by the Medicare Part D subsidy;</w:t>
      </w:r>
    </w:p>
    <w:p>
      <w:pPr>
        <w:spacing w:after="0" w:line="197" w:lineRule="exact"/>
        <w:rPr>
          <w:rFonts w:ascii="Arial" w:cs="Arial" w:eastAsia="Arial" w:hAnsi="Arial"/>
          <w:sz w:val="18"/>
          <w:szCs w:val="18"/>
          <w:color w:val="auto"/>
        </w:rPr>
      </w:pPr>
    </w:p>
    <w:p>
      <w:pPr>
        <w:ind w:left="340" w:hanging="188"/>
        <w:spacing w:after="0"/>
        <w:tabs>
          <w:tab w:leader="none" w:pos="3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higher exclusions from taxable income of the equity portion of AFUDC; and</w:t>
      </w:r>
    </w:p>
    <w:p>
      <w:pPr>
        <w:spacing w:after="0" w:line="248" w:lineRule="exact"/>
        <w:rPr>
          <w:rFonts w:ascii="Arial" w:cs="Arial" w:eastAsia="Arial" w:hAnsi="Arial"/>
          <w:sz w:val="18"/>
          <w:szCs w:val="18"/>
          <w:color w:val="auto"/>
        </w:rPr>
      </w:pPr>
    </w:p>
    <w:p>
      <w:pPr>
        <w:ind w:left="340" w:hanging="188"/>
        <w:spacing w:after="0"/>
        <w:tabs>
          <w:tab w:leader="none" w:pos="3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 xml:space="preserve">higher deductions for self-developed software costs; </w:t>
      </w:r>
      <w:r>
        <w:rPr>
          <w:rFonts w:ascii="Arial" w:cs="Arial" w:eastAsia="Arial" w:hAnsi="Arial"/>
          <w:sz w:val="18"/>
          <w:szCs w:val="18"/>
          <w:b w:val="1"/>
          <w:bCs w:val="1"/>
          <w:color w:val="auto"/>
        </w:rPr>
        <w:t>offset by</w:t>
      </w:r>
    </w:p>
    <w:p>
      <w:pPr>
        <w:spacing w:after="0" w:line="256" w:lineRule="exact"/>
        <w:rPr>
          <w:rFonts w:ascii="Arial" w:cs="Arial" w:eastAsia="Arial" w:hAnsi="Arial"/>
          <w:sz w:val="18"/>
          <w:szCs w:val="18"/>
          <w:color w:val="auto"/>
        </w:rPr>
      </w:pPr>
    </w:p>
    <w:p>
      <w:pPr>
        <w:ind w:left="340" w:hanging="188"/>
        <w:spacing w:after="0"/>
        <w:tabs>
          <w:tab w:leader="none" w:pos="3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lower favorable adjustments related to prior years' income tax issues;</w:t>
      </w:r>
    </w:p>
    <w:p>
      <w:pPr>
        <w:sectPr>
          <w:pgSz w:w="11900" w:h="16838" w:orient="portrait"/>
          <w:cols w:equalWidth="0" w:num="1">
            <w:col w:w="11420"/>
          </w:cols>
          <w:pgMar w:left="240" w:top="333" w:right="239" w:bottom="0" w:gutter="0" w:footer="0" w:header="0"/>
        </w:sectPr>
      </w:pPr>
    </w:p>
    <w:bookmarkStart w:id="32" w:name="page33"/>
    <w:bookmarkEnd w:id="32"/>
    <w:p>
      <w:pPr>
        <w:spacing w:after="0" w:line="83" w:lineRule="exact"/>
        <w:rPr>
          <w:sz w:val="20"/>
          <w:szCs w:val="20"/>
          <w:color w:val="auto"/>
        </w:rPr>
      </w:pPr>
    </w:p>
    <w:p>
      <w:pPr>
        <w:ind w:left="340" w:hanging="188"/>
        <w:spacing w:after="0" w:line="277" w:lineRule="auto"/>
        <w:tabs>
          <w:tab w:leader="none" w:pos="3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an increase in the amount by which book depreciation for the Sempra Utilities exceeds normalized tax depreciation, which is not treated as a deferred tax asset for ratemaking purposes; and</w:t>
      </w:r>
    </w:p>
    <w:p>
      <w:pPr>
        <w:spacing w:after="0" w:line="197" w:lineRule="exact"/>
        <w:rPr>
          <w:rFonts w:ascii="Arial" w:cs="Arial" w:eastAsia="Arial" w:hAnsi="Arial"/>
          <w:sz w:val="18"/>
          <w:szCs w:val="18"/>
          <w:color w:val="auto"/>
        </w:rPr>
      </w:pPr>
    </w:p>
    <w:p>
      <w:pPr>
        <w:ind w:left="340" w:hanging="188"/>
        <w:spacing w:after="0"/>
        <w:tabs>
          <w:tab w:leader="none" w:pos="3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higher tax expense in 2011 due to Mexican currency translation and inflation adjustments.</w:t>
      </w:r>
    </w:p>
    <w:p>
      <w:pPr>
        <w:spacing w:after="0" w:line="252"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As we discuss in Note 3, we recorded a $277 million gain in connection with our acquisition of AEI’s interests in Chilquinta Energía in Chile and Luz del Sur in Peru. However, we recorded no corresponding income tax expense because, for the foreseeable future, our investments in Chile and Peru are considered permanent in nature (i.e., will not be held out for sale). In addition, we continue to expect to reinvest indefinitely all cumulative undistributed earnings, for the foreseeable future, for all non-U.S. subsidiaries, including our subsidiaries in Chile and Peru. Deferred income tax expense related to all, or a part, of the $277 million gain would need to be recorded if either, or both, of these investments were to be held out for sale. Deferred income tax expense would also need to be recorded if all, or part, of the cumulative undistributed earnings in either Chile or Peru, or both, were no longer considered to be reinvested indefinitely.</w:t>
      </w:r>
    </w:p>
    <w:p>
      <w:pPr>
        <w:spacing w:after="0" w:line="187"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SDG&amp;E</w:t>
      </w:r>
    </w:p>
    <w:p>
      <w:pPr>
        <w:spacing w:after="0" w:line="205" w:lineRule="exact"/>
        <w:rPr>
          <w:sz w:val="20"/>
          <w:szCs w:val="20"/>
          <w:color w:val="auto"/>
        </w:rPr>
      </w:pPr>
    </w:p>
    <w:p>
      <w:pPr>
        <w:spacing w:after="0"/>
        <w:rPr>
          <w:sz w:val="20"/>
          <w:szCs w:val="20"/>
          <w:color w:val="auto"/>
        </w:rPr>
      </w:pPr>
      <w:r>
        <w:rPr>
          <w:rFonts w:ascii="Arial" w:cs="Arial" w:eastAsia="Arial" w:hAnsi="Arial"/>
          <w:sz w:val="17"/>
          <w:szCs w:val="17"/>
          <w:color w:val="auto"/>
        </w:rPr>
        <w:t>Although the effective tax rate for the three months ended June 30, 2011 remained constant compared to the same period in 2010, it was impacted by:</w:t>
      </w:r>
    </w:p>
    <w:p>
      <w:pPr>
        <w:spacing w:after="0" w:line="237" w:lineRule="exact"/>
        <w:rPr>
          <w:sz w:val="20"/>
          <w:szCs w:val="20"/>
          <w:color w:val="auto"/>
        </w:rPr>
      </w:pPr>
    </w:p>
    <w:p>
      <w:pPr>
        <w:ind w:left="340" w:hanging="188"/>
        <w:spacing w:after="0"/>
        <w:tabs>
          <w:tab w:leader="none" w:pos="3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impact of Otay Mesa VIE, as we discuss below;</w:t>
      </w:r>
    </w:p>
    <w:p>
      <w:pPr>
        <w:spacing w:after="0" w:line="252" w:lineRule="exact"/>
        <w:rPr>
          <w:rFonts w:ascii="Arial" w:cs="Arial" w:eastAsia="Arial" w:hAnsi="Arial"/>
          <w:sz w:val="18"/>
          <w:szCs w:val="18"/>
          <w:color w:val="auto"/>
        </w:rPr>
      </w:pPr>
    </w:p>
    <w:p>
      <w:pPr>
        <w:ind w:left="340" w:hanging="188"/>
        <w:spacing w:after="0"/>
        <w:tabs>
          <w:tab w:leader="none" w:pos="3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lower pretax book income; and</w:t>
      </w:r>
    </w:p>
    <w:p>
      <w:pPr>
        <w:spacing w:after="0" w:line="248" w:lineRule="exact"/>
        <w:rPr>
          <w:rFonts w:ascii="Arial" w:cs="Arial" w:eastAsia="Arial" w:hAnsi="Arial"/>
          <w:sz w:val="18"/>
          <w:szCs w:val="18"/>
          <w:color w:val="auto"/>
        </w:rPr>
      </w:pPr>
    </w:p>
    <w:p>
      <w:pPr>
        <w:ind w:left="340" w:hanging="188"/>
        <w:spacing w:after="0"/>
        <w:tabs>
          <w:tab w:leader="none" w:pos="3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 xml:space="preserve">higher exclusions from taxable income of the equity portion of AFUDC; </w:t>
      </w:r>
      <w:r>
        <w:rPr>
          <w:rFonts w:ascii="Arial" w:cs="Arial" w:eastAsia="Arial" w:hAnsi="Arial"/>
          <w:sz w:val="18"/>
          <w:szCs w:val="18"/>
          <w:b w:val="1"/>
          <w:bCs w:val="1"/>
          <w:color w:val="auto"/>
        </w:rPr>
        <w:t>offset by</w:t>
      </w:r>
    </w:p>
    <w:p>
      <w:pPr>
        <w:spacing w:after="0" w:line="256" w:lineRule="exact"/>
        <w:rPr>
          <w:rFonts w:ascii="Arial" w:cs="Arial" w:eastAsia="Arial" w:hAnsi="Arial"/>
          <w:sz w:val="18"/>
          <w:szCs w:val="18"/>
          <w:color w:val="auto"/>
        </w:rPr>
      </w:pPr>
    </w:p>
    <w:p>
      <w:pPr>
        <w:ind w:left="340" w:hanging="188"/>
        <w:spacing w:after="0"/>
        <w:tabs>
          <w:tab w:leader="none" w:pos="3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higher unfavorable adjustments related to prior years’ income tax issues.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SDG&amp;E’s effective tax rate increased for the six months ended June 30, 2011 primarily due to:</w:t>
      </w:r>
    </w:p>
    <w:p>
      <w:pPr>
        <w:spacing w:after="0" w:line="225" w:lineRule="exact"/>
        <w:rPr>
          <w:sz w:val="20"/>
          <w:szCs w:val="20"/>
          <w:color w:val="auto"/>
        </w:rPr>
      </w:pPr>
    </w:p>
    <w:p>
      <w:pPr>
        <w:ind w:left="340" w:hanging="188"/>
        <w:spacing w:after="0"/>
        <w:tabs>
          <w:tab w:leader="none" w:pos="3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unfavorable adjustments related to prior years' income tax issues in 2011 versus favorable adjustments in 2010;</w:t>
      </w:r>
    </w:p>
    <w:p>
      <w:pPr>
        <w:spacing w:after="0" w:line="252" w:lineRule="exact"/>
        <w:rPr>
          <w:rFonts w:ascii="Arial" w:cs="Arial" w:eastAsia="Arial" w:hAnsi="Arial"/>
          <w:sz w:val="18"/>
          <w:szCs w:val="18"/>
          <w:color w:val="auto"/>
        </w:rPr>
      </w:pPr>
    </w:p>
    <w:p>
      <w:pPr>
        <w:ind w:left="340" w:hanging="188"/>
        <w:spacing w:after="0" w:line="277" w:lineRule="auto"/>
        <w:tabs>
          <w:tab w:leader="none" w:pos="340" w:val="left"/>
        </w:tabs>
        <w:numPr>
          <w:ilvl w:val="0"/>
          <w:numId w:val="19"/>
        </w:numPr>
        <w:rPr>
          <w:rFonts w:ascii="Arial" w:cs="Arial" w:eastAsia="Arial" w:hAnsi="Arial"/>
          <w:sz w:val="18"/>
          <w:szCs w:val="18"/>
          <w:b w:val="1"/>
          <w:bCs w:val="1"/>
          <w:color w:val="auto"/>
        </w:rPr>
      </w:pPr>
      <w:r>
        <w:rPr>
          <w:rFonts w:ascii="Arial" w:cs="Arial" w:eastAsia="Arial" w:hAnsi="Arial"/>
          <w:sz w:val="18"/>
          <w:szCs w:val="18"/>
          <w:color w:val="auto"/>
        </w:rPr>
        <w:t>an increase in the amount by which book depreciation exceeds normalized tax depreciation, which is not treated as a deferred tax asset for ratemaking purposes; and</w:t>
      </w:r>
    </w:p>
    <w:p>
      <w:pPr>
        <w:spacing w:after="0" w:line="193" w:lineRule="exact"/>
        <w:rPr>
          <w:rFonts w:ascii="Arial" w:cs="Arial" w:eastAsia="Arial" w:hAnsi="Arial"/>
          <w:sz w:val="18"/>
          <w:szCs w:val="18"/>
          <w:b w:val="1"/>
          <w:bCs w:val="1"/>
          <w:color w:val="auto"/>
        </w:rPr>
      </w:pPr>
    </w:p>
    <w:p>
      <w:pPr>
        <w:ind w:left="340" w:hanging="188"/>
        <w:spacing w:after="0"/>
        <w:tabs>
          <w:tab w:leader="none" w:pos="340" w:val="left"/>
        </w:tabs>
        <w:numPr>
          <w:ilvl w:val="0"/>
          <w:numId w:val="19"/>
        </w:numPr>
        <w:rPr>
          <w:rFonts w:ascii="Arial" w:cs="Arial" w:eastAsia="Arial" w:hAnsi="Arial"/>
          <w:sz w:val="18"/>
          <w:szCs w:val="18"/>
          <w:b w:val="1"/>
          <w:bCs w:val="1"/>
          <w:color w:val="auto"/>
        </w:rPr>
      </w:pPr>
      <w:r>
        <w:rPr>
          <w:rFonts w:ascii="Arial" w:cs="Arial" w:eastAsia="Arial" w:hAnsi="Arial"/>
          <w:sz w:val="18"/>
          <w:szCs w:val="18"/>
          <w:color w:val="auto"/>
        </w:rPr>
        <w:t xml:space="preserve">higher pretax book income; </w:t>
      </w:r>
      <w:r>
        <w:rPr>
          <w:rFonts w:ascii="Arial" w:cs="Arial" w:eastAsia="Arial" w:hAnsi="Arial"/>
          <w:sz w:val="18"/>
          <w:szCs w:val="18"/>
          <w:b w:val="1"/>
          <w:bCs w:val="1"/>
          <w:color w:val="auto"/>
        </w:rPr>
        <w:t>offset by</w:t>
      </w:r>
    </w:p>
    <w:p>
      <w:pPr>
        <w:spacing w:after="0" w:line="256" w:lineRule="exact"/>
        <w:rPr>
          <w:rFonts w:ascii="Arial" w:cs="Arial" w:eastAsia="Arial" w:hAnsi="Arial"/>
          <w:sz w:val="18"/>
          <w:szCs w:val="18"/>
          <w:b w:val="1"/>
          <w:bCs w:val="1"/>
          <w:color w:val="auto"/>
        </w:rPr>
      </w:pPr>
    </w:p>
    <w:p>
      <w:pPr>
        <w:ind w:left="340" w:hanging="188"/>
        <w:spacing w:after="0"/>
        <w:tabs>
          <w:tab w:leader="none" w:pos="340" w:val="left"/>
        </w:tabs>
        <w:numPr>
          <w:ilvl w:val="0"/>
          <w:numId w:val="19"/>
        </w:numPr>
        <w:rPr>
          <w:rFonts w:ascii="Arial" w:cs="Arial" w:eastAsia="Arial" w:hAnsi="Arial"/>
          <w:sz w:val="18"/>
          <w:szCs w:val="18"/>
          <w:b w:val="1"/>
          <w:bCs w:val="1"/>
          <w:color w:val="auto"/>
        </w:rPr>
      </w:pPr>
      <w:r>
        <w:rPr>
          <w:rFonts w:ascii="Arial" w:cs="Arial" w:eastAsia="Arial" w:hAnsi="Arial"/>
          <w:sz w:val="18"/>
          <w:szCs w:val="18"/>
          <w:color w:val="auto"/>
        </w:rPr>
        <w:t>the impact of Otay Mesa VIE, as we discuss below;</w:t>
      </w:r>
    </w:p>
    <w:p>
      <w:pPr>
        <w:spacing w:after="0" w:line="252" w:lineRule="exact"/>
        <w:rPr>
          <w:rFonts w:ascii="Arial" w:cs="Arial" w:eastAsia="Arial" w:hAnsi="Arial"/>
          <w:sz w:val="18"/>
          <w:szCs w:val="18"/>
          <w:b w:val="1"/>
          <w:bCs w:val="1"/>
          <w:color w:val="auto"/>
        </w:rPr>
      </w:pPr>
    </w:p>
    <w:p>
      <w:pPr>
        <w:ind w:left="340" w:hanging="188"/>
        <w:spacing w:after="0"/>
        <w:tabs>
          <w:tab w:leader="none" w:pos="340" w:val="left"/>
        </w:tabs>
        <w:numPr>
          <w:ilvl w:val="0"/>
          <w:numId w:val="19"/>
        </w:numPr>
        <w:rPr>
          <w:rFonts w:ascii="Arial" w:cs="Arial" w:eastAsia="Arial" w:hAnsi="Arial"/>
          <w:sz w:val="18"/>
          <w:szCs w:val="18"/>
          <w:b w:val="1"/>
          <w:bCs w:val="1"/>
          <w:color w:val="auto"/>
        </w:rPr>
      </w:pPr>
      <w:r>
        <w:rPr>
          <w:rFonts w:ascii="Arial" w:cs="Arial" w:eastAsia="Arial" w:hAnsi="Arial"/>
          <w:sz w:val="18"/>
          <w:szCs w:val="18"/>
          <w:color w:val="auto"/>
        </w:rPr>
        <w:t>higher exclusions from taxable income of the equity portion of AFUDC;</w:t>
      </w:r>
    </w:p>
    <w:p>
      <w:pPr>
        <w:spacing w:after="0" w:line="252" w:lineRule="exact"/>
        <w:rPr>
          <w:rFonts w:ascii="Arial" w:cs="Arial" w:eastAsia="Arial" w:hAnsi="Arial"/>
          <w:sz w:val="18"/>
          <w:szCs w:val="18"/>
          <w:b w:val="1"/>
          <w:bCs w:val="1"/>
          <w:color w:val="auto"/>
        </w:rPr>
      </w:pPr>
    </w:p>
    <w:p>
      <w:pPr>
        <w:ind w:left="340" w:hanging="188"/>
        <w:spacing w:after="0" w:line="277" w:lineRule="auto"/>
        <w:tabs>
          <w:tab w:leader="none" w:pos="340" w:val="left"/>
        </w:tabs>
        <w:numPr>
          <w:ilvl w:val="0"/>
          <w:numId w:val="19"/>
        </w:numPr>
        <w:rPr>
          <w:rFonts w:ascii="Arial" w:cs="Arial" w:eastAsia="Arial" w:hAnsi="Arial"/>
          <w:sz w:val="18"/>
          <w:szCs w:val="18"/>
          <w:b w:val="1"/>
          <w:bCs w:val="1"/>
          <w:color w:val="auto"/>
        </w:rPr>
      </w:pPr>
      <w:r>
        <w:rPr>
          <w:rFonts w:ascii="Arial" w:cs="Arial" w:eastAsia="Arial" w:hAnsi="Arial"/>
          <w:sz w:val="18"/>
          <w:szCs w:val="18"/>
          <w:color w:val="auto"/>
        </w:rPr>
        <w:t>a $3 million write-down in 2010 of the deferred tax assets related to other postretirement benefits as a result of a change in U.S. tax law, as we discuss above; and</w:t>
      </w:r>
    </w:p>
    <w:p>
      <w:pPr>
        <w:spacing w:after="0" w:line="197" w:lineRule="exact"/>
        <w:rPr>
          <w:rFonts w:ascii="Arial" w:cs="Arial" w:eastAsia="Arial" w:hAnsi="Arial"/>
          <w:sz w:val="18"/>
          <w:szCs w:val="18"/>
          <w:b w:val="1"/>
          <w:bCs w:val="1"/>
          <w:color w:val="auto"/>
        </w:rPr>
      </w:pPr>
    </w:p>
    <w:p>
      <w:pPr>
        <w:ind w:left="340" w:hanging="188"/>
        <w:spacing w:after="0"/>
        <w:tabs>
          <w:tab w:leader="none" w:pos="3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higher deductions for self-developed software costs.</w:t>
      </w:r>
    </w:p>
    <w:p>
      <w:pPr>
        <w:spacing w:after="0" w:line="252"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Results for Sempra Energy Consolidated and SDG&amp;E include Otay Mesa VIE, which is consolidated, and therefore, their effective income tax rates are impacted by the VIE’s stand-alone effective income tax rate.</w:t>
      </w:r>
    </w:p>
    <w:p>
      <w:pPr>
        <w:spacing w:after="0" w:line="384"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SoCalGas</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The decrease in SoCalGas’ effective income tax rate for the three months ended June 30, 2011 was due to:</w:t>
      </w:r>
    </w:p>
    <w:p>
      <w:pPr>
        <w:spacing w:after="0" w:line="225" w:lineRule="exact"/>
        <w:rPr>
          <w:sz w:val="20"/>
          <w:szCs w:val="20"/>
          <w:color w:val="auto"/>
        </w:rPr>
      </w:pPr>
    </w:p>
    <w:p>
      <w:pPr>
        <w:ind w:left="340" w:hanging="188"/>
        <w:spacing w:after="0" w:line="277" w:lineRule="auto"/>
        <w:tabs>
          <w:tab w:leader="none" w:pos="340" w:val="left"/>
        </w:tabs>
        <w:numPr>
          <w:ilvl w:val="0"/>
          <w:numId w:val="20"/>
        </w:numPr>
        <w:rPr>
          <w:rFonts w:ascii="Arial" w:cs="Arial" w:eastAsia="Arial" w:hAnsi="Arial"/>
          <w:sz w:val="18"/>
          <w:szCs w:val="18"/>
          <w:b w:val="1"/>
          <w:bCs w:val="1"/>
          <w:color w:val="auto"/>
        </w:rPr>
      </w:pPr>
      <w:r>
        <w:rPr>
          <w:rFonts w:ascii="Arial" w:cs="Arial" w:eastAsia="Arial" w:hAnsi="Arial"/>
          <w:sz w:val="18"/>
          <w:szCs w:val="18"/>
          <w:color w:val="auto"/>
        </w:rPr>
        <w:t>a decrease in the amount by which book depreciation exceeds normalized tax depreciation, which is not treated as a deferred tax asset for ratemaking purposes; and</w:t>
      </w:r>
    </w:p>
    <w:p>
      <w:pPr>
        <w:spacing w:after="0" w:line="193" w:lineRule="exact"/>
        <w:rPr>
          <w:rFonts w:ascii="Arial" w:cs="Arial" w:eastAsia="Arial" w:hAnsi="Arial"/>
          <w:sz w:val="18"/>
          <w:szCs w:val="18"/>
          <w:b w:val="1"/>
          <w:bCs w:val="1"/>
          <w:color w:val="auto"/>
        </w:rPr>
      </w:pPr>
    </w:p>
    <w:p>
      <w:pPr>
        <w:ind w:left="340" w:hanging="188"/>
        <w:spacing w:after="0"/>
        <w:tabs>
          <w:tab w:leader="none" w:pos="340" w:val="left"/>
        </w:tabs>
        <w:numPr>
          <w:ilvl w:val="0"/>
          <w:numId w:val="20"/>
        </w:numPr>
        <w:rPr>
          <w:rFonts w:ascii="Arial" w:cs="Arial" w:eastAsia="Arial" w:hAnsi="Arial"/>
          <w:sz w:val="18"/>
          <w:szCs w:val="18"/>
          <w:b w:val="1"/>
          <w:bCs w:val="1"/>
          <w:color w:val="auto"/>
        </w:rPr>
      </w:pPr>
      <w:r>
        <w:rPr>
          <w:rFonts w:ascii="Arial" w:cs="Arial" w:eastAsia="Arial" w:hAnsi="Arial"/>
          <w:sz w:val="18"/>
          <w:szCs w:val="18"/>
          <w:color w:val="auto"/>
        </w:rPr>
        <w:t xml:space="preserve">lower pretax book income; </w:t>
      </w:r>
      <w:r>
        <w:rPr>
          <w:rFonts w:ascii="Arial" w:cs="Arial" w:eastAsia="Arial" w:hAnsi="Arial"/>
          <w:sz w:val="18"/>
          <w:szCs w:val="18"/>
          <w:b w:val="1"/>
          <w:bCs w:val="1"/>
          <w:color w:val="auto"/>
        </w:rPr>
        <w:t>offset by</w:t>
      </w:r>
    </w:p>
    <w:p>
      <w:pPr>
        <w:spacing w:after="0" w:line="256" w:lineRule="exact"/>
        <w:rPr>
          <w:rFonts w:ascii="Arial" w:cs="Arial" w:eastAsia="Arial" w:hAnsi="Arial"/>
          <w:sz w:val="18"/>
          <w:szCs w:val="18"/>
          <w:b w:val="1"/>
          <w:bCs w:val="1"/>
          <w:color w:val="auto"/>
        </w:rPr>
      </w:pPr>
    </w:p>
    <w:p>
      <w:pPr>
        <w:ind w:left="340" w:hanging="188"/>
        <w:spacing w:after="0"/>
        <w:tabs>
          <w:tab w:leader="none" w:pos="3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higher unfavorable adjustments related to prior years’ income tax issues.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The decrease in SoCalGas’ effective income tax rate for the six months ended June 30, 2011 was due to:</w:t>
      </w:r>
    </w:p>
    <w:p>
      <w:pPr>
        <w:spacing w:after="0" w:line="225" w:lineRule="exact"/>
        <w:rPr>
          <w:sz w:val="20"/>
          <w:szCs w:val="20"/>
          <w:color w:val="auto"/>
        </w:rPr>
      </w:pPr>
    </w:p>
    <w:p>
      <w:pPr>
        <w:ind w:left="340" w:right="20" w:hanging="188"/>
        <w:spacing w:after="0" w:line="277" w:lineRule="auto"/>
        <w:tabs>
          <w:tab w:leader="none" w:pos="3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 $13 million write-down in 2010 of the deferred tax assets related to other postretirement benefits as a result of a change in U.S. tax law, as we discuss above;</w:t>
      </w:r>
    </w:p>
    <w:p>
      <w:pPr>
        <w:spacing w:after="0" w:line="197" w:lineRule="exact"/>
        <w:rPr>
          <w:rFonts w:ascii="Arial" w:cs="Arial" w:eastAsia="Arial" w:hAnsi="Arial"/>
          <w:sz w:val="18"/>
          <w:szCs w:val="18"/>
          <w:color w:val="auto"/>
        </w:rPr>
      </w:pPr>
    </w:p>
    <w:p>
      <w:pPr>
        <w:ind w:left="340" w:hanging="188"/>
        <w:spacing w:after="0"/>
        <w:tabs>
          <w:tab w:leader="none" w:pos="340" w:val="left"/>
        </w:tabs>
        <w:numPr>
          <w:ilvl w:val="0"/>
          <w:numId w:val="21"/>
        </w:numPr>
        <w:rPr>
          <w:rFonts w:ascii="Arial" w:cs="Arial" w:eastAsia="Arial" w:hAnsi="Arial"/>
          <w:sz w:val="18"/>
          <w:szCs w:val="18"/>
          <w:b w:val="1"/>
          <w:bCs w:val="1"/>
          <w:color w:val="auto"/>
        </w:rPr>
      </w:pPr>
      <w:r>
        <w:rPr>
          <w:rFonts w:ascii="Arial" w:cs="Arial" w:eastAsia="Arial" w:hAnsi="Arial"/>
          <w:sz w:val="18"/>
          <w:szCs w:val="18"/>
          <w:color w:val="auto"/>
        </w:rPr>
        <w:t>higher deductions for self-developed software costs; and</w:t>
      </w:r>
    </w:p>
    <w:p>
      <w:pPr>
        <w:spacing w:after="0" w:line="248" w:lineRule="exact"/>
        <w:rPr>
          <w:rFonts w:ascii="Arial" w:cs="Arial" w:eastAsia="Arial" w:hAnsi="Arial"/>
          <w:sz w:val="18"/>
          <w:szCs w:val="18"/>
          <w:b w:val="1"/>
          <w:bCs w:val="1"/>
          <w:color w:val="auto"/>
        </w:rPr>
      </w:pPr>
    </w:p>
    <w:p>
      <w:pPr>
        <w:ind w:left="340" w:hanging="188"/>
        <w:spacing w:after="0"/>
        <w:tabs>
          <w:tab w:leader="none" w:pos="340" w:val="left"/>
        </w:tabs>
        <w:numPr>
          <w:ilvl w:val="0"/>
          <w:numId w:val="21"/>
        </w:numPr>
        <w:rPr>
          <w:rFonts w:ascii="Arial" w:cs="Arial" w:eastAsia="Arial" w:hAnsi="Arial"/>
          <w:sz w:val="18"/>
          <w:szCs w:val="18"/>
          <w:b w:val="1"/>
          <w:bCs w:val="1"/>
          <w:color w:val="auto"/>
        </w:rPr>
      </w:pPr>
      <w:r>
        <w:rPr>
          <w:rFonts w:ascii="Arial" w:cs="Arial" w:eastAsia="Arial" w:hAnsi="Arial"/>
          <w:sz w:val="18"/>
          <w:szCs w:val="18"/>
          <w:color w:val="auto"/>
        </w:rPr>
        <w:t xml:space="preserve">lower pretax book income; </w:t>
      </w:r>
      <w:r>
        <w:rPr>
          <w:rFonts w:ascii="Arial" w:cs="Arial" w:eastAsia="Arial" w:hAnsi="Arial"/>
          <w:sz w:val="18"/>
          <w:szCs w:val="18"/>
          <w:b w:val="1"/>
          <w:bCs w:val="1"/>
          <w:color w:val="auto"/>
        </w:rPr>
        <w:t>offset by</w:t>
      </w:r>
    </w:p>
    <w:p>
      <w:pPr>
        <w:spacing w:after="0" w:line="256" w:lineRule="exact"/>
        <w:rPr>
          <w:rFonts w:ascii="Arial" w:cs="Arial" w:eastAsia="Arial" w:hAnsi="Arial"/>
          <w:sz w:val="18"/>
          <w:szCs w:val="18"/>
          <w:b w:val="1"/>
          <w:bCs w:val="1"/>
          <w:color w:val="auto"/>
        </w:rPr>
      </w:pPr>
    </w:p>
    <w:p>
      <w:pPr>
        <w:ind w:left="340" w:hanging="188"/>
        <w:spacing w:after="0" w:line="277" w:lineRule="auto"/>
        <w:tabs>
          <w:tab w:leader="none" w:pos="340" w:val="left"/>
        </w:tabs>
        <w:numPr>
          <w:ilvl w:val="0"/>
          <w:numId w:val="21"/>
        </w:numPr>
        <w:rPr>
          <w:rFonts w:ascii="Arial" w:cs="Arial" w:eastAsia="Arial" w:hAnsi="Arial"/>
          <w:sz w:val="18"/>
          <w:szCs w:val="18"/>
          <w:b w:val="1"/>
          <w:bCs w:val="1"/>
          <w:color w:val="auto"/>
        </w:rPr>
      </w:pPr>
      <w:r>
        <w:rPr>
          <w:rFonts w:ascii="Arial" w:cs="Arial" w:eastAsia="Arial" w:hAnsi="Arial"/>
          <w:sz w:val="18"/>
          <w:szCs w:val="18"/>
          <w:color w:val="auto"/>
        </w:rPr>
        <w:t>an increase in the amount by which book depreciation exceeds normalized tax depreciation, which is not treated as a deferred tax asset for ratemaking purposes.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203200</wp:posOffset>
            </wp:positionV>
            <wp:extent cx="7263765"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Arial" w:cs="Arial" w:eastAsia="Arial" w:hAnsi="Arial"/>
          <w:sz w:val="20"/>
          <w:szCs w:val="20"/>
          <w:color w:val="auto"/>
        </w:rPr>
        <w:t>NOTE 6. DEBT AND CREDIT FACILITIES</w:t>
      </w:r>
    </w:p>
    <w:p>
      <w:pPr>
        <w:sectPr>
          <w:pgSz w:w="11900" w:h="16921" w:orient="portrait"/>
          <w:cols w:equalWidth="0" w:num="1">
            <w:col w:w="11420"/>
          </w:cols>
          <w:pgMar w:left="240" w:top="368" w:right="239" w:bottom="0" w:gutter="0" w:footer="0" w:header="0"/>
        </w:sectPr>
      </w:pPr>
    </w:p>
    <w:bookmarkStart w:id="33" w:name="page34"/>
    <w:bookmarkEnd w:id="33"/>
    <w:p>
      <w:pPr>
        <w:spacing w:after="0"/>
        <w:rPr>
          <w:sz w:val="20"/>
          <w:szCs w:val="20"/>
          <w:color w:val="auto"/>
        </w:rPr>
      </w:pPr>
      <w:r>
        <w:rPr>
          <w:rFonts w:ascii="Arial" w:cs="Arial" w:eastAsia="Arial" w:hAnsi="Arial"/>
          <w:sz w:val="18"/>
          <w:szCs w:val="18"/>
          <w:b w:val="1"/>
          <w:bCs w:val="1"/>
          <w:color w:val="auto"/>
        </w:rPr>
        <w:t>COMMITTED LINES OF CREDIT</w:t>
      </w:r>
    </w:p>
    <w:p>
      <w:pPr>
        <w:spacing w:after="0" w:line="234" w:lineRule="exact"/>
        <w:rPr>
          <w:sz w:val="20"/>
          <w:szCs w:val="20"/>
          <w:color w:val="auto"/>
        </w:rPr>
      </w:pPr>
    </w:p>
    <w:p>
      <w:pPr>
        <w:jc w:val="both"/>
        <w:ind w:right="620"/>
        <w:spacing w:after="0" w:line="342" w:lineRule="auto"/>
        <w:rPr>
          <w:sz w:val="20"/>
          <w:szCs w:val="20"/>
          <w:color w:val="auto"/>
        </w:rPr>
      </w:pPr>
      <w:r>
        <w:rPr>
          <w:rFonts w:ascii="Arial" w:cs="Arial" w:eastAsia="Arial" w:hAnsi="Arial"/>
          <w:sz w:val="16"/>
          <w:szCs w:val="16"/>
          <w:color w:val="auto"/>
        </w:rPr>
        <w:t>At June 30, 2011, Sempra Energy Consolidated had $3.8 billion in committed lines of credit to provide liquidity and to support commercial paper and variable-rate demand notes, the major components of which we detail below. Available unused credit on these lines at June 30, 2011 was $2.9 billion.</w:t>
      </w:r>
    </w:p>
    <w:p>
      <w:pPr>
        <w:spacing w:after="0" w:line="337"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Sempra Energy</w:t>
      </w:r>
    </w:p>
    <w:p>
      <w:pPr>
        <w:spacing w:after="0" w:line="205"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Sempra Energy has a $1 billion, four-year syndicated revolving credit agreement expiring in October 2014. Citibank, N.A. serves as administrative agent for the syndicate of 23 lenders. No single lender has greater than a 7-percent share.</w:t>
      </w:r>
    </w:p>
    <w:p>
      <w:pPr>
        <w:spacing w:after="0" w:line="170"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Borrowings bear interest at benchmark rates plus a margin that varies with market index rates and Sempra Energy's credit ratings. The facility requires Sempra Energy to maintain a ratio of total indebtedness to total capitalization (as defined in the agreement) of no more than 65 percent at the end of each quarter. The facility also provides for issuance of up to $400 million of letters of credit on behalf of Sempra Energy with the amount of borrowings otherwise available under the facility reduced by the amount of outstanding letters of credit.</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At June 30, 2011, Sempra Energy had $20 million of variable-rate demand notes outstanding supported by the facility.</w:t>
      </w: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Sempra Global</w:t>
      </w:r>
    </w:p>
    <w:p>
      <w:pPr>
        <w:spacing w:after="0" w:line="205"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Sempra Global has a $2 billion, four-year syndicated revolving credit agreement expiring in October 2014. Citibank, N.A. serves as administrative agent for the syndicate of 23 lenders. No single lender has greater than a 7-percent share.</w:t>
      </w:r>
    </w:p>
    <w:p>
      <w:pPr>
        <w:spacing w:after="0" w:line="170"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Sempra Energy guarantees Sempra Global’s obligations under the credit facility. Borrowings bear interest at benchmark rates plus a margin that varies with market index rates and Sempra Energy’s credit ratings. The facility requires Sempra Energy to maintain a ratio of total indebtedness to total capitalization (as defined in the agreement) of no more than 65 percent at the end of each quarter.</w:t>
      </w:r>
    </w:p>
    <w:p>
      <w:pPr>
        <w:spacing w:after="0" w:line="181"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At June 30, 2011, Sempra Global had $639 million of commercial paper outstanding supported by the facility. At June 30, 2011, $200 million of the commercial paper outstanding is classified as long-term debt based on management’s intent and ability to maintain this level of borrowing on a long-term basis either supported by this credit facility or by issuing long-term debt. At December 31, 2010, $800 million of commercial paper outstanding was similarly classified as long-term debt.</w:t>
      </w: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Sempra Utilities</w:t>
      </w:r>
    </w:p>
    <w:p>
      <w:pPr>
        <w:spacing w:after="0" w:line="205"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SDG&amp;E and SoCalGas have a combined $800 million, four-year syndicated revolving credit agreement expiring in October 2014. JPMorgan Chase Bank serves as administrative agent for the syndicate of 22 lenders. No single lender has greater than a 7-percent share. The agreement permits each utility to individually borrow up to $600 million, subject to a combined limit of $800 million for both utilities. It also provides for the issuance of letters of credit on behalf of each utility subject to a combined letter of credit commitment of $200 million for both utilities. The amount of borrowings otherwise available under the facility is reduced by the amount of outstanding letters of credit.</w:t>
      </w:r>
    </w:p>
    <w:p>
      <w:pPr>
        <w:spacing w:after="0" w:line="188" w:lineRule="exact"/>
        <w:rPr>
          <w:sz w:val="20"/>
          <w:szCs w:val="20"/>
          <w:color w:val="auto"/>
        </w:rPr>
      </w:pPr>
    </w:p>
    <w:p>
      <w:pPr>
        <w:jc w:val="both"/>
        <w:ind w:right="100"/>
        <w:spacing w:after="0" w:line="264" w:lineRule="auto"/>
        <w:rPr>
          <w:sz w:val="20"/>
          <w:szCs w:val="20"/>
          <w:color w:val="auto"/>
        </w:rPr>
      </w:pPr>
      <w:r>
        <w:rPr>
          <w:rFonts w:ascii="Arial" w:cs="Arial" w:eastAsia="Arial" w:hAnsi="Arial"/>
          <w:sz w:val="18"/>
          <w:szCs w:val="18"/>
          <w:color w:val="auto"/>
        </w:rPr>
        <w:t>Borrowings under the facility bear interest at benchmark rates plus a margin that varies with market index rates and the borrowing utility's credit ratings. The agreement requires each utility to maintain a ratio of total indebtedness to total capitalization (as defined in the agreement) of no more than 65 percent at the end of each quarter.</w:t>
      </w:r>
    </w:p>
    <w:p>
      <w:pPr>
        <w:spacing w:after="0" w:line="181"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Each utility’s obligations under the agreement are individual obligations, and a default by one utility would not constitute a default by the other utility or preclude borrowings by, or the issuance of letters of credit on behalf of, the other utility.</w:t>
      </w:r>
    </w:p>
    <w:p>
      <w:pPr>
        <w:spacing w:after="0" w:line="170"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At June 30, 2011, SDG&amp;E and SoCalGas had no outstanding borrowings under this facility and SDG&amp;E had $237 million of variable-rate demand notes outstanding supported by the facility. Available unused credit on the lines under this facility at June 30, 2011 was $363 million at SDG&amp;E and $563 million at SoCalGas; SoCalGas' availability reflects the impact of SDG&amp;E's use of the combined credit available on the line.</w:t>
      </w:r>
    </w:p>
    <w:p>
      <w:pPr>
        <w:spacing w:after="0" w:line="3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GUARANTEES</w:t>
      </w: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RBS Sempra Commodities</w:t>
      </w:r>
    </w:p>
    <w:p>
      <w:pPr>
        <w:spacing w:after="0" w:line="205"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As we discuss in Note 4, in 2010 and early 2011, Sempra Energy, RBS and RBS Sempra Commodities sold substantially all of the businesses and assets within the partnership in four separate transactions. In connection with each of these transactions, the buyers are, subject to certain qualifications, obligated to replace any guarantees that we have issued in connection with the applicable businesses sold with guarantees of their own. During the process of replacing these guarantees, the buyers are obligated to indemnify us in accordance with the applicable transaction documents for any claims or losses in connection with the guarantees.</w:t>
      </w:r>
    </w:p>
    <w:p>
      <w:pPr>
        <w:spacing w:after="0" w:line="188"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RBS is obligated to provide RBS Sempra Commodities with certain of its working-capital requirements. We provide back-up guarantees for a portion of RBS Sempra Commodities’ remaining trading obligations. Some of these back-up guarantees may continue for a prolonged period of time. RBS has fully indemnified us for any claims or losses in connection with these arrangements, with the exception of those obligations for which JP Morgan has agreed to indemnify us. We discuss the indemnification release in Note 4.</w:t>
      </w:r>
    </w:p>
    <w:p>
      <w:pPr>
        <w:spacing w:after="0" w:line="187" w:lineRule="exact"/>
        <w:rPr>
          <w:sz w:val="20"/>
          <w:szCs w:val="20"/>
          <w:color w:val="auto"/>
        </w:rPr>
      </w:pPr>
    </w:p>
    <w:p>
      <w:pPr>
        <w:jc w:val="both"/>
        <w:ind w:right="460"/>
        <w:spacing w:after="0" w:line="264" w:lineRule="auto"/>
        <w:rPr>
          <w:sz w:val="20"/>
          <w:szCs w:val="20"/>
          <w:color w:val="auto"/>
        </w:rPr>
      </w:pPr>
      <w:r>
        <w:rPr>
          <w:rFonts w:ascii="Arial" w:cs="Arial" w:eastAsia="Arial" w:hAnsi="Arial"/>
          <w:sz w:val="18"/>
          <w:szCs w:val="18"/>
          <w:color w:val="auto"/>
        </w:rPr>
        <w:t>RBS Sempra Commodities’ net trading liabilities supported by Sempra Energy’s guarantees at June 30, 2011 were $66 million, consisting of guaranteed trading obligations net of collateral. The amount of guaranteed net trading liabilities varies from day to day with the value of the trading obligations and related collateral.</w:t>
      </w:r>
    </w:p>
    <w:p>
      <w:pPr>
        <w:sectPr>
          <w:pgSz w:w="11900" w:h="16838" w:orient="portrait"/>
          <w:cols w:equalWidth="0" w:num="1">
            <w:col w:w="11420"/>
          </w:cols>
          <w:pgMar w:left="240" w:top="549" w:right="239" w:bottom="0" w:gutter="0" w:footer="0" w:header="0"/>
        </w:sectPr>
      </w:pPr>
    </w:p>
    <w:bookmarkStart w:id="34" w:name="page35"/>
    <w:bookmarkEnd w:id="34"/>
    <w:p>
      <w:pPr>
        <w:spacing w:after="0"/>
        <w:rPr>
          <w:sz w:val="20"/>
          <w:szCs w:val="20"/>
          <w:color w:val="auto"/>
        </w:rPr>
      </w:pPr>
      <w:r>
        <w:rPr>
          <w:rFonts w:ascii="Arial" w:cs="Arial" w:eastAsia="Arial" w:hAnsi="Arial"/>
          <w:sz w:val="20"/>
          <w:szCs w:val="20"/>
          <w:b w:val="1"/>
          <w:bCs w:val="1"/>
          <w:i w:val="1"/>
          <w:iCs w:val="1"/>
          <w:color w:val="auto"/>
        </w:rPr>
        <w:t>Other Guarantees</w:t>
      </w:r>
    </w:p>
    <w:p>
      <w:pPr>
        <w:spacing w:after="0" w:line="205" w:lineRule="exact"/>
        <w:rPr>
          <w:sz w:val="20"/>
          <w:szCs w:val="20"/>
          <w:color w:val="auto"/>
        </w:rPr>
      </w:pPr>
    </w:p>
    <w:p>
      <w:pPr>
        <w:ind w:right="100"/>
        <w:spacing w:after="0" w:line="273" w:lineRule="auto"/>
        <w:rPr>
          <w:sz w:val="20"/>
          <w:szCs w:val="20"/>
          <w:color w:val="auto"/>
        </w:rPr>
      </w:pPr>
      <w:r>
        <w:rPr>
          <w:rFonts w:ascii="Arial" w:cs="Arial" w:eastAsia="Arial" w:hAnsi="Arial"/>
          <w:sz w:val="17"/>
          <w:szCs w:val="17"/>
          <w:color w:val="auto"/>
        </w:rPr>
        <w:t>Sempra Generation and BP Wind Energy currently hold 50-percent ownership interests in Fowler Ridge II. In August 2010, Fowler Ridge II obtained a $348 million term loan expiring in August 2022. The proceeds were used to return $180 million of each owner’s investment in the joint venture. The loan agreement requires Sempra Generation and BP Wind Energy to return cash to the project in the event that the project does not meet certain cash flow criteria or in the event that the project’s debt service and operation and maintenance reserve accounts are not maintained at specific thresholds. Sempra Generation recorded a liability of $9 million for the fair value of its obligation associated with the cash flow requirements, which constitutes a guarantee. This liability is being amortized over its expected life. The outstanding loan is not guaranteed by the partners.</w:t>
      </w:r>
    </w:p>
    <w:p>
      <w:pPr>
        <w:spacing w:after="0" w:line="3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WEIGHTED AVERAGE INTEREST RATES</w:t>
      </w:r>
    </w:p>
    <w:p>
      <w:pPr>
        <w:spacing w:after="0" w:line="234" w:lineRule="exact"/>
        <w:rPr>
          <w:sz w:val="20"/>
          <w:szCs w:val="20"/>
          <w:color w:val="auto"/>
        </w:rPr>
      </w:pPr>
    </w:p>
    <w:p>
      <w:pPr>
        <w:ind w:right="380"/>
        <w:spacing w:after="0" w:line="264" w:lineRule="auto"/>
        <w:rPr>
          <w:sz w:val="20"/>
          <w:szCs w:val="20"/>
          <w:color w:val="auto"/>
        </w:rPr>
      </w:pPr>
      <w:r>
        <w:rPr>
          <w:rFonts w:ascii="Arial" w:cs="Arial" w:eastAsia="Arial" w:hAnsi="Arial"/>
          <w:sz w:val="18"/>
          <w:szCs w:val="18"/>
          <w:color w:val="auto"/>
        </w:rPr>
        <w:t>The weighted average interest rates on the total short-term debt outstanding at Sempra Energy were 0.56 percent and 0.46 percent at June 30, 2011 and December 31, 2010, respectively. The weighted average interest rates at both June 30, 2011 and December 31, 2010 include interest rates for commercial paper borrowings classified as long-term, as we discuss above.</w:t>
      </w:r>
    </w:p>
    <w:p>
      <w:pPr>
        <w:spacing w:after="0" w:line="3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LONG-TERM DEBT</w:t>
      </w:r>
    </w:p>
    <w:p>
      <w:pPr>
        <w:spacing w:after="0" w:line="234"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In March 2011, Sempra Energy publicly offered and sold $500 million of 2-percent notes and $300 million of floating rate notes (1.01 percent as of June 30, 2011), both maturing in 2014. The floating rate notes bear interest at a rate equal to the three-month London interbank offered rate (LIBOR) plus 0.76 percent. The interest rate is reset quarterly.</w:t>
      </w:r>
    </w:p>
    <w:p>
      <w:pPr>
        <w:spacing w:after="0" w:line="181"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Luz del Sur has outstanding Peruvian corporate bonds, denominated in the local currency, registered with the Peruvian stock exchange with maturity dates ranging from 2011 to 2015 at fixed interest rates ranging from 5.78 percent to 7.91 percent. As of June 30, 2011, the outstanding balance on these bonds was $181 million. Additionally, Luz del Sur has outstanding bank loans with maturity dates ranging from 2012 to 2016 at interest rates ranging from 5.45 percent to 6.75 percent. As of June 30, 2011, the outstanding balance on the bank loans was $40 million.</w:t>
      </w:r>
    </w:p>
    <w:p>
      <w:pPr>
        <w:spacing w:after="0" w:line="171" w:lineRule="exact"/>
        <w:rPr>
          <w:sz w:val="20"/>
          <w:szCs w:val="20"/>
          <w:color w:val="auto"/>
        </w:rPr>
      </w:pPr>
    </w:p>
    <w:p>
      <w:pPr>
        <w:ind w:right="40"/>
        <w:spacing w:after="0" w:line="276" w:lineRule="auto"/>
        <w:rPr>
          <w:sz w:val="20"/>
          <w:szCs w:val="20"/>
          <w:color w:val="auto"/>
        </w:rPr>
      </w:pPr>
      <w:r>
        <w:rPr>
          <w:rFonts w:ascii="Arial" w:cs="Arial" w:eastAsia="Arial" w:hAnsi="Arial"/>
          <w:sz w:val="17"/>
          <w:szCs w:val="17"/>
          <w:color w:val="auto"/>
        </w:rPr>
        <w:t>Chilquinta Energía has outstanding Series A and Series B Chilean public bonds with maturity dates in 2014 and 2030, respectively, and stated interest rates of 2.75 percent and 4.25 percent, respectively. The bonds and related interest are denominated in Chilean Unidades de Fomento. The Chilean Unidad de Fomento is a unit of account used in Chile that is adjusted for inflation, and its value is quoted in Chilean Pesos. In 2009, Sempra Pipelines &amp; Storage purchased $58 million of the 2.75-percent bonds, which are eliminated in consolidation. Net of this elimination, as of June 30, 2011, the outstanding balance on these bonds was $244 million ($25 million of Series A and $219 million of Series B).</w:t>
      </w:r>
    </w:p>
    <w:p>
      <w:pPr>
        <w:spacing w:after="0" w:line="3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SWAPS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We discuss our fair value interest rate swaps and interest rate swaps to hedge cash flows in Note 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220980</wp:posOffset>
            </wp:positionV>
            <wp:extent cx="7263765"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Arial" w:cs="Arial" w:eastAsia="Arial" w:hAnsi="Arial"/>
          <w:sz w:val="20"/>
          <w:szCs w:val="20"/>
          <w:color w:val="auto"/>
        </w:rPr>
        <w:t>NOTE 7. DERIVATIVE FINANCIAL INSTRUMENTS</w:t>
      </w:r>
    </w:p>
    <w:p>
      <w:pPr>
        <w:spacing w:after="0" w:line="191"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We use derivative instruments primarily to manage exposures arising in the normal course of business. These exposures are commodity market risk and benchmark interest rate risk. We may also manage foreign exchange rate exposures using derivatives. Our use of derivatives for these risks is integrated into the economic management of our anticipated revenues, anticipated expenses, assets and liabilities. Derivatives may be effective in mitigating these risks that could lead to declines in anticipated revenues or increases in anticipated expenses, or that our asset values may fall or our liabilities increase. Accordingly, our derivative activity summarized below generally represents an impact that is intended to offset associated revenues, expenses, assets or liabilities that are not presented below.</w:t>
      </w:r>
    </w:p>
    <w:p>
      <w:pPr>
        <w:spacing w:after="0" w:line="193" w:lineRule="exact"/>
        <w:rPr>
          <w:sz w:val="20"/>
          <w:szCs w:val="20"/>
          <w:color w:val="auto"/>
        </w:rPr>
      </w:pPr>
    </w:p>
    <w:p>
      <w:pPr>
        <w:ind w:right="100"/>
        <w:spacing w:after="0" w:line="276" w:lineRule="auto"/>
        <w:rPr>
          <w:sz w:val="20"/>
          <w:szCs w:val="20"/>
          <w:color w:val="auto"/>
        </w:rPr>
      </w:pPr>
      <w:r>
        <w:rPr>
          <w:rFonts w:ascii="Arial" w:cs="Arial" w:eastAsia="Arial" w:hAnsi="Arial"/>
          <w:sz w:val="17"/>
          <w:szCs w:val="17"/>
          <w:color w:val="auto"/>
        </w:rPr>
        <w:t>We record all derivatives at fair value on the Condensed Consolidated Balance Sheets. We designate each derivative as (1) a cash flow hedge, (2) a fair value hedge, or (3) undesignated. Depending on the applicability of hedge accounting and, for the Sempra Utilities and other operations subject to regulatory accounting, the requirement to pass impacts through to customers, the impact of derivative instruments may be offset in other comprehensive income (cash flow hedge), on the balance sheet (fair value hedges and regulatory offsets), or recognized in earnings. We classify cash flows from the settlements of derivative instruments as operating activities on the Condensed Consolidated Statements of Cash Flows.</w:t>
      </w:r>
    </w:p>
    <w:p>
      <w:pPr>
        <w:spacing w:after="0" w:line="173"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In certain cases, we apply the normal purchase or sale exception to derivative accounting and have other commodity contracts that are not derivatives. These contracts are not recorded at fair value and are therefore excluded from the disclosures below.</w:t>
      </w:r>
    </w:p>
    <w:p>
      <w:pPr>
        <w:spacing w:after="0" w:line="3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HEDGE ACCOUNTING</w:t>
      </w:r>
    </w:p>
    <w:p>
      <w:pPr>
        <w:spacing w:after="0" w:line="234"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We may designate a derivative as a cash flow hedging instrument if it effectively converts anticipated revenues or expenses to a fixed dollar amount. We may utilize cash flow hedge accounting for derivative commodity instruments and interest rate instruments. Designating cash flow hedges is dependent on the business context in which the instrument is being used, the effectiveness of the instrument in offsetting the risk that a given future revenue or expense item may vary, and other criteria.</w:t>
      </w:r>
    </w:p>
    <w:p>
      <w:pPr>
        <w:spacing w:after="0" w:line="187"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We may designate an interest rate derivative as a fair value hedging instrument if it effectively converts our own debt from a fixed interest rate to a variable rate. The combination of the derivative and debt instruments results in fixing that portion of the fair value of the debt that is related to benchmark interest rates. Designating fair value hedges is dependent on the instrument being used, the effectiveness of the instrument in offsetting changes in the fair value of our debt instruments, and other criteria.</w:t>
      </w:r>
    </w:p>
    <w:p>
      <w:pPr>
        <w:spacing w:after="0" w:line="3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ENERGY DERIVATIVES</w:t>
      </w:r>
    </w:p>
    <w:p>
      <w:pPr>
        <w:sectPr>
          <w:pgSz w:w="11900" w:h="16838" w:orient="portrait"/>
          <w:cols w:equalWidth="0" w:num="1">
            <w:col w:w="11420"/>
          </w:cols>
          <w:pgMar w:left="240" w:top="339" w:right="239" w:bottom="0" w:gutter="0" w:footer="0" w:header="0"/>
        </w:sectPr>
      </w:pPr>
    </w:p>
    <w:bookmarkStart w:id="35" w:name="page36"/>
    <w:bookmarkEnd w:id="35"/>
    <w:p>
      <w:pPr>
        <w:ind w:right="380"/>
        <w:spacing w:after="0" w:line="264" w:lineRule="auto"/>
        <w:rPr>
          <w:sz w:val="20"/>
          <w:szCs w:val="20"/>
          <w:color w:val="auto"/>
        </w:rPr>
      </w:pPr>
      <w:r>
        <w:rPr>
          <w:rFonts w:ascii="Arial" w:cs="Arial" w:eastAsia="Arial" w:hAnsi="Arial"/>
          <w:sz w:val="18"/>
          <w:szCs w:val="18"/>
          <w:color w:val="auto"/>
        </w:rPr>
        <w:t>Our market risk is primarily related to natural gas and electricity price volatility and the specific physical locations where we transact. We use energy derivatives to manage these risks. The use of energy derivatives in our various businesses depends on the particular energy market, and the operating and regulatory environments applicable to the business.</w:t>
      </w:r>
    </w:p>
    <w:p>
      <w:pPr>
        <w:spacing w:after="0" w:line="181" w:lineRule="exact"/>
        <w:rPr>
          <w:sz w:val="20"/>
          <w:szCs w:val="20"/>
          <w:color w:val="auto"/>
        </w:rPr>
      </w:pPr>
    </w:p>
    <w:p>
      <w:pPr>
        <w:jc w:val="both"/>
        <w:ind w:left="340" w:hanging="188"/>
        <w:spacing w:after="0" w:line="273" w:lineRule="auto"/>
        <w:tabs>
          <w:tab w:leader="none" w:pos="340" w:val="left"/>
        </w:tabs>
        <w:numPr>
          <w:ilvl w:val="0"/>
          <w:numId w:val="22"/>
        </w:numPr>
        <w:rPr>
          <w:rFonts w:ascii="Arial" w:cs="Arial" w:eastAsia="Arial" w:hAnsi="Arial"/>
          <w:sz w:val="17"/>
          <w:szCs w:val="17"/>
          <w:color w:val="auto"/>
        </w:rPr>
      </w:pPr>
      <w:r>
        <w:rPr>
          <w:rFonts w:ascii="Arial" w:cs="Arial" w:eastAsia="Arial" w:hAnsi="Arial"/>
          <w:sz w:val="17"/>
          <w:szCs w:val="17"/>
          <w:color w:val="auto"/>
        </w:rPr>
        <w:t>The Sempra Utilities use natural gas energy derivatives, on their customers' behalf, with the objective of managing price risk and basis risks, and lowering natural gas costs. These derivatives include fixed price natural gas positions, options, and basis risk instruments, which are either exchange-traded or over-the-counter financial instruments. This activity is governed by risk management and transacting activity plans that have been filed with and approved by the California Public Utilities Commission (CPUC). Natural gas derivative activities are recorded as commodity costs that are offset by regulatory account balances and are recovered in rates. Net commodity cost impacts on the Condensed Consolidated Statements of Operations are reflected in Cost of Electric Fuel and Purchased Power or in Cost of Natural Gas.</w:t>
      </w:r>
    </w:p>
    <w:p>
      <w:pPr>
        <w:spacing w:after="0" w:line="205" w:lineRule="exact"/>
        <w:rPr>
          <w:rFonts w:ascii="Arial" w:cs="Arial" w:eastAsia="Arial" w:hAnsi="Arial"/>
          <w:sz w:val="17"/>
          <w:szCs w:val="17"/>
          <w:color w:val="auto"/>
        </w:rPr>
      </w:pPr>
    </w:p>
    <w:p>
      <w:pPr>
        <w:jc w:val="both"/>
        <w:ind w:left="340" w:hanging="188"/>
        <w:spacing w:after="0" w:line="259" w:lineRule="auto"/>
        <w:tabs>
          <w:tab w:leader="none" w:pos="3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SDG&amp;E is allocated and may purchase congestion revenue rights (CRRs), which serve to reduce the regional electricity price volatility risk that may result from local transmission capacity constraints. Unrealized gains and losses do not impact earnings, as they are offset by regulatory account balances. Realized gains and losses associated with CRRs are recorded in Cost of Electric Fuel and Purchased Power, which is recoverable in rates, on the Condensed Consolidated Statements of Operations.</w:t>
      </w:r>
    </w:p>
    <w:p>
      <w:pPr>
        <w:spacing w:after="0" w:line="213" w:lineRule="exact"/>
        <w:rPr>
          <w:rFonts w:ascii="Arial" w:cs="Arial" w:eastAsia="Arial" w:hAnsi="Arial"/>
          <w:sz w:val="18"/>
          <w:szCs w:val="18"/>
          <w:color w:val="auto"/>
        </w:rPr>
      </w:pPr>
    </w:p>
    <w:p>
      <w:pPr>
        <w:jc w:val="both"/>
        <w:ind w:left="340" w:hanging="188"/>
        <w:spacing w:after="0" w:line="264" w:lineRule="auto"/>
        <w:tabs>
          <w:tab w:leader="none" w:pos="3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Sempra Generation uses natural gas and electricity instruments to market energy products and optimize the earnings of its power generation fleet. Gains and losses associated with these undesignated derivatives are recognized in Energy-Related Businesses Revenues or in Cost of Natural Gas, Electric Fuel and Purchased Power on the Condensed Consolidated Statements of Operations.</w:t>
      </w:r>
    </w:p>
    <w:p>
      <w:pPr>
        <w:spacing w:after="0" w:line="208" w:lineRule="exact"/>
        <w:rPr>
          <w:rFonts w:ascii="Arial" w:cs="Arial" w:eastAsia="Arial" w:hAnsi="Arial"/>
          <w:sz w:val="18"/>
          <w:szCs w:val="18"/>
          <w:color w:val="auto"/>
        </w:rPr>
      </w:pPr>
    </w:p>
    <w:p>
      <w:pPr>
        <w:jc w:val="both"/>
        <w:ind w:left="340" w:hanging="188"/>
        <w:spacing w:after="0" w:line="271" w:lineRule="auto"/>
        <w:tabs>
          <w:tab w:leader="none" w:pos="340" w:val="left"/>
        </w:tabs>
        <w:numPr>
          <w:ilvl w:val="0"/>
          <w:numId w:val="22"/>
        </w:numPr>
        <w:rPr>
          <w:rFonts w:ascii="Arial" w:cs="Arial" w:eastAsia="Arial" w:hAnsi="Arial"/>
          <w:sz w:val="17"/>
          <w:szCs w:val="17"/>
          <w:color w:val="auto"/>
        </w:rPr>
      </w:pPr>
      <w:r>
        <w:rPr>
          <w:rFonts w:ascii="Arial" w:cs="Arial" w:eastAsia="Arial" w:hAnsi="Arial"/>
          <w:sz w:val="17"/>
          <w:szCs w:val="17"/>
          <w:color w:val="auto"/>
        </w:rPr>
        <w:t>Sempra LNG and Sempra Pipelines &amp; Storage use natural gas derivatives to market energy products and optimize the earnings of our liquefied natural gas business and Sempra Pipelines &amp; Storage's natural gas storage and transportation assets. Sempra Pipelines &amp; Storage also uses natural gas energy derivatives with the objective of managing price risk and lowering natural gas prices at its Mexican distribution operations. These derivatives, which are recorded as commodity costs that are offset by regulatory account balances and recovered in rates, are recognized in Cost of Natural Gas on the Condensed Consolidated Statements of Operations. At Sempra Pipelines &amp; Storage’s non-utility businesses, derivatives are undesignated, and their impact on earnings is recorded in Energy-Related Businesses Revenues or in Cost of Natural Gas, Electric Fuel and Purchased Power on the Condensed Consolidated Statements of Operations. Sempra LNG’s derivatives are undesignated, and their impact on earnings is recorded in Energy-Related Businesses Revenues on the Condensed Consolidated Statements of Operations.</w:t>
      </w:r>
    </w:p>
    <w:p>
      <w:pPr>
        <w:spacing w:after="0" w:line="205" w:lineRule="exact"/>
        <w:rPr>
          <w:rFonts w:ascii="Arial" w:cs="Arial" w:eastAsia="Arial" w:hAnsi="Arial"/>
          <w:sz w:val="17"/>
          <w:szCs w:val="17"/>
          <w:color w:val="auto"/>
        </w:rPr>
      </w:pPr>
    </w:p>
    <w:p>
      <w:pPr>
        <w:ind w:left="340" w:hanging="188"/>
        <w:spacing w:after="0" w:line="277" w:lineRule="auto"/>
        <w:tabs>
          <w:tab w:leader="none" w:pos="3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From time to time, our various businesses, including the Sempra Utilities, may use other energy derivatives to hedge exposures such as the price of vehicle fuel.</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We summarize net energy derivative volumes as of June 30, 2011 and December 31, 2010 as follows:</w:t>
      </w:r>
    </w:p>
    <w:p>
      <w:pPr>
        <w:spacing w:after="0" w:line="200" w:lineRule="exact"/>
        <w:rPr>
          <w:sz w:val="20"/>
          <w:szCs w:val="20"/>
          <w:color w:val="auto"/>
        </w:rPr>
      </w:pP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480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Business Unit and Commodity</w:t>
            </w:r>
          </w:p>
        </w:tc>
        <w:tc>
          <w:tcPr>
            <w:tcW w:w="3720" w:type="dxa"/>
            <w:vAlign w:val="bottom"/>
            <w:tcBorders>
              <w:bottom w:val="single" w:sz="8" w:color="auto"/>
            </w:tcBorders>
          </w:tcPr>
          <w:p>
            <w:pPr>
              <w:jc w:val="right"/>
              <w:ind w:right="1080"/>
              <w:spacing w:after="0"/>
              <w:rPr>
                <w:sz w:val="20"/>
                <w:szCs w:val="20"/>
                <w:color w:val="auto"/>
              </w:rPr>
            </w:pPr>
            <w:r>
              <w:rPr>
                <w:rFonts w:ascii="Arial" w:cs="Arial" w:eastAsia="Arial" w:hAnsi="Arial"/>
                <w:sz w:val="14"/>
                <w:szCs w:val="14"/>
                <w:color w:val="auto"/>
              </w:rPr>
              <w:t>June 30, 2011</w:t>
            </w:r>
          </w:p>
        </w:tc>
        <w:tc>
          <w:tcPr>
            <w:tcW w:w="2900" w:type="dxa"/>
            <w:vAlign w:val="bottom"/>
            <w:tcBorders>
              <w:bottom w:val="single" w:sz="8" w:color="auto"/>
            </w:tcBorders>
          </w:tcPr>
          <w:p>
            <w:pPr>
              <w:jc w:val="right"/>
              <w:ind w:right="1220"/>
              <w:spacing w:after="0"/>
              <w:rPr>
                <w:sz w:val="20"/>
                <w:szCs w:val="20"/>
                <w:color w:val="auto"/>
              </w:rPr>
            </w:pPr>
            <w:r>
              <w:rPr>
                <w:rFonts w:ascii="Arial" w:cs="Arial" w:eastAsia="Arial" w:hAnsi="Arial"/>
                <w:sz w:val="14"/>
                <w:szCs w:val="14"/>
                <w:color w:val="auto"/>
              </w:rPr>
              <w:t>December 31, 2010</w:t>
            </w:r>
          </w:p>
        </w:tc>
      </w:tr>
      <w:tr>
        <w:trPr>
          <w:trHeight w:val="210"/>
        </w:trPr>
        <w:tc>
          <w:tcPr>
            <w:tcW w:w="4800" w:type="dxa"/>
            <w:vAlign w:val="bottom"/>
          </w:tcPr>
          <w:p>
            <w:pPr>
              <w:spacing w:after="0"/>
              <w:rPr>
                <w:sz w:val="20"/>
                <w:szCs w:val="20"/>
                <w:color w:val="auto"/>
              </w:rPr>
            </w:pPr>
            <w:r>
              <w:rPr>
                <w:rFonts w:ascii="Arial" w:cs="Arial" w:eastAsia="Arial" w:hAnsi="Arial"/>
                <w:sz w:val="16"/>
                <w:szCs w:val="16"/>
                <w:color w:val="auto"/>
              </w:rPr>
              <w:t>Sempra Utilities:</w:t>
            </w:r>
          </w:p>
        </w:tc>
        <w:tc>
          <w:tcPr>
            <w:tcW w:w="3720" w:type="dxa"/>
            <w:vAlign w:val="bottom"/>
          </w:tcPr>
          <w:p>
            <w:pPr>
              <w:spacing w:after="0"/>
              <w:rPr>
                <w:sz w:val="18"/>
                <w:szCs w:val="18"/>
                <w:color w:val="auto"/>
              </w:rPr>
            </w:pPr>
          </w:p>
        </w:tc>
        <w:tc>
          <w:tcPr>
            <w:tcW w:w="2900" w:type="dxa"/>
            <w:vAlign w:val="bottom"/>
          </w:tcPr>
          <w:p>
            <w:pPr>
              <w:spacing w:after="0"/>
              <w:rPr>
                <w:sz w:val="18"/>
                <w:szCs w:val="18"/>
                <w:color w:val="auto"/>
              </w:rPr>
            </w:pPr>
          </w:p>
        </w:tc>
      </w:tr>
      <w:tr>
        <w:trPr>
          <w:trHeight w:val="183"/>
        </w:trPr>
        <w:tc>
          <w:tcPr>
            <w:tcW w:w="4800" w:type="dxa"/>
            <w:vAlign w:val="bottom"/>
          </w:tcPr>
          <w:p>
            <w:pPr>
              <w:ind w:left="180"/>
              <w:spacing w:after="0"/>
              <w:rPr>
                <w:sz w:val="20"/>
                <w:szCs w:val="20"/>
                <w:color w:val="auto"/>
              </w:rPr>
            </w:pPr>
            <w:r>
              <w:rPr>
                <w:rFonts w:ascii="Arial" w:cs="Arial" w:eastAsia="Arial" w:hAnsi="Arial"/>
                <w:sz w:val="16"/>
                <w:szCs w:val="16"/>
                <w:color w:val="auto"/>
              </w:rPr>
              <w:t>SDG&amp;E:</w:t>
            </w:r>
          </w:p>
        </w:tc>
        <w:tc>
          <w:tcPr>
            <w:tcW w:w="3720" w:type="dxa"/>
            <w:vAlign w:val="bottom"/>
          </w:tcPr>
          <w:p>
            <w:pPr>
              <w:spacing w:after="0"/>
              <w:rPr>
                <w:sz w:val="15"/>
                <w:szCs w:val="15"/>
                <w:color w:val="auto"/>
              </w:rPr>
            </w:pPr>
          </w:p>
        </w:tc>
        <w:tc>
          <w:tcPr>
            <w:tcW w:w="2900" w:type="dxa"/>
            <w:vAlign w:val="bottom"/>
          </w:tcPr>
          <w:p>
            <w:pPr>
              <w:spacing w:after="0"/>
              <w:rPr>
                <w:sz w:val="15"/>
                <w:szCs w:val="15"/>
                <w:color w:val="auto"/>
              </w:rPr>
            </w:pPr>
          </w:p>
        </w:tc>
      </w:tr>
      <w:tr>
        <w:trPr>
          <w:trHeight w:val="176"/>
        </w:trPr>
        <w:tc>
          <w:tcPr>
            <w:tcW w:w="4800" w:type="dxa"/>
            <w:vAlign w:val="bottom"/>
          </w:tcPr>
          <w:p>
            <w:pPr>
              <w:ind w:left="360"/>
              <w:spacing w:after="0" w:line="176" w:lineRule="exact"/>
              <w:rPr>
                <w:sz w:val="20"/>
                <w:szCs w:val="20"/>
                <w:color w:val="auto"/>
              </w:rPr>
            </w:pPr>
            <w:r>
              <w:rPr>
                <w:rFonts w:ascii="Arial" w:cs="Arial" w:eastAsia="Arial" w:hAnsi="Arial"/>
                <w:sz w:val="16"/>
                <w:szCs w:val="16"/>
                <w:color w:val="auto"/>
              </w:rPr>
              <w:t>Natural gas</w:t>
            </w:r>
          </w:p>
        </w:tc>
        <w:tc>
          <w:tcPr>
            <w:tcW w:w="3720" w:type="dxa"/>
            <w:vAlign w:val="bottom"/>
          </w:tcPr>
          <w:p>
            <w:pPr>
              <w:jc w:val="right"/>
              <w:ind w:right="240"/>
              <w:spacing w:after="0" w:line="176" w:lineRule="exact"/>
              <w:rPr>
                <w:sz w:val="20"/>
                <w:szCs w:val="20"/>
                <w:color w:val="auto"/>
              </w:rPr>
            </w:pPr>
            <w:r>
              <w:rPr>
                <w:rFonts w:ascii="Arial" w:cs="Arial" w:eastAsia="Arial" w:hAnsi="Arial"/>
                <w:sz w:val="16"/>
                <w:szCs w:val="16"/>
                <w:color w:val="auto"/>
              </w:rPr>
              <w:t>45 million MMBtu</w:t>
            </w:r>
          </w:p>
        </w:tc>
        <w:tc>
          <w:tcPr>
            <w:tcW w:w="2900" w:type="dxa"/>
            <w:vAlign w:val="bottom"/>
          </w:tcPr>
          <w:p>
            <w:pPr>
              <w:jc w:val="right"/>
              <w:ind w:right="400"/>
              <w:spacing w:after="0" w:line="176" w:lineRule="exact"/>
              <w:rPr>
                <w:sz w:val="20"/>
                <w:szCs w:val="20"/>
                <w:color w:val="auto"/>
              </w:rPr>
            </w:pPr>
            <w:r>
              <w:rPr>
                <w:rFonts w:ascii="Arial" w:cs="Arial" w:eastAsia="Arial" w:hAnsi="Arial"/>
                <w:sz w:val="16"/>
                <w:szCs w:val="16"/>
                <w:color w:val="auto"/>
              </w:rPr>
              <w:t>51 million MMBtu</w:t>
            </w:r>
            <w:r>
              <w:rPr>
                <w:rFonts w:ascii="Arial" w:cs="Arial" w:eastAsia="Arial" w:hAnsi="Arial"/>
                <w:sz w:val="14"/>
                <w:szCs w:val="14"/>
                <w:color w:val="auto"/>
              </w:rPr>
              <w:t>(1)</w:t>
            </w:r>
          </w:p>
        </w:tc>
      </w:tr>
      <w:tr>
        <w:trPr>
          <w:trHeight w:val="202"/>
        </w:trPr>
        <w:tc>
          <w:tcPr>
            <w:tcW w:w="4800" w:type="dxa"/>
            <w:vAlign w:val="bottom"/>
          </w:tcPr>
          <w:p>
            <w:pPr>
              <w:ind w:left="360"/>
              <w:spacing w:after="0"/>
              <w:rPr>
                <w:sz w:val="20"/>
                <w:szCs w:val="20"/>
                <w:color w:val="auto"/>
              </w:rPr>
            </w:pPr>
            <w:r>
              <w:rPr>
                <w:rFonts w:ascii="Arial" w:cs="Arial" w:eastAsia="Arial" w:hAnsi="Arial"/>
                <w:sz w:val="16"/>
                <w:szCs w:val="16"/>
                <w:color w:val="auto"/>
              </w:rPr>
              <w:t>Congestion revenue rights</w:t>
            </w:r>
          </w:p>
        </w:tc>
        <w:tc>
          <w:tcPr>
            <w:tcW w:w="3720" w:type="dxa"/>
            <w:vAlign w:val="bottom"/>
          </w:tcPr>
          <w:p>
            <w:pPr>
              <w:jc w:val="right"/>
              <w:ind w:right="240"/>
              <w:spacing w:after="0"/>
              <w:rPr>
                <w:sz w:val="20"/>
                <w:szCs w:val="20"/>
                <w:color w:val="auto"/>
              </w:rPr>
            </w:pPr>
            <w:r>
              <w:rPr>
                <w:rFonts w:ascii="Arial" w:cs="Arial" w:eastAsia="Arial" w:hAnsi="Arial"/>
                <w:sz w:val="16"/>
                <w:szCs w:val="16"/>
                <w:color w:val="auto"/>
              </w:rPr>
              <w:t>13 million MWh</w:t>
            </w:r>
          </w:p>
        </w:tc>
        <w:tc>
          <w:tcPr>
            <w:tcW w:w="2900" w:type="dxa"/>
            <w:vAlign w:val="bottom"/>
          </w:tcPr>
          <w:p>
            <w:pPr>
              <w:jc w:val="right"/>
              <w:ind w:right="400"/>
              <w:spacing w:after="0"/>
              <w:rPr>
                <w:sz w:val="20"/>
                <w:szCs w:val="20"/>
                <w:color w:val="auto"/>
              </w:rPr>
            </w:pPr>
            <w:r>
              <w:rPr>
                <w:rFonts w:ascii="Arial" w:cs="Arial" w:eastAsia="Arial" w:hAnsi="Arial"/>
                <w:sz w:val="16"/>
                <w:szCs w:val="16"/>
                <w:color w:val="auto"/>
              </w:rPr>
              <w:t>21 million MWh</w:t>
            </w:r>
            <w:r>
              <w:rPr>
                <w:rFonts w:ascii="Arial" w:cs="Arial" w:eastAsia="Arial" w:hAnsi="Arial"/>
                <w:sz w:val="14"/>
                <w:szCs w:val="14"/>
                <w:color w:val="auto"/>
              </w:rPr>
              <w:t>(2)</w:t>
            </w:r>
          </w:p>
        </w:tc>
      </w:tr>
      <w:tr>
        <w:trPr>
          <w:trHeight w:val="195"/>
        </w:trPr>
        <w:tc>
          <w:tcPr>
            <w:tcW w:w="4800" w:type="dxa"/>
            <w:vAlign w:val="bottom"/>
          </w:tcPr>
          <w:p>
            <w:pPr>
              <w:ind w:left="180"/>
              <w:spacing w:after="0"/>
              <w:rPr>
                <w:sz w:val="20"/>
                <w:szCs w:val="20"/>
                <w:color w:val="auto"/>
              </w:rPr>
            </w:pPr>
            <w:r>
              <w:rPr>
                <w:rFonts w:ascii="Arial" w:cs="Arial" w:eastAsia="Arial" w:hAnsi="Arial"/>
                <w:sz w:val="16"/>
                <w:szCs w:val="16"/>
                <w:color w:val="auto"/>
              </w:rPr>
              <w:t>SoCalGas - natural gas</w:t>
            </w:r>
          </w:p>
        </w:tc>
        <w:tc>
          <w:tcPr>
            <w:tcW w:w="3720" w:type="dxa"/>
            <w:vAlign w:val="bottom"/>
          </w:tcPr>
          <w:p>
            <w:pPr>
              <w:jc w:val="right"/>
              <w:ind w:right="240"/>
              <w:spacing w:after="0"/>
              <w:rPr>
                <w:sz w:val="20"/>
                <w:szCs w:val="20"/>
                <w:color w:val="auto"/>
              </w:rPr>
            </w:pPr>
            <w:r>
              <w:rPr>
                <w:rFonts w:ascii="Arial" w:cs="Arial" w:eastAsia="Arial" w:hAnsi="Arial"/>
                <w:sz w:val="16"/>
                <w:szCs w:val="16"/>
                <w:color w:val="auto"/>
              </w:rPr>
              <w:t>2 million MMBtu</w:t>
            </w:r>
          </w:p>
        </w:tc>
        <w:tc>
          <w:tcPr>
            <w:tcW w:w="2900" w:type="dxa"/>
            <w:vAlign w:val="bottom"/>
          </w:tcPr>
          <w:p>
            <w:pPr>
              <w:jc w:val="right"/>
              <w:ind w:right="600"/>
              <w:spacing w:after="0"/>
              <w:rPr>
                <w:sz w:val="20"/>
                <w:szCs w:val="20"/>
                <w:color w:val="auto"/>
              </w:rPr>
            </w:pPr>
            <w:r>
              <w:rPr>
                <w:rFonts w:ascii="Arial" w:cs="Arial" w:eastAsia="Arial" w:hAnsi="Arial"/>
                <w:sz w:val="16"/>
                <w:szCs w:val="16"/>
                <w:color w:val="auto"/>
              </w:rPr>
              <w:t>―</w:t>
            </w:r>
          </w:p>
        </w:tc>
      </w:tr>
      <w:tr>
        <w:trPr>
          <w:trHeight w:val="405"/>
        </w:trPr>
        <w:tc>
          <w:tcPr>
            <w:tcW w:w="4800" w:type="dxa"/>
            <w:vAlign w:val="bottom"/>
          </w:tcPr>
          <w:p>
            <w:pPr>
              <w:spacing w:after="0"/>
              <w:rPr>
                <w:sz w:val="20"/>
                <w:szCs w:val="20"/>
                <w:color w:val="auto"/>
              </w:rPr>
            </w:pPr>
            <w:r>
              <w:rPr>
                <w:rFonts w:ascii="Arial" w:cs="Arial" w:eastAsia="Arial" w:hAnsi="Arial"/>
                <w:sz w:val="16"/>
                <w:szCs w:val="16"/>
                <w:color w:val="auto"/>
              </w:rPr>
              <w:t>Energy-Related Businesses:</w:t>
            </w:r>
          </w:p>
        </w:tc>
        <w:tc>
          <w:tcPr>
            <w:tcW w:w="3720" w:type="dxa"/>
            <w:vAlign w:val="bottom"/>
          </w:tcPr>
          <w:p>
            <w:pPr>
              <w:spacing w:after="0"/>
              <w:rPr>
                <w:sz w:val="24"/>
                <w:szCs w:val="24"/>
                <w:color w:val="auto"/>
              </w:rPr>
            </w:pPr>
          </w:p>
        </w:tc>
        <w:tc>
          <w:tcPr>
            <w:tcW w:w="2900" w:type="dxa"/>
            <w:vAlign w:val="bottom"/>
          </w:tcPr>
          <w:p>
            <w:pPr>
              <w:spacing w:after="0"/>
              <w:rPr>
                <w:sz w:val="24"/>
                <w:szCs w:val="24"/>
                <w:color w:val="auto"/>
              </w:rPr>
            </w:pPr>
          </w:p>
        </w:tc>
      </w:tr>
      <w:tr>
        <w:trPr>
          <w:trHeight w:val="203"/>
        </w:trPr>
        <w:tc>
          <w:tcPr>
            <w:tcW w:w="4800" w:type="dxa"/>
            <w:vAlign w:val="bottom"/>
          </w:tcPr>
          <w:p>
            <w:pPr>
              <w:ind w:left="180"/>
              <w:spacing w:after="0"/>
              <w:rPr>
                <w:sz w:val="20"/>
                <w:szCs w:val="20"/>
                <w:color w:val="auto"/>
              </w:rPr>
            </w:pPr>
            <w:r>
              <w:rPr>
                <w:rFonts w:ascii="Arial" w:cs="Arial" w:eastAsia="Arial" w:hAnsi="Arial"/>
                <w:sz w:val="16"/>
                <w:szCs w:val="16"/>
                <w:color w:val="auto"/>
              </w:rPr>
              <w:t>Sempra Generation - electric power</w:t>
            </w:r>
          </w:p>
        </w:tc>
        <w:tc>
          <w:tcPr>
            <w:tcW w:w="3720" w:type="dxa"/>
            <w:vAlign w:val="bottom"/>
          </w:tcPr>
          <w:p>
            <w:pPr>
              <w:jc w:val="right"/>
              <w:ind w:right="240"/>
              <w:spacing w:after="0"/>
              <w:rPr>
                <w:sz w:val="20"/>
                <w:szCs w:val="20"/>
                <w:color w:val="auto"/>
              </w:rPr>
            </w:pPr>
            <w:r>
              <w:rPr>
                <w:rFonts w:ascii="Arial" w:cs="Arial" w:eastAsia="Arial" w:hAnsi="Arial"/>
                <w:sz w:val="16"/>
                <w:szCs w:val="16"/>
                <w:color w:val="auto"/>
              </w:rPr>
              <w:t>1 million MWh</w:t>
            </w:r>
          </w:p>
        </w:tc>
        <w:tc>
          <w:tcPr>
            <w:tcW w:w="2900" w:type="dxa"/>
            <w:vAlign w:val="bottom"/>
          </w:tcPr>
          <w:p>
            <w:pPr>
              <w:jc w:val="right"/>
              <w:ind w:right="560"/>
              <w:spacing w:after="0"/>
              <w:rPr>
                <w:sz w:val="20"/>
                <w:szCs w:val="20"/>
                <w:color w:val="auto"/>
              </w:rPr>
            </w:pPr>
            <w:r>
              <w:rPr>
                <w:rFonts w:ascii="Arial" w:cs="Arial" w:eastAsia="Arial" w:hAnsi="Arial"/>
                <w:sz w:val="16"/>
                <w:szCs w:val="16"/>
                <w:color w:val="auto"/>
              </w:rPr>
              <w:t>1 million MWh</w:t>
            </w:r>
          </w:p>
        </w:tc>
      </w:tr>
      <w:tr>
        <w:trPr>
          <w:trHeight w:val="203"/>
        </w:trPr>
        <w:tc>
          <w:tcPr>
            <w:tcW w:w="4800" w:type="dxa"/>
            <w:vAlign w:val="bottom"/>
          </w:tcPr>
          <w:p>
            <w:pPr>
              <w:ind w:left="180"/>
              <w:spacing w:after="0"/>
              <w:rPr>
                <w:sz w:val="20"/>
                <w:szCs w:val="20"/>
                <w:color w:val="auto"/>
              </w:rPr>
            </w:pPr>
            <w:r>
              <w:rPr>
                <w:rFonts w:ascii="Arial" w:cs="Arial" w:eastAsia="Arial" w:hAnsi="Arial"/>
                <w:sz w:val="16"/>
                <w:szCs w:val="16"/>
                <w:color w:val="auto"/>
              </w:rPr>
              <w:t>Sempra Generation - natural gas</w:t>
            </w:r>
          </w:p>
        </w:tc>
        <w:tc>
          <w:tcPr>
            <w:tcW w:w="3720" w:type="dxa"/>
            <w:vAlign w:val="bottom"/>
          </w:tcPr>
          <w:p>
            <w:pPr>
              <w:jc w:val="right"/>
              <w:ind w:right="240"/>
              <w:spacing w:after="0"/>
              <w:rPr>
                <w:sz w:val="20"/>
                <w:szCs w:val="20"/>
                <w:color w:val="auto"/>
              </w:rPr>
            </w:pPr>
            <w:r>
              <w:rPr>
                <w:rFonts w:ascii="Arial" w:cs="Arial" w:eastAsia="Arial" w:hAnsi="Arial"/>
                <w:sz w:val="16"/>
                <w:szCs w:val="16"/>
                <w:color w:val="auto"/>
              </w:rPr>
              <w:t>1 million MMBtu</w:t>
            </w:r>
          </w:p>
        </w:tc>
        <w:tc>
          <w:tcPr>
            <w:tcW w:w="2900" w:type="dxa"/>
            <w:vAlign w:val="bottom"/>
          </w:tcPr>
          <w:p>
            <w:pPr>
              <w:jc w:val="right"/>
              <w:ind w:right="600"/>
              <w:spacing w:after="0"/>
              <w:rPr>
                <w:sz w:val="20"/>
                <w:szCs w:val="20"/>
                <w:color w:val="auto"/>
              </w:rPr>
            </w:pPr>
            <w:r>
              <w:rPr>
                <w:rFonts w:ascii="Arial" w:cs="Arial" w:eastAsia="Arial" w:hAnsi="Arial"/>
                <w:sz w:val="16"/>
                <w:szCs w:val="16"/>
                <w:color w:val="auto"/>
              </w:rPr>
              <w:t>―</w:t>
            </w:r>
          </w:p>
        </w:tc>
      </w:tr>
      <w:tr>
        <w:trPr>
          <w:trHeight w:val="203"/>
        </w:trPr>
        <w:tc>
          <w:tcPr>
            <w:tcW w:w="4800" w:type="dxa"/>
            <w:vAlign w:val="bottom"/>
          </w:tcPr>
          <w:p>
            <w:pPr>
              <w:ind w:left="180"/>
              <w:spacing w:after="0"/>
              <w:rPr>
                <w:sz w:val="20"/>
                <w:szCs w:val="20"/>
                <w:color w:val="auto"/>
              </w:rPr>
            </w:pPr>
            <w:r>
              <w:rPr>
                <w:rFonts w:ascii="Arial" w:cs="Arial" w:eastAsia="Arial" w:hAnsi="Arial"/>
                <w:sz w:val="16"/>
                <w:szCs w:val="16"/>
                <w:color w:val="auto"/>
              </w:rPr>
              <w:t>Sempra Pipelines &amp; Storage - natural gas</w:t>
            </w:r>
          </w:p>
        </w:tc>
        <w:tc>
          <w:tcPr>
            <w:tcW w:w="3720" w:type="dxa"/>
            <w:vAlign w:val="bottom"/>
          </w:tcPr>
          <w:p>
            <w:pPr>
              <w:jc w:val="right"/>
              <w:ind w:right="240"/>
              <w:spacing w:after="0"/>
              <w:rPr>
                <w:sz w:val="20"/>
                <w:szCs w:val="20"/>
                <w:color w:val="auto"/>
              </w:rPr>
            </w:pPr>
            <w:r>
              <w:rPr>
                <w:rFonts w:ascii="Arial" w:cs="Arial" w:eastAsia="Arial" w:hAnsi="Arial"/>
                <w:sz w:val="16"/>
                <w:szCs w:val="16"/>
                <w:color w:val="auto"/>
              </w:rPr>
              <w:t>9 million MMBtu</w:t>
            </w:r>
          </w:p>
        </w:tc>
        <w:tc>
          <w:tcPr>
            <w:tcW w:w="2900" w:type="dxa"/>
            <w:vAlign w:val="bottom"/>
          </w:tcPr>
          <w:p>
            <w:pPr>
              <w:jc w:val="right"/>
              <w:ind w:right="560"/>
              <w:spacing w:after="0"/>
              <w:rPr>
                <w:sz w:val="20"/>
                <w:szCs w:val="20"/>
                <w:color w:val="auto"/>
              </w:rPr>
            </w:pPr>
            <w:r>
              <w:rPr>
                <w:rFonts w:ascii="Arial" w:cs="Arial" w:eastAsia="Arial" w:hAnsi="Arial"/>
                <w:sz w:val="16"/>
                <w:szCs w:val="16"/>
                <w:color w:val="auto"/>
              </w:rPr>
              <w:t>8 million MMBtu</w:t>
            </w:r>
          </w:p>
        </w:tc>
      </w:tr>
      <w:tr>
        <w:trPr>
          <w:trHeight w:val="203"/>
        </w:trPr>
        <w:tc>
          <w:tcPr>
            <w:tcW w:w="4800" w:type="dxa"/>
            <w:vAlign w:val="bottom"/>
          </w:tcPr>
          <w:p>
            <w:pPr>
              <w:ind w:left="180"/>
              <w:spacing w:after="0"/>
              <w:rPr>
                <w:sz w:val="20"/>
                <w:szCs w:val="20"/>
                <w:color w:val="auto"/>
              </w:rPr>
            </w:pPr>
            <w:r>
              <w:rPr>
                <w:rFonts w:ascii="Arial" w:cs="Arial" w:eastAsia="Arial" w:hAnsi="Arial"/>
                <w:sz w:val="16"/>
                <w:szCs w:val="16"/>
                <w:color w:val="auto"/>
              </w:rPr>
              <w:t>Sempra LNG - natural gas</w:t>
            </w:r>
          </w:p>
        </w:tc>
        <w:tc>
          <w:tcPr>
            <w:tcW w:w="3720" w:type="dxa"/>
            <w:vAlign w:val="bottom"/>
          </w:tcPr>
          <w:p>
            <w:pPr>
              <w:jc w:val="right"/>
              <w:ind w:right="240"/>
              <w:spacing w:after="0"/>
              <w:rPr>
                <w:sz w:val="20"/>
                <w:szCs w:val="20"/>
                <w:color w:val="auto"/>
              </w:rPr>
            </w:pPr>
            <w:r>
              <w:rPr>
                <w:rFonts w:ascii="Arial" w:cs="Arial" w:eastAsia="Arial" w:hAnsi="Arial"/>
                <w:sz w:val="16"/>
                <w:szCs w:val="16"/>
                <w:color w:val="auto"/>
              </w:rPr>
              <w:t>6 million MMBtu</w:t>
            </w:r>
          </w:p>
        </w:tc>
        <w:tc>
          <w:tcPr>
            <w:tcW w:w="2900" w:type="dxa"/>
            <w:vAlign w:val="bottom"/>
          </w:tcPr>
          <w:p>
            <w:pPr>
              <w:jc w:val="right"/>
              <w:ind w:right="560"/>
              <w:spacing w:after="0"/>
              <w:rPr>
                <w:sz w:val="20"/>
                <w:szCs w:val="20"/>
                <w:color w:val="auto"/>
              </w:rPr>
            </w:pPr>
            <w:r>
              <w:rPr>
                <w:rFonts w:ascii="Arial" w:cs="Arial" w:eastAsia="Arial" w:hAnsi="Arial"/>
                <w:sz w:val="16"/>
                <w:szCs w:val="16"/>
                <w:color w:val="auto"/>
              </w:rPr>
              <w:t>7 million MMBtu</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wp:posOffset>
            </wp:positionV>
            <wp:extent cx="72466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ind w:left="620" w:hanging="612"/>
        <w:spacing w:after="0"/>
        <w:tabs>
          <w:tab w:leader="none" w:pos="620" w:val="left"/>
        </w:tabs>
        <w:numPr>
          <w:ilvl w:val="0"/>
          <w:numId w:val="23"/>
        </w:numPr>
        <w:rPr>
          <w:rFonts w:ascii="Arial" w:cs="Arial" w:eastAsia="Arial" w:hAnsi="Arial"/>
          <w:sz w:val="14"/>
          <w:szCs w:val="14"/>
          <w:i w:val="1"/>
          <w:iCs w:val="1"/>
          <w:color w:val="auto"/>
        </w:rPr>
      </w:pPr>
      <w:r>
        <w:rPr>
          <w:rFonts w:ascii="Arial" w:cs="Arial" w:eastAsia="Arial" w:hAnsi="Arial"/>
          <w:sz w:val="14"/>
          <w:szCs w:val="14"/>
          <w:i w:val="1"/>
          <w:iCs w:val="1"/>
          <w:color w:val="auto"/>
        </w:rPr>
        <w:t>Million British thermal units</w:t>
      </w:r>
    </w:p>
    <w:p>
      <w:pPr>
        <w:spacing w:after="0" w:line="15" w:lineRule="exact"/>
        <w:rPr>
          <w:rFonts w:ascii="Arial" w:cs="Arial" w:eastAsia="Arial" w:hAnsi="Arial"/>
          <w:sz w:val="14"/>
          <w:szCs w:val="14"/>
          <w:i w:val="1"/>
          <w:iCs w:val="1"/>
          <w:color w:val="auto"/>
        </w:rPr>
      </w:pPr>
    </w:p>
    <w:p>
      <w:pPr>
        <w:ind w:left="620" w:hanging="612"/>
        <w:spacing w:after="0"/>
        <w:tabs>
          <w:tab w:leader="none" w:pos="620" w:val="left"/>
        </w:tabs>
        <w:numPr>
          <w:ilvl w:val="0"/>
          <w:numId w:val="23"/>
        </w:numPr>
        <w:rPr>
          <w:rFonts w:ascii="Arial" w:cs="Arial" w:eastAsia="Arial" w:hAnsi="Arial"/>
          <w:sz w:val="14"/>
          <w:szCs w:val="14"/>
          <w:i w:val="1"/>
          <w:iCs w:val="1"/>
          <w:color w:val="auto"/>
        </w:rPr>
      </w:pPr>
      <w:r>
        <w:rPr>
          <w:rFonts w:ascii="Arial" w:cs="Arial" w:eastAsia="Arial" w:hAnsi="Arial"/>
          <w:sz w:val="14"/>
          <w:szCs w:val="14"/>
          <w:i w:val="1"/>
          <w:iCs w:val="1"/>
          <w:color w:val="auto"/>
        </w:rPr>
        <w:t>Megawatt hours</w:t>
      </w:r>
    </w:p>
    <w:p>
      <w:pPr>
        <w:spacing w:after="0" w:line="225"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In addition to the amounts noted above, we frequently use commodity derivatives to manage risks associated with the physical locations of our customers, assets and other contractual obligations, such as natural gas purchases and sales.</w:t>
      </w:r>
    </w:p>
    <w:p>
      <w:pPr>
        <w:spacing w:after="0" w:line="3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DERIVATIVES</w:t>
      </w:r>
    </w:p>
    <w:p>
      <w:pPr>
        <w:spacing w:after="0" w:line="234" w:lineRule="exact"/>
        <w:rPr>
          <w:sz w:val="20"/>
          <w:szCs w:val="20"/>
          <w:color w:val="auto"/>
        </w:rPr>
      </w:pPr>
    </w:p>
    <w:p>
      <w:pPr>
        <w:ind w:right="40"/>
        <w:spacing w:after="0" w:line="302" w:lineRule="auto"/>
        <w:rPr>
          <w:sz w:val="20"/>
          <w:szCs w:val="20"/>
          <w:color w:val="auto"/>
        </w:rPr>
      </w:pPr>
      <w:r>
        <w:rPr>
          <w:rFonts w:ascii="Arial" w:cs="Arial" w:eastAsia="Arial" w:hAnsi="Arial"/>
          <w:sz w:val="16"/>
          <w:szCs w:val="16"/>
          <w:color w:val="auto"/>
        </w:rPr>
        <w:t>We are exposed to interest rates primarily as a result of our current and expected use of financing. We periodically enter into interest rate derivative agreements intended to moderate our exposure to interest rates and to lower our overall costs of borrowing. We utilize interest rate swaps typically designated as fair value hedges, as a means to achieve our targeted level of variable rate debt as a percent of total debt. In addition, we may utilize interest rate swaps, which are typically designated as cash flow hedges, to lock in interest rates on outstanding debt or in anticipation of future financings.</w:t>
      </w:r>
    </w:p>
    <w:p>
      <w:pPr>
        <w:spacing w:after="0" w:line="154" w:lineRule="exact"/>
        <w:rPr>
          <w:sz w:val="20"/>
          <w:szCs w:val="20"/>
          <w:color w:val="auto"/>
        </w:rPr>
      </w:pPr>
    </w:p>
    <w:p>
      <w:pPr>
        <w:ind w:right="140"/>
        <w:spacing w:after="0" w:line="297" w:lineRule="auto"/>
        <w:rPr>
          <w:sz w:val="20"/>
          <w:szCs w:val="20"/>
          <w:color w:val="auto"/>
        </w:rPr>
      </w:pPr>
      <w:r>
        <w:rPr>
          <w:rFonts w:ascii="Arial" w:cs="Arial" w:eastAsia="Arial" w:hAnsi="Arial"/>
          <w:sz w:val="16"/>
          <w:szCs w:val="16"/>
          <w:color w:val="auto"/>
        </w:rPr>
        <w:t>Interest rate derivatives are utilized by the Sempra Utilities as well as by other Sempra Energy subsidiaries. Although the Sempra Utilities generally recover borrowing costs in rates over time, the use of interest rate derivatives is subject to certain regulatory constraints, and the impact of interest rate derivatives may not be recovered from customers as timely as described above with regard to natural gas derivatives. Accordingly, interest rate derivatives are generally accounted for as hedges at the Sempra Utilities, as at the rest of Sempra Energy's subsidiaries. Separately, Otay Mesa VIE has entered into interest rate swap agreements to moderate its exposure to interest rate changes. This was designated as a cash flow hedge as of April 1, 2011.</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The net notional amounts of our interest rate derivatives as of June 30, 2011 and December 31, 2010 were:</w:t>
      </w:r>
    </w:p>
    <w:p>
      <w:pPr>
        <w:spacing w:after="0" w:line="200" w:lineRule="exact"/>
        <w:rPr>
          <w:sz w:val="20"/>
          <w:szCs w:val="20"/>
          <w:color w:val="auto"/>
        </w:rPr>
      </w:pP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20" w:type="dxa"/>
            <w:vAlign w:val="bottom"/>
          </w:tcPr>
          <w:p>
            <w:pPr>
              <w:spacing w:after="0"/>
              <w:rPr>
                <w:sz w:val="14"/>
                <w:szCs w:val="14"/>
                <w:color w:val="auto"/>
              </w:rPr>
            </w:pPr>
          </w:p>
        </w:tc>
        <w:tc>
          <w:tcPr>
            <w:tcW w:w="4000" w:type="dxa"/>
            <w:vAlign w:val="bottom"/>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900" w:type="dxa"/>
            <w:vAlign w:val="bottom"/>
            <w:tcBorders>
              <w:bottom w:val="single" w:sz="8" w:color="auto"/>
            </w:tcBorders>
          </w:tcPr>
          <w:p>
            <w:pPr>
              <w:jc w:val="right"/>
              <w:ind w:right="23"/>
              <w:spacing w:after="0"/>
              <w:rPr>
                <w:sz w:val="20"/>
                <w:szCs w:val="20"/>
                <w:color w:val="auto"/>
              </w:rPr>
            </w:pPr>
            <w:r>
              <w:rPr>
                <w:rFonts w:ascii="Arial" w:cs="Arial" w:eastAsia="Arial" w:hAnsi="Arial"/>
                <w:sz w:val="14"/>
                <w:szCs w:val="14"/>
                <w:color w:val="auto"/>
              </w:rPr>
              <w:t>June 30, 2011</w:t>
            </w:r>
          </w:p>
        </w:tc>
        <w:tc>
          <w:tcPr>
            <w:tcW w:w="148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December 31, 2010</w:t>
            </w:r>
          </w:p>
        </w:tc>
        <w:tc>
          <w:tcPr>
            <w:tcW w:w="122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r>
      <w:tr>
        <w:trPr>
          <w:trHeight w:val="169"/>
        </w:trPr>
        <w:tc>
          <w:tcPr>
            <w:tcW w:w="4020" w:type="dxa"/>
            <w:vAlign w:val="bottom"/>
            <w:gridSpan w:val="2"/>
          </w:tcPr>
          <w:p>
            <w:pPr>
              <w:spacing w:after="0"/>
              <w:rPr>
                <w:sz w:val="20"/>
                <w:szCs w:val="20"/>
                <w:color w:val="auto"/>
              </w:rPr>
            </w:pPr>
            <w:r>
              <w:rPr>
                <w:rFonts w:ascii="Arial" w:cs="Arial" w:eastAsia="Arial" w:hAnsi="Arial"/>
                <w:sz w:val="14"/>
                <w:szCs w:val="14"/>
                <w:i w:val="1"/>
                <w:iCs w:val="1"/>
                <w:color w:val="auto"/>
              </w:rPr>
              <w:t>(Dollars in millions)</w:t>
            </w:r>
          </w:p>
        </w:tc>
        <w:tc>
          <w:tcPr>
            <w:tcW w:w="500" w:type="dxa"/>
            <w:vAlign w:val="bottom"/>
          </w:tcPr>
          <w:p>
            <w:pPr>
              <w:spacing w:after="0"/>
              <w:rPr>
                <w:sz w:val="14"/>
                <w:szCs w:val="14"/>
                <w:color w:val="auto"/>
              </w:rPr>
            </w:pPr>
          </w:p>
        </w:tc>
        <w:tc>
          <w:tcPr>
            <w:tcW w:w="1900" w:type="dxa"/>
            <w:vAlign w:val="bottom"/>
          </w:tcPr>
          <w:p>
            <w:pPr>
              <w:jc w:val="right"/>
              <w:ind w:right="923"/>
              <w:spacing w:after="0"/>
              <w:rPr>
                <w:sz w:val="20"/>
                <w:szCs w:val="20"/>
                <w:color w:val="auto"/>
              </w:rPr>
            </w:pPr>
            <w:r>
              <w:rPr>
                <w:rFonts w:ascii="Arial" w:cs="Arial" w:eastAsia="Arial" w:hAnsi="Arial"/>
                <w:sz w:val="14"/>
                <w:szCs w:val="14"/>
                <w:color w:val="auto"/>
              </w:rPr>
              <w:t>Notional Debt</w:t>
            </w:r>
          </w:p>
        </w:tc>
        <w:tc>
          <w:tcPr>
            <w:tcW w:w="1480" w:type="dxa"/>
            <w:vAlign w:val="bottom"/>
          </w:tcPr>
          <w:p>
            <w:pPr>
              <w:jc w:val="right"/>
              <w:ind w:right="681"/>
              <w:spacing w:after="0"/>
              <w:rPr>
                <w:sz w:val="20"/>
                <w:szCs w:val="20"/>
                <w:color w:val="auto"/>
              </w:rPr>
            </w:pPr>
            <w:r>
              <w:rPr>
                <w:rFonts w:ascii="Arial" w:cs="Arial" w:eastAsia="Arial" w:hAnsi="Arial"/>
                <w:sz w:val="14"/>
                <w:szCs w:val="14"/>
                <w:color w:val="auto"/>
              </w:rPr>
              <w:t>Maturities</w:t>
            </w:r>
          </w:p>
        </w:tc>
        <w:tc>
          <w:tcPr>
            <w:tcW w:w="300" w:type="dxa"/>
            <w:vAlign w:val="bottom"/>
          </w:tcPr>
          <w:p>
            <w:pPr>
              <w:spacing w:after="0"/>
              <w:rPr>
                <w:sz w:val="14"/>
                <w:szCs w:val="14"/>
                <w:color w:val="auto"/>
              </w:rPr>
            </w:pPr>
          </w:p>
        </w:tc>
        <w:tc>
          <w:tcPr>
            <w:tcW w:w="2000" w:type="dxa"/>
            <w:vAlign w:val="bottom"/>
          </w:tcPr>
          <w:p>
            <w:pPr>
              <w:jc w:val="right"/>
              <w:ind w:right="1023"/>
              <w:spacing w:after="0"/>
              <w:rPr>
                <w:sz w:val="20"/>
                <w:szCs w:val="20"/>
                <w:color w:val="auto"/>
              </w:rPr>
            </w:pPr>
            <w:r>
              <w:rPr>
                <w:rFonts w:ascii="Arial" w:cs="Arial" w:eastAsia="Arial" w:hAnsi="Arial"/>
                <w:sz w:val="14"/>
                <w:szCs w:val="14"/>
                <w:color w:val="auto"/>
              </w:rPr>
              <w:t>Notional Debt</w:t>
            </w:r>
          </w:p>
        </w:tc>
        <w:tc>
          <w:tcPr>
            <w:tcW w:w="1240" w:type="dxa"/>
            <w:vAlign w:val="bottom"/>
            <w:gridSpan w:val="2"/>
          </w:tcPr>
          <w:p>
            <w:pPr>
              <w:jc w:val="right"/>
              <w:ind w:right="600"/>
              <w:spacing w:after="0"/>
              <w:rPr>
                <w:sz w:val="20"/>
                <w:szCs w:val="20"/>
                <w:color w:val="auto"/>
              </w:rPr>
            </w:pPr>
            <w:r>
              <w:rPr>
                <w:rFonts w:ascii="Arial" w:cs="Arial" w:eastAsia="Arial" w:hAnsi="Arial"/>
                <w:sz w:val="14"/>
                <w:szCs w:val="14"/>
                <w:color w:val="auto"/>
              </w:rPr>
              <w:t>Maturities</w:t>
            </w:r>
          </w:p>
        </w:tc>
      </w:tr>
      <w:tr>
        <w:trPr>
          <w:trHeight w:val="164"/>
        </w:trPr>
        <w:tc>
          <w:tcPr>
            <w:tcW w:w="20" w:type="dxa"/>
            <w:vAlign w:val="bottom"/>
          </w:tcPr>
          <w:p>
            <w:pPr>
              <w:spacing w:after="0"/>
              <w:rPr>
                <w:sz w:val="14"/>
                <w:szCs w:val="14"/>
                <w:color w:val="auto"/>
              </w:rPr>
            </w:pPr>
          </w:p>
        </w:tc>
        <w:tc>
          <w:tcPr>
            <w:tcW w:w="4000" w:type="dxa"/>
            <w:vAlign w:val="bottom"/>
            <w:tcBorders>
              <w:top w:val="single" w:sz="8" w:color="auto"/>
            </w:tcBorders>
          </w:tcPr>
          <w:p>
            <w:pPr>
              <w:spacing w:after="0" w:line="164" w:lineRule="exact"/>
              <w:rPr>
                <w:sz w:val="20"/>
                <w:szCs w:val="20"/>
                <w:color w:val="auto"/>
              </w:rPr>
            </w:pPr>
            <w:r>
              <w:rPr>
                <w:rFonts w:ascii="Arial" w:cs="Arial" w:eastAsia="Arial" w:hAnsi="Arial"/>
                <w:sz w:val="16"/>
                <w:szCs w:val="16"/>
                <w:color w:val="auto"/>
              </w:rPr>
              <w:t>Sempra Energy Consolidated(1)</w:t>
            </w:r>
          </w:p>
        </w:tc>
        <w:tc>
          <w:tcPr>
            <w:tcW w:w="500" w:type="dxa"/>
            <w:vAlign w:val="bottom"/>
            <w:tcBorders>
              <w:top w:val="single" w:sz="8" w:color="auto"/>
            </w:tcBorders>
          </w:tcPr>
          <w:p>
            <w:pPr>
              <w:jc w:val="right"/>
              <w:spacing w:after="0" w:line="164" w:lineRule="exact"/>
              <w:rPr>
                <w:sz w:val="20"/>
                <w:szCs w:val="20"/>
                <w:color w:val="auto"/>
              </w:rPr>
            </w:pPr>
            <w:r>
              <w:rPr>
                <w:rFonts w:ascii="Arial" w:cs="Arial" w:eastAsia="Arial" w:hAnsi="Arial"/>
                <w:sz w:val="16"/>
                <w:szCs w:val="16"/>
                <w:color w:val="auto"/>
              </w:rPr>
              <w:t>$</w:t>
            </w:r>
          </w:p>
        </w:tc>
        <w:tc>
          <w:tcPr>
            <w:tcW w:w="1900" w:type="dxa"/>
            <w:vAlign w:val="bottom"/>
            <w:tcBorders>
              <w:top w:val="single" w:sz="8" w:color="auto"/>
            </w:tcBorders>
          </w:tcPr>
          <w:p>
            <w:pPr>
              <w:jc w:val="right"/>
              <w:ind w:right="403"/>
              <w:spacing w:after="0" w:line="164" w:lineRule="exact"/>
              <w:rPr>
                <w:sz w:val="20"/>
                <w:szCs w:val="20"/>
                <w:color w:val="auto"/>
              </w:rPr>
            </w:pPr>
            <w:r>
              <w:rPr>
                <w:rFonts w:ascii="Arial" w:cs="Arial" w:eastAsia="Arial" w:hAnsi="Arial"/>
                <w:sz w:val="16"/>
                <w:szCs w:val="16"/>
                <w:color w:val="auto"/>
              </w:rPr>
              <w:t>15-305</w:t>
            </w:r>
          </w:p>
        </w:tc>
        <w:tc>
          <w:tcPr>
            <w:tcW w:w="1480" w:type="dxa"/>
            <w:vAlign w:val="bottom"/>
            <w:tcBorders>
              <w:top w:val="single" w:sz="8" w:color="auto"/>
            </w:tcBorders>
          </w:tcPr>
          <w:p>
            <w:pPr>
              <w:jc w:val="right"/>
              <w:ind w:right="121"/>
              <w:spacing w:after="0" w:line="164" w:lineRule="exact"/>
              <w:rPr>
                <w:sz w:val="20"/>
                <w:szCs w:val="20"/>
                <w:color w:val="auto"/>
              </w:rPr>
            </w:pPr>
            <w:r>
              <w:rPr>
                <w:rFonts w:ascii="Arial" w:cs="Arial" w:eastAsia="Arial" w:hAnsi="Arial"/>
                <w:sz w:val="16"/>
                <w:szCs w:val="16"/>
                <w:color w:val="auto"/>
              </w:rPr>
              <w:t>2013-2019</w:t>
            </w:r>
          </w:p>
        </w:tc>
        <w:tc>
          <w:tcPr>
            <w:tcW w:w="300" w:type="dxa"/>
            <w:vAlign w:val="bottom"/>
            <w:tcBorders>
              <w:top w:val="single" w:sz="8" w:color="auto"/>
            </w:tcBorders>
          </w:tcPr>
          <w:p>
            <w:pPr>
              <w:jc w:val="right"/>
              <w:spacing w:after="0" w:line="164" w:lineRule="exact"/>
              <w:rPr>
                <w:sz w:val="20"/>
                <w:szCs w:val="20"/>
                <w:color w:val="auto"/>
              </w:rPr>
            </w:pPr>
            <w:r>
              <w:rPr>
                <w:rFonts w:ascii="Arial" w:cs="Arial" w:eastAsia="Arial" w:hAnsi="Arial"/>
                <w:sz w:val="16"/>
                <w:szCs w:val="16"/>
                <w:color w:val="auto"/>
              </w:rPr>
              <w:t>$</w:t>
            </w:r>
          </w:p>
        </w:tc>
        <w:tc>
          <w:tcPr>
            <w:tcW w:w="2000" w:type="dxa"/>
            <w:vAlign w:val="bottom"/>
            <w:tcBorders>
              <w:top w:val="single" w:sz="8" w:color="auto"/>
            </w:tcBorders>
          </w:tcPr>
          <w:p>
            <w:pPr>
              <w:jc w:val="right"/>
              <w:ind w:right="483"/>
              <w:spacing w:after="0" w:line="164" w:lineRule="exact"/>
              <w:rPr>
                <w:sz w:val="20"/>
                <w:szCs w:val="20"/>
                <w:color w:val="auto"/>
              </w:rPr>
            </w:pPr>
            <w:r>
              <w:rPr>
                <w:rFonts w:ascii="Arial" w:cs="Arial" w:eastAsia="Arial" w:hAnsi="Arial"/>
                <w:sz w:val="16"/>
                <w:szCs w:val="16"/>
                <w:color w:val="auto"/>
              </w:rPr>
              <w:t>215-355</w:t>
            </w:r>
          </w:p>
        </w:tc>
        <w:tc>
          <w:tcPr>
            <w:tcW w:w="1220" w:type="dxa"/>
            <w:vAlign w:val="bottom"/>
            <w:tcBorders>
              <w:top w:val="single" w:sz="8" w:color="auto"/>
            </w:tcBorders>
          </w:tcPr>
          <w:p>
            <w:pPr>
              <w:jc w:val="right"/>
              <w:spacing w:after="0" w:line="164" w:lineRule="exact"/>
              <w:rPr>
                <w:sz w:val="20"/>
                <w:szCs w:val="20"/>
                <w:color w:val="auto"/>
              </w:rPr>
            </w:pPr>
            <w:r>
              <w:rPr>
                <w:rFonts w:ascii="Arial" w:cs="Arial" w:eastAsia="Arial" w:hAnsi="Arial"/>
                <w:sz w:val="16"/>
                <w:szCs w:val="16"/>
                <w:color w:val="auto"/>
              </w:rPr>
              <w:t>2011-2019</w:t>
            </w:r>
          </w:p>
        </w:tc>
        <w:tc>
          <w:tcPr>
            <w:tcW w:w="20" w:type="dxa"/>
            <w:vAlign w:val="bottom"/>
          </w:tcPr>
          <w:p>
            <w:pPr>
              <w:spacing w:after="0"/>
              <w:rPr>
                <w:sz w:val="14"/>
                <w:szCs w:val="14"/>
                <w:color w:val="auto"/>
              </w:rPr>
            </w:pPr>
          </w:p>
        </w:tc>
      </w:tr>
      <w:tr>
        <w:trPr>
          <w:trHeight w:val="176"/>
        </w:trPr>
        <w:tc>
          <w:tcPr>
            <w:tcW w:w="4020" w:type="dxa"/>
            <w:vAlign w:val="bottom"/>
            <w:gridSpan w:val="2"/>
          </w:tcPr>
          <w:p>
            <w:pPr>
              <w:spacing w:after="0" w:line="176" w:lineRule="exact"/>
              <w:rPr>
                <w:sz w:val="20"/>
                <w:szCs w:val="20"/>
                <w:color w:val="auto"/>
              </w:rPr>
            </w:pPr>
            <w:r>
              <w:rPr>
                <w:rFonts w:ascii="Arial" w:cs="Arial" w:eastAsia="Arial" w:hAnsi="Arial"/>
                <w:sz w:val="16"/>
                <w:szCs w:val="16"/>
                <w:color w:val="auto"/>
              </w:rPr>
              <w:t>SDG&amp;E(1)</w:t>
            </w:r>
          </w:p>
        </w:tc>
        <w:tc>
          <w:tcPr>
            <w:tcW w:w="500" w:type="dxa"/>
            <w:vAlign w:val="bottom"/>
          </w:tcPr>
          <w:p>
            <w:pPr>
              <w:spacing w:after="0"/>
              <w:rPr>
                <w:sz w:val="15"/>
                <w:szCs w:val="15"/>
                <w:color w:val="auto"/>
              </w:rPr>
            </w:pPr>
          </w:p>
        </w:tc>
        <w:tc>
          <w:tcPr>
            <w:tcW w:w="1900" w:type="dxa"/>
            <w:vAlign w:val="bottom"/>
          </w:tcPr>
          <w:p>
            <w:pPr>
              <w:jc w:val="right"/>
              <w:ind w:right="403"/>
              <w:spacing w:after="0" w:line="176" w:lineRule="exact"/>
              <w:rPr>
                <w:sz w:val="20"/>
                <w:szCs w:val="20"/>
                <w:color w:val="auto"/>
              </w:rPr>
            </w:pPr>
            <w:r>
              <w:rPr>
                <w:rFonts w:ascii="Arial" w:cs="Arial" w:eastAsia="Arial" w:hAnsi="Arial"/>
                <w:sz w:val="16"/>
                <w:szCs w:val="16"/>
                <w:color w:val="auto"/>
              </w:rPr>
              <w:t>285-360</w:t>
            </w:r>
          </w:p>
        </w:tc>
        <w:tc>
          <w:tcPr>
            <w:tcW w:w="1480" w:type="dxa"/>
            <w:vAlign w:val="bottom"/>
          </w:tcPr>
          <w:p>
            <w:pPr>
              <w:jc w:val="right"/>
              <w:ind w:right="121"/>
              <w:spacing w:after="0" w:line="176" w:lineRule="exact"/>
              <w:rPr>
                <w:sz w:val="20"/>
                <w:szCs w:val="20"/>
                <w:color w:val="auto"/>
              </w:rPr>
            </w:pPr>
            <w:r>
              <w:rPr>
                <w:rFonts w:ascii="Arial" w:cs="Arial" w:eastAsia="Arial" w:hAnsi="Arial"/>
                <w:sz w:val="16"/>
                <w:szCs w:val="16"/>
                <w:color w:val="auto"/>
              </w:rPr>
              <w:t>2019</w:t>
            </w:r>
          </w:p>
        </w:tc>
        <w:tc>
          <w:tcPr>
            <w:tcW w:w="300" w:type="dxa"/>
            <w:vAlign w:val="bottom"/>
          </w:tcPr>
          <w:p>
            <w:pPr>
              <w:spacing w:after="0"/>
              <w:rPr>
                <w:sz w:val="15"/>
                <w:szCs w:val="15"/>
                <w:color w:val="auto"/>
              </w:rPr>
            </w:pPr>
          </w:p>
        </w:tc>
        <w:tc>
          <w:tcPr>
            <w:tcW w:w="2000" w:type="dxa"/>
            <w:vAlign w:val="bottom"/>
          </w:tcPr>
          <w:p>
            <w:pPr>
              <w:jc w:val="right"/>
              <w:ind w:right="483"/>
              <w:spacing w:after="0" w:line="176" w:lineRule="exact"/>
              <w:rPr>
                <w:sz w:val="20"/>
                <w:szCs w:val="20"/>
                <w:color w:val="auto"/>
              </w:rPr>
            </w:pPr>
            <w:r>
              <w:rPr>
                <w:rFonts w:ascii="Arial" w:cs="Arial" w:eastAsia="Arial" w:hAnsi="Arial"/>
                <w:sz w:val="16"/>
                <w:szCs w:val="16"/>
                <w:color w:val="auto"/>
              </w:rPr>
              <w:t>285-365</w:t>
            </w:r>
          </w:p>
        </w:tc>
        <w:tc>
          <w:tcPr>
            <w:tcW w:w="1240" w:type="dxa"/>
            <w:vAlign w:val="bottom"/>
            <w:gridSpan w:val="2"/>
          </w:tcPr>
          <w:p>
            <w:pPr>
              <w:jc w:val="right"/>
              <w:ind w:right="20"/>
              <w:spacing w:after="0" w:line="176" w:lineRule="exact"/>
              <w:rPr>
                <w:sz w:val="20"/>
                <w:szCs w:val="20"/>
                <w:color w:val="auto"/>
              </w:rPr>
            </w:pPr>
            <w:r>
              <w:rPr>
                <w:rFonts w:ascii="Arial" w:cs="Arial" w:eastAsia="Arial" w:hAnsi="Arial"/>
                <w:sz w:val="16"/>
                <w:szCs w:val="16"/>
                <w:color w:val="auto"/>
              </w:rPr>
              <w:t>2019</w:t>
            </w:r>
          </w:p>
        </w:tc>
      </w:tr>
      <w:tr>
        <w:trPr>
          <w:trHeight w:val="195"/>
        </w:trPr>
        <w:tc>
          <w:tcPr>
            <w:tcW w:w="4020" w:type="dxa"/>
            <w:vAlign w:val="bottom"/>
            <w:gridSpan w:val="2"/>
          </w:tcPr>
          <w:p>
            <w:pPr>
              <w:spacing w:after="0"/>
              <w:rPr>
                <w:sz w:val="20"/>
                <w:szCs w:val="20"/>
                <w:color w:val="auto"/>
              </w:rPr>
            </w:pPr>
            <w:r>
              <w:rPr>
                <w:rFonts w:ascii="Arial" w:cs="Arial" w:eastAsia="Arial" w:hAnsi="Arial"/>
                <w:sz w:val="16"/>
                <w:szCs w:val="16"/>
                <w:color w:val="auto"/>
              </w:rPr>
              <w:t>SoCalGas</w:t>
            </w:r>
          </w:p>
        </w:tc>
        <w:tc>
          <w:tcPr>
            <w:tcW w:w="500" w:type="dxa"/>
            <w:vAlign w:val="bottom"/>
          </w:tcPr>
          <w:p>
            <w:pPr>
              <w:spacing w:after="0"/>
              <w:rPr>
                <w:sz w:val="16"/>
                <w:szCs w:val="16"/>
                <w:color w:val="auto"/>
              </w:rPr>
            </w:pPr>
          </w:p>
        </w:tc>
        <w:tc>
          <w:tcPr>
            <w:tcW w:w="1900" w:type="dxa"/>
            <w:vAlign w:val="bottom"/>
          </w:tcPr>
          <w:p>
            <w:pPr>
              <w:jc w:val="right"/>
              <w:ind w:right="443"/>
              <w:spacing w:after="0"/>
              <w:rPr>
                <w:sz w:val="20"/>
                <w:szCs w:val="20"/>
                <w:color w:val="auto"/>
              </w:rPr>
            </w:pPr>
            <w:r>
              <w:rPr>
                <w:rFonts w:ascii="Arial" w:cs="Arial" w:eastAsia="Arial" w:hAnsi="Arial"/>
                <w:sz w:val="16"/>
                <w:szCs w:val="16"/>
                <w:color w:val="auto"/>
              </w:rPr>
              <w:t>―</w:t>
            </w:r>
          </w:p>
        </w:tc>
        <w:tc>
          <w:tcPr>
            <w:tcW w:w="1480" w:type="dxa"/>
            <w:vAlign w:val="bottom"/>
          </w:tcPr>
          <w:p>
            <w:pPr>
              <w:jc w:val="right"/>
              <w:ind w:right="161"/>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6"/>
                <w:szCs w:val="16"/>
                <w:color w:val="auto"/>
              </w:rPr>
            </w:pPr>
          </w:p>
        </w:tc>
        <w:tc>
          <w:tcPr>
            <w:tcW w:w="2000" w:type="dxa"/>
            <w:vAlign w:val="bottom"/>
          </w:tcPr>
          <w:p>
            <w:pPr>
              <w:jc w:val="right"/>
              <w:ind w:right="483"/>
              <w:spacing w:after="0"/>
              <w:rPr>
                <w:sz w:val="20"/>
                <w:szCs w:val="20"/>
                <w:color w:val="auto"/>
              </w:rPr>
            </w:pPr>
            <w:r>
              <w:rPr>
                <w:rFonts w:ascii="Arial" w:cs="Arial" w:eastAsia="Arial" w:hAnsi="Arial"/>
                <w:sz w:val="16"/>
                <w:szCs w:val="16"/>
                <w:color w:val="auto"/>
              </w:rPr>
              <w:t>150</w:t>
            </w:r>
          </w:p>
        </w:tc>
        <w:tc>
          <w:tcPr>
            <w:tcW w:w="1240" w:type="dxa"/>
            <w:vAlign w:val="bottom"/>
            <w:gridSpan w:val="2"/>
          </w:tcPr>
          <w:p>
            <w:pPr>
              <w:jc w:val="right"/>
              <w:ind w:right="20"/>
              <w:spacing w:after="0"/>
              <w:rPr>
                <w:sz w:val="20"/>
                <w:szCs w:val="20"/>
                <w:color w:val="auto"/>
              </w:rPr>
            </w:pPr>
            <w:r>
              <w:rPr>
                <w:rFonts w:ascii="Arial" w:cs="Arial" w:eastAsia="Arial" w:hAnsi="Arial"/>
                <w:sz w:val="16"/>
                <w:szCs w:val="16"/>
                <w:color w:val="auto"/>
              </w:rPr>
              <w:t>2011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wp:posOffset>
            </wp:positionV>
            <wp:extent cx="72466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ind w:left="640" w:hanging="632"/>
        <w:spacing w:after="0"/>
        <w:tabs>
          <w:tab w:leader="none" w:pos="640" w:val="left"/>
        </w:tabs>
        <w:numPr>
          <w:ilvl w:val="0"/>
          <w:numId w:val="24"/>
        </w:numPr>
        <w:rPr>
          <w:rFonts w:ascii="Arial" w:cs="Arial" w:eastAsia="Arial" w:hAnsi="Arial"/>
          <w:sz w:val="14"/>
          <w:szCs w:val="14"/>
          <w:i w:val="1"/>
          <w:iCs w:val="1"/>
          <w:color w:val="auto"/>
        </w:rPr>
      </w:pPr>
      <w:r>
        <w:rPr>
          <w:rFonts w:ascii="Arial" w:cs="Arial" w:eastAsia="Arial" w:hAnsi="Arial"/>
          <w:sz w:val="14"/>
          <w:szCs w:val="14"/>
          <w:i w:val="1"/>
          <w:iCs w:val="1"/>
          <w:color w:val="auto"/>
        </w:rPr>
        <w:t>Includes Otay Mesa VIE. All of SDG&amp;E's interest rate derivatives relate to Otay Mesa VIE.</w:t>
      </w:r>
    </w:p>
    <w:p>
      <w:pPr>
        <w:sectPr>
          <w:pgSz w:w="11900" w:h="16838" w:orient="portrait"/>
          <w:cols w:equalWidth="0" w:num="1">
            <w:col w:w="11420"/>
          </w:cols>
          <w:pgMar w:left="240" w:top="125" w:right="239" w:bottom="87" w:gutter="0" w:footer="0" w:header="0"/>
        </w:sectPr>
      </w:pPr>
    </w:p>
    <w:bookmarkStart w:id="36" w:name="page37"/>
    <w:bookmarkEnd w:id="36"/>
    <w:p>
      <w:pPr>
        <w:spacing w:after="0"/>
        <w:rPr>
          <w:sz w:val="20"/>
          <w:szCs w:val="20"/>
          <w:color w:val="auto"/>
        </w:rPr>
      </w:pPr>
      <w:r>
        <w:rPr>
          <w:rFonts w:ascii="Arial" w:cs="Arial" w:eastAsia="Arial" w:hAnsi="Arial"/>
          <w:sz w:val="18"/>
          <w:szCs w:val="18"/>
          <w:b w:val="1"/>
          <w:bCs w:val="1"/>
          <w:color w:val="auto"/>
        </w:rPr>
        <w:t>FINANCIAL STATEMENT PRESENTATION</w:t>
      </w:r>
    </w:p>
    <w:p>
      <w:pPr>
        <w:spacing w:after="0" w:line="234" w:lineRule="exact"/>
        <w:rPr>
          <w:sz w:val="20"/>
          <w:szCs w:val="20"/>
          <w:color w:val="auto"/>
        </w:rPr>
      </w:pPr>
    </w:p>
    <w:p>
      <w:pPr>
        <w:ind w:right="940"/>
        <w:spacing w:after="0" w:line="277" w:lineRule="auto"/>
        <w:rPr>
          <w:sz w:val="20"/>
          <w:szCs w:val="20"/>
          <w:color w:val="auto"/>
        </w:rPr>
      </w:pPr>
      <w:r>
        <w:rPr>
          <w:rFonts w:ascii="Arial" w:cs="Arial" w:eastAsia="Arial" w:hAnsi="Arial"/>
          <w:sz w:val="18"/>
          <w:szCs w:val="18"/>
          <w:color w:val="auto"/>
        </w:rPr>
        <w:t>The following tables provide the fair values of derivative instruments, without consideration of margin deposits held or posted, on the Condensed Consolidated Balance Sheets as of June 30, 2011 and December 31, 2010:</w:t>
      </w:r>
    </w:p>
    <w:p>
      <w:pPr>
        <w:spacing w:after="0" w:line="200" w:lineRule="exact"/>
        <w:rPr>
          <w:sz w:val="20"/>
          <w:szCs w:val="20"/>
          <w:color w:val="auto"/>
        </w:rPr>
      </w:pPr>
    </w:p>
    <w:p>
      <w:pPr>
        <w:spacing w:after="0" w:line="210" w:lineRule="exact"/>
        <w:rPr>
          <w:sz w:val="20"/>
          <w:szCs w:val="20"/>
          <w:color w:val="auto"/>
        </w:rPr>
      </w:pPr>
    </w:p>
    <w:p>
      <w:pPr>
        <w:ind w:right="4640"/>
        <w:spacing w:after="0" w:line="243" w:lineRule="auto"/>
        <w:rPr>
          <w:sz w:val="20"/>
          <w:szCs w:val="20"/>
          <w:color w:val="auto"/>
        </w:rPr>
      </w:pPr>
      <w:r>
        <w:rPr>
          <w:rFonts w:ascii="Arial" w:cs="Arial" w:eastAsia="Arial" w:hAnsi="Arial"/>
          <w:sz w:val="16"/>
          <w:szCs w:val="16"/>
          <w:b w:val="1"/>
          <w:bCs w:val="1"/>
          <w:color w:val="auto"/>
        </w:rPr>
        <w:t xml:space="preserve">DERIVATIVE INSTRUMENTS ON THE CONDENSED CONSOLIDATED BALANCE SHEETS </w:t>
      </w:r>
      <w:r>
        <w:rPr>
          <w:rFonts w:ascii="Arial" w:cs="Arial" w:eastAsia="Arial" w:hAnsi="Arial"/>
          <w:sz w:val="14"/>
          <w:szCs w:val="14"/>
          <w:i w:val="1"/>
          <w:iCs w:val="1"/>
          <w:color w:val="auto"/>
        </w:rPr>
        <w:t>(Dollars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-224155</wp:posOffset>
            </wp:positionV>
            <wp:extent cx="7246620" cy="22288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46620" cy="22288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66"/>
        </w:trPr>
        <w:tc>
          <w:tcPr>
            <w:tcW w:w="20" w:type="dxa"/>
            <w:vAlign w:val="bottom"/>
          </w:tcPr>
          <w:p>
            <w:pPr>
              <w:spacing w:after="0"/>
              <w:rPr>
                <w:sz w:val="14"/>
                <w:szCs w:val="14"/>
                <w:color w:val="auto"/>
              </w:rPr>
            </w:pPr>
          </w:p>
        </w:tc>
        <w:tc>
          <w:tcPr>
            <w:tcW w:w="518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800" w:type="dxa"/>
            <w:vAlign w:val="bottom"/>
            <w:tcBorders>
              <w:bottom w:val="single" w:sz="8" w:color="auto"/>
            </w:tcBorders>
            <w:gridSpan w:val="3"/>
          </w:tcPr>
          <w:p>
            <w:pPr>
              <w:jc w:val="right"/>
              <w:ind w:right="1082"/>
              <w:spacing w:after="0" w:line="159" w:lineRule="exact"/>
              <w:rPr>
                <w:sz w:val="20"/>
                <w:szCs w:val="20"/>
                <w:color w:val="auto"/>
              </w:rPr>
            </w:pPr>
            <w:r>
              <w:rPr>
                <w:rFonts w:ascii="Arial" w:cs="Arial" w:eastAsia="Arial" w:hAnsi="Arial"/>
                <w:sz w:val="14"/>
                <w:szCs w:val="14"/>
                <w:color w:val="auto"/>
              </w:rPr>
              <w:t>June 30, 2011</w:t>
            </w:r>
          </w:p>
        </w:tc>
        <w:tc>
          <w:tcPr>
            <w:tcW w:w="32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r>
      <w:tr>
        <w:trPr>
          <w:trHeight w:val="167"/>
        </w:trPr>
        <w:tc>
          <w:tcPr>
            <w:tcW w:w="20" w:type="dxa"/>
            <w:vAlign w:val="bottom"/>
          </w:tcPr>
          <w:p>
            <w:pPr>
              <w:spacing w:after="0"/>
              <w:rPr>
                <w:sz w:val="14"/>
                <w:szCs w:val="14"/>
                <w:color w:val="auto"/>
              </w:rPr>
            </w:pPr>
          </w:p>
        </w:tc>
        <w:tc>
          <w:tcPr>
            <w:tcW w:w="51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0" w:type="dxa"/>
            <w:vAlign w:val="bottom"/>
            <w:gridSpan w:val="2"/>
          </w:tcPr>
          <w:p>
            <w:pPr>
              <w:jc w:val="center"/>
              <w:ind w:right="160"/>
              <w:spacing w:after="0"/>
              <w:rPr>
                <w:sz w:val="20"/>
                <w:szCs w:val="20"/>
                <w:color w:val="auto"/>
              </w:rPr>
            </w:pPr>
            <w:r>
              <w:rPr>
                <w:rFonts w:ascii="Arial" w:cs="Arial" w:eastAsia="Arial" w:hAnsi="Arial"/>
                <w:sz w:val="14"/>
                <w:szCs w:val="14"/>
                <w:color w:val="auto"/>
              </w:rPr>
              <w:t>Deferred</w:t>
            </w:r>
          </w:p>
        </w:tc>
      </w:tr>
      <w:tr>
        <w:trPr>
          <w:trHeight w:val="162"/>
        </w:trPr>
        <w:tc>
          <w:tcPr>
            <w:tcW w:w="20" w:type="dxa"/>
            <w:vAlign w:val="bottom"/>
          </w:tcPr>
          <w:p>
            <w:pPr>
              <w:spacing w:after="0"/>
              <w:rPr>
                <w:sz w:val="14"/>
                <w:szCs w:val="14"/>
                <w:color w:val="auto"/>
              </w:rPr>
            </w:pPr>
          </w:p>
        </w:tc>
        <w:tc>
          <w:tcPr>
            <w:tcW w:w="51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0" w:type="dxa"/>
            <w:vAlign w:val="bottom"/>
            <w:gridSpan w:val="2"/>
          </w:tcPr>
          <w:p>
            <w:pPr>
              <w:jc w:val="center"/>
              <w:ind w:right="180"/>
              <w:spacing w:after="0"/>
              <w:rPr>
                <w:sz w:val="20"/>
                <w:szCs w:val="20"/>
                <w:color w:val="auto"/>
              </w:rPr>
            </w:pPr>
            <w:r>
              <w:rPr>
                <w:rFonts w:ascii="Arial" w:cs="Arial" w:eastAsia="Arial" w:hAnsi="Arial"/>
                <w:sz w:val="14"/>
                <w:szCs w:val="14"/>
                <w:color w:val="auto"/>
              </w:rPr>
              <w:t>credits</w:t>
            </w:r>
          </w:p>
        </w:tc>
      </w:tr>
      <w:tr>
        <w:trPr>
          <w:trHeight w:val="162"/>
        </w:trPr>
        <w:tc>
          <w:tcPr>
            <w:tcW w:w="20" w:type="dxa"/>
            <w:vAlign w:val="bottom"/>
          </w:tcPr>
          <w:p>
            <w:pPr>
              <w:spacing w:after="0"/>
              <w:rPr>
                <w:sz w:val="14"/>
                <w:szCs w:val="14"/>
                <w:color w:val="auto"/>
              </w:rPr>
            </w:pPr>
          </w:p>
        </w:tc>
        <w:tc>
          <w:tcPr>
            <w:tcW w:w="51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60" w:type="dxa"/>
            <w:vAlign w:val="bottom"/>
          </w:tcPr>
          <w:p>
            <w:pPr>
              <w:jc w:val="center"/>
              <w:ind w:right="102"/>
              <w:spacing w:after="0"/>
              <w:rPr>
                <w:sz w:val="20"/>
                <w:szCs w:val="20"/>
                <w:color w:val="auto"/>
              </w:rPr>
            </w:pPr>
            <w:r>
              <w:rPr>
                <w:rFonts w:ascii="Arial" w:cs="Arial" w:eastAsia="Arial" w:hAnsi="Arial"/>
                <w:sz w:val="14"/>
                <w:szCs w:val="14"/>
                <w:color w:val="auto"/>
              </w:rPr>
              <w:t>Current</w:t>
            </w:r>
          </w:p>
        </w:tc>
        <w:tc>
          <w:tcPr>
            <w:tcW w:w="3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80" w:type="dxa"/>
            <w:vAlign w:val="bottom"/>
          </w:tcPr>
          <w:p>
            <w:pPr>
              <w:jc w:val="center"/>
              <w:ind w:right="122"/>
              <w:spacing w:after="0"/>
              <w:rPr>
                <w:sz w:val="20"/>
                <w:szCs w:val="20"/>
                <w:color w:val="auto"/>
              </w:rPr>
            </w:pPr>
            <w:r>
              <w:rPr>
                <w:rFonts w:ascii="Arial" w:cs="Arial" w:eastAsia="Arial" w:hAnsi="Arial"/>
                <w:sz w:val="14"/>
                <w:szCs w:val="14"/>
                <w:color w:val="auto"/>
              </w:rPr>
              <w:t>Current</w:t>
            </w:r>
          </w:p>
        </w:tc>
        <w:tc>
          <w:tcPr>
            <w:tcW w:w="320" w:type="dxa"/>
            <w:vAlign w:val="bottom"/>
          </w:tcPr>
          <w:p>
            <w:pPr>
              <w:spacing w:after="0"/>
              <w:rPr>
                <w:sz w:val="14"/>
                <w:szCs w:val="14"/>
                <w:color w:val="auto"/>
              </w:rPr>
            </w:pPr>
          </w:p>
        </w:tc>
        <w:tc>
          <w:tcPr>
            <w:tcW w:w="1200" w:type="dxa"/>
            <w:vAlign w:val="bottom"/>
            <w:gridSpan w:val="2"/>
          </w:tcPr>
          <w:p>
            <w:pPr>
              <w:jc w:val="center"/>
              <w:ind w:right="180"/>
              <w:spacing w:after="0"/>
              <w:rPr>
                <w:sz w:val="20"/>
                <w:szCs w:val="20"/>
                <w:color w:val="auto"/>
              </w:rPr>
            </w:pPr>
            <w:r>
              <w:rPr>
                <w:rFonts w:ascii="Arial" w:cs="Arial" w:eastAsia="Arial" w:hAnsi="Arial"/>
                <w:sz w:val="14"/>
                <w:szCs w:val="14"/>
                <w:color w:val="auto"/>
              </w:rPr>
              <w:t>and other</w:t>
            </w:r>
          </w:p>
        </w:tc>
      </w:tr>
      <w:tr>
        <w:trPr>
          <w:trHeight w:val="162"/>
        </w:trPr>
        <w:tc>
          <w:tcPr>
            <w:tcW w:w="20" w:type="dxa"/>
            <w:vAlign w:val="bottom"/>
          </w:tcPr>
          <w:p>
            <w:pPr>
              <w:spacing w:after="0"/>
              <w:rPr>
                <w:sz w:val="14"/>
                <w:szCs w:val="14"/>
                <w:color w:val="auto"/>
              </w:rPr>
            </w:pPr>
          </w:p>
        </w:tc>
        <w:tc>
          <w:tcPr>
            <w:tcW w:w="51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60" w:type="dxa"/>
            <w:vAlign w:val="bottom"/>
          </w:tcPr>
          <w:p>
            <w:pPr>
              <w:jc w:val="center"/>
              <w:ind w:right="102"/>
              <w:spacing w:after="0"/>
              <w:rPr>
                <w:sz w:val="20"/>
                <w:szCs w:val="20"/>
                <w:color w:val="auto"/>
              </w:rPr>
            </w:pPr>
            <w:r>
              <w:rPr>
                <w:rFonts w:ascii="Arial" w:cs="Arial" w:eastAsia="Arial" w:hAnsi="Arial"/>
                <w:sz w:val="14"/>
                <w:szCs w:val="14"/>
                <w:color w:val="auto"/>
                <w:w w:val="99"/>
              </w:rPr>
              <w:t>assets:</w:t>
            </w:r>
          </w:p>
        </w:tc>
        <w:tc>
          <w:tcPr>
            <w:tcW w:w="3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80" w:type="dxa"/>
            <w:vAlign w:val="bottom"/>
          </w:tcPr>
          <w:p>
            <w:pPr>
              <w:jc w:val="center"/>
              <w:ind w:right="102"/>
              <w:spacing w:after="0"/>
              <w:rPr>
                <w:sz w:val="20"/>
                <w:szCs w:val="20"/>
                <w:color w:val="auto"/>
              </w:rPr>
            </w:pPr>
            <w:r>
              <w:rPr>
                <w:rFonts w:ascii="Arial" w:cs="Arial" w:eastAsia="Arial" w:hAnsi="Arial"/>
                <w:sz w:val="14"/>
                <w:szCs w:val="14"/>
                <w:color w:val="auto"/>
              </w:rPr>
              <w:t>liabilities:</w:t>
            </w:r>
          </w:p>
        </w:tc>
        <w:tc>
          <w:tcPr>
            <w:tcW w:w="320" w:type="dxa"/>
            <w:vAlign w:val="bottom"/>
          </w:tcPr>
          <w:p>
            <w:pPr>
              <w:spacing w:after="0"/>
              <w:rPr>
                <w:sz w:val="14"/>
                <w:szCs w:val="14"/>
                <w:color w:val="auto"/>
              </w:rPr>
            </w:pPr>
          </w:p>
        </w:tc>
        <w:tc>
          <w:tcPr>
            <w:tcW w:w="1200" w:type="dxa"/>
            <w:vAlign w:val="bottom"/>
            <w:gridSpan w:val="2"/>
          </w:tcPr>
          <w:p>
            <w:pPr>
              <w:jc w:val="center"/>
              <w:ind w:right="180"/>
              <w:spacing w:after="0"/>
              <w:rPr>
                <w:sz w:val="20"/>
                <w:szCs w:val="20"/>
                <w:color w:val="auto"/>
              </w:rPr>
            </w:pPr>
            <w:r>
              <w:rPr>
                <w:rFonts w:ascii="Arial" w:cs="Arial" w:eastAsia="Arial" w:hAnsi="Arial"/>
                <w:sz w:val="14"/>
                <w:szCs w:val="14"/>
                <w:color w:val="auto"/>
              </w:rPr>
              <w:t>liabilities:</w:t>
            </w:r>
          </w:p>
        </w:tc>
      </w:tr>
      <w:tr>
        <w:trPr>
          <w:trHeight w:val="162"/>
        </w:trPr>
        <w:tc>
          <w:tcPr>
            <w:tcW w:w="20" w:type="dxa"/>
            <w:vAlign w:val="bottom"/>
          </w:tcPr>
          <w:p>
            <w:pPr>
              <w:spacing w:after="0"/>
              <w:rPr>
                <w:sz w:val="14"/>
                <w:szCs w:val="14"/>
                <w:color w:val="auto"/>
              </w:rPr>
            </w:pPr>
          </w:p>
        </w:tc>
        <w:tc>
          <w:tcPr>
            <w:tcW w:w="51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60" w:type="dxa"/>
            <w:vAlign w:val="bottom"/>
          </w:tcPr>
          <w:p>
            <w:pPr>
              <w:jc w:val="center"/>
              <w:ind w:right="102"/>
              <w:spacing w:after="0"/>
              <w:rPr>
                <w:sz w:val="20"/>
                <w:szCs w:val="20"/>
                <w:color w:val="auto"/>
              </w:rPr>
            </w:pPr>
            <w:r>
              <w:rPr>
                <w:rFonts w:ascii="Arial" w:cs="Arial" w:eastAsia="Arial" w:hAnsi="Arial"/>
                <w:sz w:val="14"/>
                <w:szCs w:val="14"/>
                <w:color w:val="auto"/>
              </w:rPr>
              <w:t>Fixed-price</w:t>
            </w:r>
          </w:p>
        </w:tc>
        <w:tc>
          <w:tcPr>
            <w:tcW w:w="300" w:type="dxa"/>
            <w:vAlign w:val="bottom"/>
          </w:tcPr>
          <w:p>
            <w:pPr>
              <w:spacing w:after="0"/>
              <w:rPr>
                <w:sz w:val="14"/>
                <w:szCs w:val="14"/>
                <w:color w:val="auto"/>
              </w:rPr>
            </w:pPr>
          </w:p>
        </w:tc>
        <w:tc>
          <w:tcPr>
            <w:tcW w:w="1240" w:type="dxa"/>
            <w:vAlign w:val="bottom"/>
          </w:tcPr>
          <w:p>
            <w:pPr>
              <w:jc w:val="center"/>
              <w:ind w:right="122"/>
              <w:spacing w:after="0"/>
              <w:rPr>
                <w:sz w:val="20"/>
                <w:szCs w:val="20"/>
                <w:color w:val="auto"/>
              </w:rPr>
            </w:pPr>
            <w:r>
              <w:rPr>
                <w:rFonts w:ascii="Arial" w:cs="Arial" w:eastAsia="Arial" w:hAnsi="Arial"/>
                <w:sz w:val="14"/>
                <w:szCs w:val="14"/>
                <w:color w:val="auto"/>
              </w:rPr>
              <w:t>Investments</w:t>
            </w:r>
          </w:p>
        </w:tc>
        <w:tc>
          <w:tcPr>
            <w:tcW w:w="280" w:type="dxa"/>
            <w:vAlign w:val="bottom"/>
          </w:tcPr>
          <w:p>
            <w:pPr>
              <w:spacing w:after="0"/>
              <w:rPr>
                <w:sz w:val="14"/>
                <w:szCs w:val="14"/>
                <w:color w:val="auto"/>
              </w:rPr>
            </w:pPr>
          </w:p>
        </w:tc>
        <w:tc>
          <w:tcPr>
            <w:tcW w:w="1280" w:type="dxa"/>
            <w:vAlign w:val="bottom"/>
          </w:tcPr>
          <w:p>
            <w:pPr>
              <w:jc w:val="center"/>
              <w:ind w:right="122"/>
              <w:spacing w:after="0"/>
              <w:rPr>
                <w:sz w:val="20"/>
                <w:szCs w:val="20"/>
                <w:color w:val="auto"/>
              </w:rPr>
            </w:pPr>
            <w:r>
              <w:rPr>
                <w:rFonts w:ascii="Arial" w:cs="Arial" w:eastAsia="Arial" w:hAnsi="Arial"/>
                <w:sz w:val="14"/>
                <w:szCs w:val="14"/>
                <w:color w:val="auto"/>
              </w:rPr>
              <w:t>Fixed-price</w:t>
            </w:r>
          </w:p>
        </w:tc>
        <w:tc>
          <w:tcPr>
            <w:tcW w:w="320" w:type="dxa"/>
            <w:vAlign w:val="bottom"/>
          </w:tcPr>
          <w:p>
            <w:pPr>
              <w:spacing w:after="0"/>
              <w:rPr>
                <w:sz w:val="14"/>
                <w:szCs w:val="14"/>
                <w:color w:val="auto"/>
              </w:rPr>
            </w:pPr>
          </w:p>
        </w:tc>
        <w:tc>
          <w:tcPr>
            <w:tcW w:w="1200" w:type="dxa"/>
            <w:vAlign w:val="bottom"/>
            <w:gridSpan w:val="2"/>
          </w:tcPr>
          <w:p>
            <w:pPr>
              <w:jc w:val="center"/>
              <w:ind w:right="180"/>
              <w:spacing w:after="0"/>
              <w:rPr>
                <w:sz w:val="20"/>
                <w:szCs w:val="20"/>
                <w:color w:val="auto"/>
              </w:rPr>
            </w:pPr>
            <w:r>
              <w:rPr>
                <w:rFonts w:ascii="Arial" w:cs="Arial" w:eastAsia="Arial" w:hAnsi="Arial"/>
                <w:sz w:val="14"/>
                <w:szCs w:val="14"/>
                <w:color w:val="auto"/>
              </w:rPr>
              <w:t>Fixed-price</w:t>
            </w:r>
          </w:p>
        </w:tc>
      </w:tr>
      <w:tr>
        <w:trPr>
          <w:trHeight w:val="162"/>
        </w:trPr>
        <w:tc>
          <w:tcPr>
            <w:tcW w:w="20" w:type="dxa"/>
            <w:vAlign w:val="bottom"/>
          </w:tcPr>
          <w:p>
            <w:pPr>
              <w:spacing w:after="0"/>
              <w:rPr>
                <w:sz w:val="14"/>
                <w:szCs w:val="14"/>
                <w:color w:val="auto"/>
              </w:rPr>
            </w:pPr>
          </w:p>
        </w:tc>
        <w:tc>
          <w:tcPr>
            <w:tcW w:w="51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60" w:type="dxa"/>
            <w:vAlign w:val="bottom"/>
          </w:tcPr>
          <w:p>
            <w:pPr>
              <w:jc w:val="center"/>
              <w:ind w:right="102"/>
              <w:spacing w:after="0"/>
              <w:rPr>
                <w:sz w:val="20"/>
                <w:szCs w:val="20"/>
                <w:color w:val="auto"/>
              </w:rPr>
            </w:pPr>
            <w:r>
              <w:rPr>
                <w:rFonts w:ascii="Arial" w:cs="Arial" w:eastAsia="Arial" w:hAnsi="Arial"/>
                <w:sz w:val="14"/>
                <w:szCs w:val="14"/>
                <w:color w:val="auto"/>
              </w:rPr>
              <w:t>contracts</w:t>
            </w:r>
          </w:p>
        </w:tc>
        <w:tc>
          <w:tcPr>
            <w:tcW w:w="300" w:type="dxa"/>
            <w:vAlign w:val="bottom"/>
          </w:tcPr>
          <w:p>
            <w:pPr>
              <w:spacing w:after="0"/>
              <w:rPr>
                <w:sz w:val="14"/>
                <w:szCs w:val="14"/>
                <w:color w:val="auto"/>
              </w:rPr>
            </w:pPr>
          </w:p>
        </w:tc>
        <w:tc>
          <w:tcPr>
            <w:tcW w:w="1240" w:type="dxa"/>
            <w:vAlign w:val="bottom"/>
          </w:tcPr>
          <w:p>
            <w:pPr>
              <w:jc w:val="center"/>
              <w:ind w:right="122"/>
              <w:spacing w:after="0"/>
              <w:rPr>
                <w:sz w:val="20"/>
                <w:szCs w:val="20"/>
                <w:color w:val="auto"/>
              </w:rPr>
            </w:pPr>
            <w:r>
              <w:rPr>
                <w:rFonts w:ascii="Arial" w:cs="Arial" w:eastAsia="Arial" w:hAnsi="Arial"/>
                <w:sz w:val="14"/>
                <w:szCs w:val="14"/>
                <w:color w:val="auto"/>
              </w:rPr>
              <w:t>and other</w:t>
            </w:r>
          </w:p>
        </w:tc>
        <w:tc>
          <w:tcPr>
            <w:tcW w:w="280" w:type="dxa"/>
            <w:vAlign w:val="bottom"/>
          </w:tcPr>
          <w:p>
            <w:pPr>
              <w:spacing w:after="0"/>
              <w:rPr>
                <w:sz w:val="14"/>
                <w:szCs w:val="14"/>
                <w:color w:val="auto"/>
              </w:rPr>
            </w:pPr>
          </w:p>
        </w:tc>
        <w:tc>
          <w:tcPr>
            <w:tcW w:w="1280" w:type="dxa"/>
            <w:vAlign w:val="bottom"/>
          </w:tcPr>
          <w:p>
            <w:pPr>
              <w:jc w:val="center"/>
              <w:ind w:right="102"/>
              <w:spacing w:after="0"/>
              <w:rPr>
                <w:sz w:val="20"/>
                <w:szCs w:val="20"/>
                <w:color w:val="auto"/>
              </w:rPr>
            </w:pPr>
            <w:r>
              <w:rPr>
                <w:rFonts w:ascii="Arial" w:cs="Arial" w:eastAsia="Arial" w:hAnsi="Arial"/>
                <w:sz w:val="14"/>
                <w:szCs w:val="14"/>
                <w:color w:val="auto"/>
              </w:rPr>
              <w:t>contracts</w:t>
            </w:r>
          </w:p>
        </w:tc>
        <w:tc>
          <w:tcPr>
            <w:tcW w:w="320" w:type="dxa"/>
            <w:vAlign w:val="bottom"/>
          </w:tcPr>
          <w:p>
            <w:pPr>
              <w:spacing w:after="0"/>
              <w:rPr>
                <w:sz w:val="14"/>
                <w:szCs w:val="14"/>
                <w:color w:val="auto"/>
              </w:rPr>
            </w:pPr>
          </w:p>
        </w:tc>
        <w:tc>
          <w:tcPr>
            <w:tcW w:w="1200" w:type="dxa"/>
            <w:vAlign w:val="bottom"/>
            <w:gridSpan w:val="2"/>
          </w:tcPr>
          <w:p>
            <w:pPr>
              <w:jc w:val="center"/>
              <w:ind w:right="180"/>
              <w:spacing w:after="0"/>
              <w:rPr>
                <w:sz w:val="20"/>
                <w:szCs w:val="20"/>
                <w:color w:val="auto"/>
              </w:rPr>
            </w:pPr>
            <w:r>
              <w:rPr>
                <w:rFonts w:ascii="Arial" w:cs="Arial" w:eastAsia="Arial" w:hAnsi="Arial"/>
                <w:sz w:val="14"/>
                <w:szCs w:val="14"/>
                <w:color w:val="auto"/>
              </w:rPr>
              <w:t>contracts</w:t>
            </w:r>
          </w:p>
        </w:tc>
      </w:tr>
      <w:tr>
        <w:trPr>
          <w:trHeight w:val="162"/>
        </w:trPr>
        <w:tc>
          <w:tcPr>
            <w:tcW w:w="20" w:type="dxa"/>
            <w:vAlign w:val="bottom"/>
          </w:tcPr>
          <w:p>
            <w:pPr>
              <w:spacing w:after="0"/>
              <w:rPr>
                <w:sz w:val="14"/>
                <w:szCs w:val="14"/>
                <w:color w:val="auto"/>
              </w:rPr>
            </w:pPr>
          </w:p>
        </w:tc>
        <w:tc>
          <w:tcPr>
            <w:tcW w:w="51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60" w:type="dxa"/>
            <w:vAlign w:val="bottom"/>
          </w:tcPr>
          <w:p>
            <w:pPr>
              <w:jc w:val="center"/>
              <w:ind w:right="102"/>
              <w:spacing w:after="0"/>
              <w:rPr>
                <w:sz w:val="20"/>
                <w:szCs w:val="20"/>
                <w:color w:val="auto"/>
              </w:rPr>
            </w:pPr>
            <w:r>
              <w:rPr>
                <w:rFonts w:ascii="Arial" w:cs="Arial" w:eastAsia="Arial" w:hAnsi="Arial"/>
                <w:sz w:val="14"/>
                <w:szCs w:val="14"/>
                <w:color w:val="auto"/>
              </w:rPr>
              <w:t>and other</w:t>
            </w:r>
          </w:p>
        </w:tc>
        <w:tc>
          <w:tcPr>
            <w:tcW w:w="300" w:type="dxa"/>
            <w:vAlign w:val="bottom"/>
          </w:tcPr>
          <w:p>
            <w:pPr>
              <w:spacing w:after="0"/>
              <w:rPr>
                <w:sz w:val="14"/>
                <w:szCs w:val="14"/>
                <w:color w:val="auto"/>
              </w:rPr>
            </w:pPr>
          </w:p>
        </w:tc>
        <w:tc>
          <w:tcPr>
            <w:tcW w:w="1240" w:type="dxa"/>
            <w:vAlign w:val="bottom"/>
          </w:tcPr>
          <w:p>
            <w:pPr>
              <w:jc w:val="center"/>
              <w:ind w:right="122"/>
              <w:spacing w:after="0"/>
              <w:rPr>
                <w:sz w:val="20"/>
                <w:szCs w:val="20"/>
                <w:color w:val="auto"/>
              </w:rPr>
            </w:pPr>
            <w:r>
              <w:rPr>
                <w:rFonts w:ascii="Arial" w:cs="Arial" w:eastAsia="Arial" w:hAnsi="Arial"/>
                <w:sz w:val="14"/>
                <w:szCs w:val="14"/>
                <w:color w:val="auto"/>
                <w:w w:val="99"/>
              </w:rPr>
              <w:t>assets:</w:t>
            </w:r>
          </w:p>
        </w:tc>
        <w:tc>
          <w:tcPr>
            <w:tcW w:w="280" w:type="dxa"/>
            <w:vAlign w:val="bottom"/>
          </w:tcPr>
          <w:p>
            <w:pPr>
              <w:spacing w:after="0"/>
              <w:rPr>
                <w:sz w:val="14"/>
                <w:szCs w:val="14"/>
                <w:color w:val="auto"/>
              </w:rPr>
            </w:pPr>
          </w:p>
        </w:tc>
        <w:tc>
          <w:tcPr>
            <w:tcW w:w="1280" w:type="dxa"/>
            <w:vAlign w:val="bottom"/>
          </w:tcPr>
          <w:p>
            <w:pPr>
              <w:jc w:val="center"/>
              <w:ind w:right="122"/>
              <w:spacing w:after="0"/>
              <w:rPr>
                <w:sz w:val="20"/>
                <w:szCs w:val="20"/>
                <w:color w:val="auto"/>
              </w:rPr>
            </w:pPr>
            <w:r>
              <w:rPr>
                <w:rFonts w:ascii="Arial" w:cs="Arial" w:eastAsia="Arial" w:hAnsi="Arial"/>
                <w:sz w:val="14"/>
                <w:szCs w:val="14"/>
                <w:color w:val="auto"/>
              </w:rPr>
              <w:t>and other</w:t>
            </w:r>
          </w:p>
        </w:tc>
        <w:tc>
          <w:tcPr>
            <w:tcW w:w="320" w:type="dxa"/>
            <w:vAlign w:val="bottom"/>
          </w:tcPr>
          <w:p>
            <w:pPr>
              <w:spacing w:after="0"/>
              <w:rPr>
                <w:sz w:val="14"/>
                <w:szCs w:val="14"/>
                <w:color w:val="auto"/>
              </w:rPr>
            </w:pPr>
          </w:p>
        </w:tc>
        <w:tc>
          <w:tcPr>
            <w:tcW w:w="1200" w:type="dxa"/>
            <w:vAlign w:val="bottom"/>
            <w:gridSpan w:val="2"/>
          </w:tcPr>
          <w:p>
            <w:pPr>
              <w:jc w:val="center"/>
              <w:ind w:right="180"/>
              <w:spacing w:after="0"/>
              <w:rPr>
                <w:sz w:val="20"/>
                <w:szCs w:val="20"/>
                <w:color w:val="auto"/>
              </w:rPr>
            </w:pPr>
            <w:r>
              <w:rPr>
                <w:rFonts w:ascii="Arial" w:cs="Arial" w:eastAsia="Arial" w:hAnsi="Arial"/>
                <w:sz w:val="14"/>
                <w:szCs w:val="14"/>
                <w:color w:val="auto"/>
              </w:rPr>
              <w:t>and other</w:t>
            </w:r>
          </w:p>
        </w:tc>
      </w:tr>
      <w:tr>
        <w:trPr>
          <w:trHeight w:val="164"/>
        </w:trPr>
        <w:tc>
          <w:tcPr>
            <w:tcW w:w="5200" w:type="dxa"/>
            <w:vAlign w:val="bottom"/>
            <w:gridSpan w:val="2"/>
          </w:tcPr>
          <w:p>
            <w:pPr>
              <w:spacing w:after="0" w:line="137" w:lineRule="exact"/>
              <w:rPr>
                <w:sz w:val="20"/>
                <w:szCs w:val="20"/>
                <w:color w:val="auto"/>
              </w:rPr>
            </w:pPr>
            <w:r>
              <w:rPr>
                <w:rFonts w:ascii="Arial" w:cs="Arial" w:eastAsia="Arial" w:hAnsi="Arial"/>
                <w:sz w:val="14"/>
                <w:szCs w:val="14"/>
                <w:color w:val="auto"/>
              </w:rPr>
              <w:t>Derivatives designated as hedging instruments</w:t>
            </w:r>
          </w:p>
        </w:tc>
        <w:tc>
          <w:tcPr>
            <w:tcW w:w="360" w:type="dxa"/>
            <w:vAlign w:val="bottom"/>
          </w:tcPr>
          <w:p>
            <w:pPr>
              <w:spacing w:after="0"/>
              <w:rPr>
                <w:sz w:val="14"/>
                <w:szCs w:val="14"/>
                <w:color w:val="auto"/>
              </w:rPr>
            </w:pPr>
          </w:p>
        </w:tc>
        <w:tc>
          <w:tcPr>
            <w:tcW w:w="1260" w:type="dxa"/>
            <w:vAlign w:val="bottom"/>
          </w:tcPr>
          <w:p>
            <w:pPr>
              <w:jc w:val="center"/>
              <w:ind w:right="102"/>
              <w:spacing w:after="0" w:line="137" w:lineRule="exact"/>
              <w:rPr>
                <w:sz w:val="20"/>
                <w:szCs w:val="20"/>
                <w:color w:val="auto"/>
              </w:rPr>
            </w:pPr>
            <w:r>
              <w:rPr>
                <w:rFonts w:ascii="Arial" w:cs="Arial" w:eastAsia="Arial" w:hAnsi="Arial"/>
                <w:sz w:val="14"/>
                <w:szCs w:val="14"/>
                <w:color w:val="auto"/>
              </w:rPr>
              <w:t>derivatives(1)</w:t>
            </w:r>
          </w:p>
        </w:tc>
        <w:tc>
          <w:tcPr>
            <w:tcW w:w="300" w:type="dxa"/>
            <w:vAlign w:val="bottom"/>
          </w:tcPr>
          <w:p>
            <w:pPr>
              <w:spacing w:after="0"/>
              <w:rPr>
                <w:sz w:val="14"/>
                <w:szCs w:val="14"/>
                <w:color w:val="auto"/>
              </w:rPr>
            </w:pPr>
          </w:p>
        </w:tc>
        <w:tc>
          <w:tcPr>
            <w:tcW w:w="1240" w:type="dxa"/>
            <w:vAlign w:val="bottom"/>
          </w:tcPr>
          <w:p>
            <w:pPr>
              <w:jc w:val="center"/>
              <w:ind w:right="122"/>
              <w:spacing w:after="0" w:line="137" w:lineRule="exact"/>
              <w:rPr>
                <w:sz w:val="20"/>
                <w:szCs w:val="20"/>
                <w:color w:val="auto"/>
              </w:rPr>
            </w:pPr>
            <w:r>
              <w:rPr>
                <w:rFonts w:ascii="Arial" w:cs="Arial" w:eastAsia="Arial" w:hAnsi="Arial"/>
                <w:sz w:val="14"/>
                <w:szCs w:val="14"/>
                <w:color w:val="auto"/>
                <w:w w:val="99"/>
              </w:rPr>
              <w:t>Sundry</w:t>
            </w:r>
          </w:p>
        </w:tc>
        <w:tc>
          <w:tcPr>
            <w:tcW w:w="280" w:type="dxa"/>
            <w:vAlign w:val="bottom"/>
          </w:tcPr>
          <w:p>
            <w:pPr>
              <w:spacing w:after="0"/>
              <w:rPr>
                <w:sz w:val="14"/>
                <w:szCs w:val="14"/>
                <w:color w:val="auto"/>
              </w:rPr>
            </w:pPr>
          </w:p>
        </w:tc>
        <w:tc>
          <w:tcPr>
            <w:tcW w:w="1280" w:type="dxa"/>
            <w:vAlign w:val="bottom"/>
          </w:tcPr>
          <w:p>
            <w:pPr>
              <w:jc w:val="center"/>
              <w:ind w:right="102"/>
              <w:spacing w:after="0" w:line="137" w:lineRule="exact"/>
              <w:rPr>
                <w:sz w:val="20"/>
                <w:szCs w:val="20"/>
                <w:color w:val="auto"/>
              </w:rPr>
            </w:pPr>
            <w:r>
              <w:rPr>
                <w:rFonts w:ascii="Arial" w:cs="Arial" w:eastAsia="Arial" w:hAnsi="Arial"/>
                <w:sz w:val="14"/>
                <w:szCs w:val="14"/>
                <w:color w:val="auto"/>
              </w:rPr>
              <w:t>derivatives(2)</w:t>
            </w:r>
          </w:p>
        </w:tc>
        <w:tc>
          <w:tcPr>
            <w:tcW w:w="320" w:type="dxa"/>
            <w:vAlign w:val="bottom"/>
          </w:tcPr>
          <w:p>
            <w:pPr>
              <w:spacing w:after="0"/>
              <w:rPr>
                <w:sz w:val="14"/>
                <w:szCs w:val="14"/>
                <w:color w:val="auto"/>
              </w:rPr>
            </w:pPr>
          </w:p>
        </w:tc>
        <w:tc>
          <w:tcPr>
            <w:tcW w:w="1200" w:type="dxa"/>
            <w:vAlign w:val="bottom"/>
            <w:gridSpan w:val="2"/>
          </w:tcPr>
          <w:p>
            <w:pPr>
              <w:jc w:val="center"/>
              <w:ind w:right="180"/>
              <w:spacing w:after="0" w:line="137" w:lineRule="exact"/>
              <w:rPr>
                <w:sz w:val="20"/>
                <w:szCs w:val="20"/>
                <w:color w:val="auto"/>
              </w:rPr>
            </w:pPr>
            <w:r>
              <w:rPr>
                <w:rFonts w:ascii="Arial" w:cs="Arial" w:eastAsia="Arial" w:hAnsi="Arial"/>
                <w:sz w:val="14"/>
                <w:szCs w:val="14"/>
                <w:color w:val="auto"/>
              </w:rPr>
              <w:t>derivatives</w:t>
            </w:r>
          </w:p>
        </w:tc>
      </w:tr>
      <w:tr>
        <w:trPr>
          <w:trHeight w:val="164"/>
        </w:trPr>
        <w:tc>
          <w:tcPr>
            <w:tcW w:w="5200" w:type="dxa"/>
            <w:vAlign w:val="bottom"/>
            <w:gridSpan w:val="2"/>
          </w:tcPr>
          <w:p>
            <w:pPr>
              <w:spacing w:after="0" w:line="164" w:lineRule="exact"/>
              <w:rPr>
                <w:sz w:val="20"/>
                <w:szCs w:val="20"/>
                <w:color w:val="auto"/>
              </w:rPr>
            </w:pPr>
            <w:r>
              <w:rPr>
                <w:rFonts w:ascii="Arial" w:cs="Arial" w:eastAsia="Arial" w:hAnsi="Arial"/>
                <w:sz w:val="16"/>
                <w:szCs w:val="16"/>
                <w:b w:val="1"/>
                <w:bCs w:val="1"/>
                <w:color w:val="auto"/>
              </w:rPr>
              <w:t>Sempra Energy Consolidated:</w:t>
            </w:r>
          </w:p>
        </w:tc>
        <w:tc>
          <w:tcPr>
            <w:tcW w:w="360" w:type="dxa"/>
            <w:vAlign w:val="bottom"/>
            <w:tcBorders>
              <w:top w:val="single" w:sz="8" w:color="auto"/>
            </w:tcBorders>
          </w:tcPr>
          <w:p>
            <w:pPr>
              <w:spacing w:after="0"/>
              <w:rPr>
                <w:sz w:val="14"/>
                <w:szCs w:val="14"/>
                <w:color w:val="auto"/>
              </w:rPr>
            </w:pPr>
          </w:p>
        </w:tc>
        <w:tc>
          <w:tcPr>
            <w:tcW w:w="1260" w:type="dxa"/>
            <w:vAlign w:val="bottom"/>
            <w:tcBorders>
              <w:top w:val="single" w:sz="8" w:color="auto"/>
            </w:tcBorders>
          </w:tcPr>
          <w:p>
            <w:pPr>
              <w:spacing w:after="0"/>
              <w:rPr>
                <w:sz w:val="14"/>
                <w:szCs w:val="14"/>
                <w:color w:val="auto"/>
              </w:rPr>
            </w:pPr>
          </w:p>
        </w:tc>
        <w:tc>
          <w:tcPr>
            <w:tcW w:w="300" w:type="dxa"/>
            <w:vAlign w:val="bottom"/>
            <w:tcBorders>
              <w:top w:val="single" w:sz="8" w:color="auto"/>
            </w:tcBorders>
          </w:tcPr>
          <w:p>
            <w:pPr>
              <w:spacing w:after="0"/>
              <w:rPr>
                <w:sz w:val="14"/>
                <w:szCs w:val="14"/>
                <w:color w:val="auto"/>
              </w:rPr>
            </w:pPr>
          </w:p>
        </w:tc>
        <w:tc>
          <w:tcPr>
            <w:tcW w:w="1240" w:type="dxa"/>
            <w:vAlign w:val="bottom"/>
            <w:tcBorders>
              <w:top w:val="single" w:sz="8" w:color="auto"/>
            </w:tcBorders>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1280" w:type="dxa"/>
            <w:vAlign w:val="bottom"/>
            <w:tcBorders>
              <w:top w:val="single" w:sz="8" w:color="auto"/>
            </w:tcBorders>
          </w:tcPr>
          <w:p>
            <w:pPr>
              <w:spacing w:after="0"/>
              <w:rPr>
                <w:sz w:val="14"/>
                <w:szCs w:val="14"/>
                <w:color w:val="auto"/>
              </w:rPr>
            </w:pPr>
          </w:p>
        </w:tc>
        <w:tc>
          <w:tcPr>
            <w:tcW w:w="320" w:type="dxa"/>
            <w:vAlign w:val="bottom"/>
            <w:tcBorders>
              <w:top w:val="single" w:sz="8" w:color="auto"/>
            </w:tcBorders>
          </w:tcPr>
          <w:p>
            <w:pPr>
              <w:spacing w:after="0"/>
              <w:rPr>
                <w:sz w:val="14"/>
                <w:szCs w:val="14"/>
                <w:color w:val="auto"/>
              </w:rPr>
            </w:pPr>
          </w:p>
        </w:tc>
        <w:tc>
          <w:tcPr>
            <w:tcW w:w="1180" w:type="dxa"/>
            <w:vAlign w:val="bottom"/>
            <w:tcBorders>
              <w:top w:val="single" w:sz="8" w:color="auto"/>
            </w:tcBorders>
          </w:tcPr>
          <w:p>
            <w:pPr>
              <w:spacing w:after="0"/>
              <w:rPr>
                <w:sz w:val="14"/>
                <w:szCs w:val="14"/>
                <w:color w:val="auto"/>
              </w:rPr>
            </w:pPr>
          </w:p>
        </w:tc>
        <w:tc>
          <w:tcPr>
            <w:tcW w:w="20" w:type="dxa"/>
            <w:vAlign w:val="bottom"/>
          </w:tcPr>
          <w:p>
            <w:pPr>
              <w:spacing w:after="0"/>
              <w:rPr>
                <w:sz w:val="14"/>
                <w:szCs w:val="14"/>
                <w:color w:val="auto"/>
              </w:rPr>
            </w:pPr>
          </w:p>
        </w:tc>
      </w:tr>
      <w:tr>
        <w:trPr>
          <w:trHeight w:val="194"/>
        </w:trPr>
        <w:tc>
          <w:tcPr>
            <w:tcW w:w="20" w:type="dxa"/>
            <w:vAlign w:val="bottom"/>
          </w:tcPr>
          <w:p>
            <w:pPr>
              <w:spacing w:after="0"/>
              <w:rPr>
                <w:sz w:val="16"/>
                <w:szCs w:val="16"/>
                <w:color w:val="auto"/>
              </w:rPr>
            </w:pPr>
          </w:p>
        </w:tc>
        <w:tc>
          <w:tcPr>
            <w:tcW w:w="5180" w:type="dxa"/>
            <w:vAlign w:val="bottom"/>
          </w:tcPr>
          <w:p>
            <w:pPr>
              <w:ind w:left="160"/>
              <w:spacing w:after="0"/>
              <w:rPr>
                <w:sz w:val="20"/>
                <w:szCs w:val="20"/>
                <w:color w:val="auto"/>
              </w:rPr>
            </w:pPr>
            <w:r>
              <w:rPr>
                <w:rFonts w:ascii="Arial" w:cs="Arial" w:eastAsia="Arial" w:hAnsi="Arial"/>
                <w:sz w:val="16"/>
                <w:szCs w:val="16"/>
                <w:color w:val="auto"/>
              </w:rPr>
              <w:t>Interest rate instruments(3)</w:t>
            </w:r>
          </w:p>
        </w:tc>
        <w:tc>
          <w:tcPr>
            <w:tcW w:w="3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260" w:type="dxa"/>
            <w:vAlign w:val="bottom"/>
          </w:tcPr>
          <w:p>
            <w:pPr>
              <w:jc w:val="right"/>
              <w:ind w:right="42"/>
              <w:spacing w:after="0"/>
              <w:rPr>
                <w:sz w:val="20"/>
                <w:szCs w:val="20"/>
                <w:color w:val="auto"/>
              </w:rPr>
            </w:pPr>
            <w:r>
              <w:rPr>
                <w:rFonts w:ascii="Arial" w:cs="Arial" w:eastAsia="Arial" w:hAnsi="Arial"/>
                <w:sz w:val="16"/>
                <w:szCs w:val="16"/>
                <w:color w:val="auto"/>
              </w:rPr>
              <w:t>7</w:t>
            </w:r>
          </w:p>
        </w:tc>
        <w:tc>
          <w:tcPr>
            <w:tcW w:w="30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42"/>
              <w:spacing w:after="0"/>
              <w:rPr>
                <w:sz w:val="20"/>
                <w:szCs w:val="20"/>
                <w:color w:val="auto"/>
              </w:rPr>
            </w:pPr>
            <w:r>
              <w:rPr>
                <w:rFonts w:ascii="Arial" w:cs="Arial" w:eastAsia="Arial" w:hAnsi="Arial"/>
                <w:sz w:val="16"/>
                <w:szCs w:val="16"/>
                <w:color w:val="auto"/>
              </w:rPr>
              <w:t>―</w:t>
            </w:r>
          </w:p>
        </w:tc>
        <w:tc>
          <w:tcPr>
            <w:tcW w:w="2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280" w:type="dxa"/>
            <w:vAlign w:val="bottom"/>
          </w:tcPr>
          <w:p>
            <w:pPr>
              <w:jc w:val="right"/>
              <w:ind w:right="2"/>
              <w:spacing w:after="0"/>
              <w:rPr>
                <w:sz w:val="20"/>
                <w:szCs w:val="20"/>
                <w:color w:val="auto"/>
              </w:rPr>
            </w:pPr>
            <w:r>
              <w:rPr>
                <w:rFonts w:ascii="Arial" w:cs="Arial" w:eastAsia="Arial" w:hAnsi="Arial"/>
                <w:sz w:val="16"/>
                <w:szCs w:val="16"/>
                <w:color w:val="auto"/>
              </w:rPr>
              <w:t>(17)</w:t>
            </w:r>
          </w:p>
        </w:tc>
        <w:tc>
          <w:tcPr>
            <w:tcW w:w="32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200" w:type="dxa"/>
            <w:vAlign w:val="bottom"/>
            <w:gridSpan w:val="2"/>
          </w:tcPr>
          <w:p>
            <w:pPr>
              <w:jc w:val="right"/>
              <w:ind w:right="20"/>
              <w:spacing w:after="0"/>
              <w:rPr>
                <w:sz w:val="20"/>
                <w:szCs w:val="20"/>
                <w:color w:val="auto"/>
              </w:rPr>
            </w:pPr>
            <w:r>
              <w:rPr>
                <w:rFonts w:ascii="Arial" w:cs="Arial" w:eastAsia="Arial" w:hAnsi="Arial"/>
                <w:sz w:val="16"/>
                <w:szCs w:val="16"/>
                <w:color w:val="auto"/>
              </w:rPr>
              <w:t>(45)</w:t>
            </w:r>
          </w:p>
        </w:tc>
      </w:tr>
      <w:tr>
        <w:trPr>
          <w:trHeight w:val="164"/>
        </w:trPr>
        <w:tc>
          <w:tcPr>
            <w:tcW w:w="20" w:type="dxa"/>
            <w:vAlign w:val="bottom"/>
          </w:tcPr>
          <w:p>
            <w:pPr>
              <w:spacing w:after="0"/>
              <w:rPr>
                <w:sz w:val="14"/>
                <w:szCs w:val="14"/>
                <w:color w:val="auto"/>
              </w:rPr>
            </w:pPr>
          </w:p>
        </w:tc>
        <w:tc>
          <w:tcPr>
            <w:tcW w:w="5180" w:type="dxa"/>
            <w:vAlign w:val="bottom"/>
            <w:tcBorders>
              <w:top w:val="single" w:sz="8" w:color="auto"/>
            </w:tcBorders>
          </w:tcPr>
          <w:p>
            <w:pPr>
              <w:spacing w:after="0" w:line="164" w:lineRule="exact"/>
              <w:rPr>
                <w:sz w:val="20"/>
                <w:szCs w:val="20"/>
                <w:color w:val="auto"/>
              </w:rPr>
            </w:pPr>
            <w:r>
              <w:rPr>
                <w:rFonts w:ascii="Arial" w:cs="Arial" w:eastAsia="Arial" w:hAnsi="Arial"/>
                <w:sz w:val="16"/>
                <w:szCs w:val="16"/>
                <w:b w:val="1"/>
                <w:bCs w:val="1"/>
                <w:color w:val="auto"/>
              </w:rPr>
              <w:t>SDG&amp;E:</w:t>
            </w:r>
          </w:p>
        </w:tc>
        <w:tc>
          <w:tcPr>
            <w:tcW w:w="360" w:type="dxa"/>
            <w:vAlign w:val="bottom"/>
            <w:tcBorders>
              <w:top w:val="single" w:sz="8" w:color="auto"/>
            </w:tcBorders>
          </w:tcPr>
          <w:p>
            <w:pPr>
              <w:spacing w:after="0"/>
              <w:rPr>
                <w:sz w:val="14"/>
                <w:szCs w:val="14"/>
                <w:color w:val="auto"/>
              </w:rPr>
            </w:pPr>
          </w:p>
        </w:tc>
        <w:tc>
          <w:tcPr>
            <w:tcW w:w="1260" w:type="dxa"/>
            <w:vAlign w:val="bottom"/>
            <w:tcBorders>
              <w:top w:val="single" w:sz="8" w:color="auto"/>
            </w:tcBorders>
          </w:tcPr>
          <w:p>
            <w:pPr>
              <w:spacing w:after="0"/>
              <w:rPr>
                <w:sz w:val="14"/>
                <w:szCs w:val="14"/>
                <w:color w:val="auto"/>
              </w:rPr>
            </w:pPr>
          </w:p>
        </w:tc>
        <w:tc>
          <w:tcPr>
            <w:tcW w:w="300" w:type="dxa"/>
            <w:vAlign w:val="bottom"/>
            <w:tcBorders>
              <w:top w:val="single" w:sz="8" w:color="auto"/>
            </w:tcBorders>
          </w:tcPr>
          <w:p>
            <w:pPr>
              <w:spacing w:after="0"/>
              <w:rPr>
                <w:sz w:val="14"/>
                <w:szCs w:val="14"/>
                <w:color w:val="auto"/>
              </w:rPr>
            </w:pPr>
          </w:p>
        </w:tc>
        <w:tc>
          <w:tcPr>
            <w:tcW w:w="1240" w:type="dxa"/>
            <w:vAlign w:val="bottom"/>
            <w:tcBorders>
              <w:top w:val="single" w:sz="8" w:color="auto"/>
            </w:tcBorders>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1280" w:type="dxa"/>
            <w:vAlign w:val="bottom"/>
            <w:tcBorders>
              <w:top w:val="single" w:sz="8" w:color="auto"/>
            </w:tcBorders>
          </w:tcPr>
          <w:p>
            <w:pPr>
              <w:spacing w:after="0"/>
              <w:rPr>
                <w:sz w:val="14"/>
                <w:szCs w:val="14"/>
                <w:color w:val="auto"/>
              </w:rPr>
            </w:pPr>
          </w:p>
        </w:tc>
        <w:tc>
          <w:tcPr>
            <w:tcW w:w="320" w:type="dxa"/>
            <w:vAlign w:val="bottom"/>
            <w:tcBorders>
              <w:top w:val="single" w:sz="8" w:color="auto"/>
            </w:tcBorders>
          </w:tcPr>
          <w:p>
            <w:pPr>
              <w:spacing w:after="0"/>
              <w:rPr>
                <w:sz w:val="14"/>
                <w:szCs w:val="14"/>
                <w:color w:val="auto"/>
              </w:rPr>
            </w:pPr>
          </w:p>
        </w:tc>
        <w:tc>
          <w:tcPr>
            <w:tcW w:w="1180" w:type="dxa"/>
            <w:vAlign w:val="bottom"/>
            <w:tcBorders>
              <w:top w:val="single" w:sz="8" w:color="auto"/>
            </w:tcBorders>
          </w:tcPr>
          <w:p>
            <w:pPr>
              <w:spacing w:after="0"/>
              <w:rPr>
                <w:sz w:val="14"/>
                <w:szCs w:val="14"/>
                <w:color w:val="auto"/>
              </w:rPr>
            </w:pPr>
          </w:p>
        </w:tc>
        <w:tc>
          <w:tcPr>
            <w:tcW w:w="20" w:type="dxa"/>
            <w:vAlign w:val="bottom"/>
          </w:tcPr>
          <w:p>
            <w:pPr>
              <w:spacing w:after="0"/>
              <w:rPr>
                <w:sz w:val="14"/>
                <w:szCs w:val="14"/>
                <w:color w:val="auto"/>
              </w:rPr>
            </w:pPr>
          </w:p>
        </w:tc>
      </w:tr>
      <w:tr>
        <w:trPr>
          <w:trHeight w:val="194"/>
        </w:trPr>
        <w:tc>
          <w:tcPr>
            <w:tcW w:w="20" w:type="dxa"/>
            <w:vAlign w:val="bottom"/>
          </w:tcPr>
          <w:p>
            <w:pPr>
              <w:spacing w:after="0"/>
              <w:rPr>
                <w:sz w:val="16"/>
                <w:szCs w:val="16"/>
                <w:color w:val="auto"/>
              </w:rPr>
            </w:pPr>
          </w:p>
        </w:tc>
        <w:tc>
          <w:tcPr>
            <w:tcW w:w="5180" w:type="dxa"/>
            <w:vAlign w:val="bottom"/>
            <w:tcBorders>
              <w:bottom w:val="single" w:sz="8" w:color="auto"/>
            </w:tcBorders>
          </w:tcPr>
          <w:p>
            <w:pPr>
              <w:ind w:left="160"/>
              <w:spacing w:after="0"/>
              <w:rPr>
                <w:sz w:val="20"/>
                <w:szCs w:val="20"/>
                <w:color w:val="auto"/>
              </w:rPr>
            </w:pPr>
            <w:r>
              <w:rPr>
                <w:rFonts w:ascii="Arial" w:cs="Arial" w:eastAsia="Arial" w:hAnsi="Arial"/>
                <w:sz w:val="16"/>
                <w:szCs w:val="16"/>
                <w:color w:val="auto"/>
              </w:rPr>
              <w:t>Interest rate instruments(3)</w:t>
            </w:r>
          </w:p>
        </w:tc>
        <w:tc>
          <w:tcPr>
            <w:tcW w:w="3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(17)</w:t>
            </w:r>
          </w:p>
        </w:tc>
        <w:tc>
          <w:tcPr>
            <w:tcW w:w="3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(44)</w:t>
            </w:r>
          </w:p>
        </w:tc>
        <w:tc>
          <w:tcPr>
            <w:tcW w:w="20" w:type="dxa"/>
            <w:vAlign w:val="bottom"/>
          </w:tcPr>
          <w:p>
            <w:pPr>
              <w:spacing w:after="0"/>
              <w:rPr>
                <w:sz w:val="16"/>
                <w:szCs w:val="16"/>
                <w:color w:val="auto"/>
              </w:rPr>
            </w:pPr>
          </w:p>
        </w:tc>
      </w:tr>
      <w:tr>
        <w:trPr>
          <w:trHeight w:val="345"/>
        </w:trPr>
        <w:tc>
          <w:tcPr>
            <w:tcW w:w="5200" w:type="dxa"/>
            <w:vAlign w:val="bottom"/>
            <w:tcBorders>
              <w:bottom w:val="single" w:sz="8" w:color="auto"/>
            </w:tcBorders>
            <w:gridSpan w:val="2"/>
          </w:tcPr>
          <w:p>
            <w:pPr>
              <w:spacing w:after="0"/>
              <w:rPr>
                <w:sz w:val="20"/>
                <w:szCs w:val="20"/>
                <w:color w:val="auto"/>
              </w:rPr>
            </w:pPr>
            <w:r>
              <w:rPr>
                <w:rFonts w:ascii="Arial" w:cs="Arial" w:eastAsia="Arial" w:hAnsi="Arial"/>
                <w:sz w:val="14"/>
                <w:szCs w:val="14"/>
                <w:color w:val="auto"/>
              </w:rPr>
              <w:t>Derivatives not designated as hedging instruments</w:t>
            </w:r>
          </w:p>
        </w:tc>
        <w:tc>
          <w:tcPr>
            <w:tcW w:w="36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164"/>
        </w:trPr>
        <w:tc>
          <w:tcPr>
            <w:tcW w:w="5200" w:type="dxa"/>
            <w:vAlign w:val="bottom"/>
            <w:gridSpan w:val="2"/>
          </w:tcPr>
          <w:p>
            <w:pPr>
              <w:spacing w:after="0" w:line="164" w:lineRule="exact"/>
              <w:rPr>
                <w:sz w:val="20"/>
                <w:szCs w:val="20"/>
                <w:color w:val="auto"/>
              </w:rPr>
            </w:pPr>
            <w:r>
              <w:rPr>
                <w:rFonts w:ascii="Arial" w:cs="Arial" w:eastAsia="Arial" w:hAnsi="Arial"/>
                <w:sz w:val="16"/>
                <w:szCs w:val="16"/>
                <w:b w:val="1"/>
                <w:bCs w:val="1"/>
                <w:color w:val="auto"/>
              </w:rPr>
              <w:t>Sempra Energy Consolidated:</w:t>
            </w:r>
          </w:p>
        </w:tc>
        <w:tc>
          <w:tcPr>
            <w:tcW w:w="3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76"/>
        </w:trPr>
        <w:tc>
          <w:tcPr>
            <w:tcW w:w="20" w:type="dxa"/>
            <w:vAlign w:val="bottom"/>
          </w:tcPr>
          <w:p>
            <w:pPr>
              <w:spacing w:after="0"/>
              <w:rPr>
                <w:sz w:val="15"/>
                <w:szCs w:val="15"/>
                <w:color w:val="auto"/>
              </w:rPr>
            </w:pPr>
          </w:p>
        </w:tc>
        <w:tc>
          <w:tcPr>
            <w:tcW w:w="5180" w:type="dxa"/>
            <w:vAlign w:val="bottom"/>
          </w:tcPr>
          <w:p>
            <w:pPr>
              <w:ind w:left="160"/>
              <w:spacing w:after="0" w:line="176" w:lineRule="exact"/>
              <w:rPr>
                <w:sz w:val="20"/>
                <w:szCs w:val="20"/>
                <w:color w:val="auto"/>
              </w:rPr>
            </w:pPr>
            <w:r>
              <w:rPr>
                <w:rFonts w:ascii="Arial" w:cs="Arial" w:eastAsia="Arial" w:hAnsi="Arial"/>
                <w:sz w:val="16"/>
                <w:szCs w:val="16"/>
                <w:color w:val="auto"/>
              </w:rPr>
              <w:t>Interest rate instruments</w:t>
            </w:r>
          </w:p>
        </w:tc>
        <w:tc>
          <w:tcPr>
            <w:tcW w:w="360" w:type="dxa"/>
            <w:vAlign w:val="bottom"/>
          </w:tcPr>
          <w:p>
            <w:pPr>
              <w:jc w:val="right"/>
              <w:ind w:right="19"/>
              <w:spacing w:after="0" w:line="176" w:lineRule="exact"/>
              <w:rPr>
                <w:sz w:val="20"/>
                <w:szCs w:val="20"/>
                <w:color w:val="auto"/>
              </w:rPr>
            </w:pPr>
            <w:r>
              <w:rPr>
                <w:rFonts w:ascii="Arial" w:cs="Arial" w:eastAsia="Arial" w:hAnsi="Arial"/>
                <w:sz w:val="16"/>
                <w:szCs w:val="16"/>
                <w:color w:val="auto"/>
              </w:rPr>
              <w:t>$</w:t>
            </w:r>
          </w:p>
        </w:tc>
        <w:tc>
          <w:tcPr>
            <w:tcW w:w="1260" w:type="dxa"/>
            <w:vAlign w:val="bottom"/>
          </w:tcPr>
          <w:p>
            <w:pPr>
              <w:jc w:val="right"/>
              <w:ind w:right="42"/>
              <w:spacing w:after="0" w:line="176" w:lineRule="exact"/>
              <w:rPr>
                <w:sz w:val="20"/>
                <w:szCs w:val="20"/>
                <w:color w:val="auto"/>
              </w:rPr>
            </w:pPr>
            <w:r>
              <w:rPr>
                <w:rFonts w:ascii="Arial" w:cs="Arial" w:eastAsia="Arial" w:hAnsi="Arial"/>
                <w:sz w:val="16"/>
                <w:szCs w:val="16"/>
                <w:color w:val="auto"/>
              </w:rPr>
              <w:t>9</w:t>
            </w:r>
          </w:p>
        </w:tc>
        <w:tc>
          <w:tcPr>
            <w:tcW w:w="300" w:type="dxa"/>
            <w:vAlign w:val="bottom"/>
          </w:tcPr>
          <w:p>
            <w:pPr>
              <w:jc w:val="right"/>
              <w:ind w:right="39"/>
              <w:spacing w:after="0" w:line="176" w:lineRule="exact"/>
              <w:rPr>
                <w:sz w:val="20"/>
                <w:szCs w:val="20"/>
                <w:color w:val="auto"/>
              </w:rPr>
            </w:pPr>
            <w:r>
              <w:rPr>
                <w:rFonts w:ascii="Arial" w:cs="Arial" w:eastAsia="Arial" w:hAnsi="Arial"/>
                <w:sz w:val="16"/>
                <w:szCs w:val="16"/>
                <w:color w:val="auto"/>
              </w:rPr>
              <w:t>$</w:t>
            </w:r>
          </w:p>
        </w:tc>
        <w:tc>
          <w:tcPr>
            <w:tcW w:w="1240" w:type="dxa"/>
            <w:vAlign w:val="bottom"/>
          </w:tcPr>
          <w:p>
            <w:pPr>
              <w:jc w:val="right"/>
              <w:ind w:right="42"/>
              <w:spacing w:after="0" w:line="176" w:lineRule="exact"/>
              <w:rPr>
                <w:sz w:val="20"/>
                <w:szCs w:val="20"/>
                <w:color w:val="auto"/>
              </w:rPr>
            </w:pPr>
            <w:r>
              <w:rPr>
                <w:rFonts w:ascii="Arial" w:cs="Arial" w:eastAsia="Arial" w:hAnsi="Arial"/>
                <w:sz w:val="16"/>
                <w:szCs w:val="16"/>
                <w:color w:val="auto"/>
              </w:rPr>
              <w:t>23</w:t>
            </w:r>
          </w:p>
        </w:tc>
        <w:tc>
          <w:tcPr>
            <w:tcW w:w="280" w:type="dxa"/>
            <w:vAlign w:val="bottom"/>
          </w:tcPr>
          <w:p>
            <w:pPr>
              <w:jc w:val="right"/>
              <w:ind w:right="39"/>
              <w:spacing w:after="0" w:line="176" w:lineRule="exact"/>
              <w:rPr>
                <w:sz w:val="20"/>
                <w:szCs w:val="20"/>
                <w:color w:val="auto"/>
              </w:rPr>
            </w:pPr>
            <w:r>
              <w:rPr>
                <w:rFonts w:ascii="Arial" w:cs="Arial" w:eastAsia="Arial" w:hAnsi="Arial"/>
                <w:sz w:val="16"/>
                <w:szCs w:val="16"/>
                <w:color w:val="auto"/>
              </w:rPr>
              <w:t>$</w:t>
            </w:r>
          </w:p>
        </w:tc>
        <w:tc>
          <w:tcPr>
            <w:tcW w:w="1280" w:type="dxa"/>
            <w:vAlign w:val="bottom"/>
          </w:tcPr>
          <w:p>
            <w:pPr>
              <w:jc w:val="right"/>
              <w:ind w:right="2"/>
              <w:spacing w:after="0" w:line="176" w:lineRule="exact"/>
              <w:rPr>
                <w:sz w:val="20"/>
                <w:szCs w:val="20"/>
                <w:color w:val="auto"/>
              </w:rPr>
            </w:pPr>
            <w:r>
              <w:rPr>
                <w:rFonts w:ascii="Arial" w:cs="Arial" w:eastAsia="Arial" w:hAnsi="Arial"/>
                <w:sz w:val="16"/>
                <w:szCs w:val="16"/>
                <w:color w:val="auto"/>
              </w:rPr>
              <w:t>(8)</w:t>
            </w:r>
          </w:p>
        </w:tc>
        <w:tc>
          <w:tcPr>
            <w:tcW w:w="320" w:type="dxa"/>
            <w:vAlign w:val="bottom"/>
          </w:tcPr>
          <w:p>
            <w:pPr>
              <w:jc w:val="right"/>
              <w:ind w:right="79"/>
              <w:spacing w:after="0" w:line="176" w:lineRule="exact"/>
              <w:rPr>
                <w:sz w:val="20"/>
                <w:szCs w:val="20"/>
                <w:color w:val="auto"/>
              </w:rPr>
            </w:pPr>
            <w:r>
              <w:rPr>
                <w:rFonts w:ascii="Arial" w:cs="Arial" w:eastAsia="Arial" w:hAnsi="Arial"/>
                <w:sz w:val="16"/>
                <w:szCs w:val="16"/>
                <w:color w:val="auto"/>
              </w:rPr>
              <w:t>$</w:t>
            </w:r>
          </w:p>
        </w:tc>
        <w:tc>
          <w:tcPr>
            <w:tcW w:w="1200" w:type="dxa"/>
            <w:vAlign w:val="bottom"/>
            <w:gridSpan w:val="2"/>
          </w:tcPr>
          <w:p>
            <w:pPr>
              <w:jc w:val="right"/>
              <w:ind w:right="20"/>
              <w:spacing w:after="0" w:line="176" w:lineRule="exact"/>
              <w:rPr>
                <w:sz w:val="20"/>
                <w:szCs w:val="20"/>
                <w:color w:val="auto"/>
              </w:rPr>
            </w:pPr>
            <w:r>
              <w:rPr>
                <w:rFonts w:ascii="Arial" w:cs="Arial" w:eastAsia="Arial" w:hAnsi="Arial"/>
                <w:sz w:val="16"/>
                <w:szCs w:val="16"/>
                <w:color w:val="auto"/>
              </w:rPr>
              <w:t>(17)</w:t>
            </w:r>
          </w:p>
        </w:tc>
      </w:tr>
      <w:tr>
        <w:trPr>
          <w:trHeight w:val="176"/>
        </w:trPr>
        <w:tc>
          <w:tcPr>
            <w:tcW w:w="20" w:type="dxa"/>
            <w:vAlign w:val="bottom"/>
          </w:tcPr>
          <w:p>
            <w:pPr>
              <w:spacing w:after="0"/>
              <w:rPr>
                <w:sz w:val="15"/>
                <w:szCs w:val="15"/>
                <w:color w:val="auto"/>
              </w:rPr>
            </w:pPr>
          </w:p>
        </w:tc>
        <w:tc>
          <w:tcPr>
            <w:tcW w:w="5180" w:type="dxa"/>
            <w:vAlign w:val="bottom"/>
          </w:tcPr>
          <w:p>
            <w:pPr>
              <w:ind w:left="160"/>
              <w:spacing w:after="0" w:line="176" w:lineRule="exact"/>
              <w:rPr>
                <w:sz w:val="20"/>
                <w:szCs w:val="20"/>
                <w:color w:val="auto"/>
              </w:rPr>
            </w:pPr>
            <w:r>
              <w:rPr>
                <w:rFonts w:ascii="Arial" w:cs="Arial" w:eastAsia="Arial" w:hAnsi="Arial"/>
                <w:sz w:val="16"/>
                <w:szCs w:val="16"/>
                <w:color w:val="auto"/>
              </w:rPr>
              <w:t>Commodity contracts not subject to rate recovery</w:t>
            </w:r>
          </w:p>
        </w:tc>
        <w:tc>
          <w:tcPr>
            <w:tcW w:w="360" w:type="dxa"/>
            <w:vAlign w:val="bottom"/>
          </w:tcPr>
          <w:p>
            <w:pPr>
              <w:spacing w:after="0"/>
              <w:rPr>
                <w:sz w:val="15"/>
                <w:szCs w:val="15"/>
                <w:color w:val="auto"/>
              </w:rPr>
            </w:pPr>
          </w:p>
        </w:tc>
        <w:tc>
          <w:tcPr>
            <w:tcW w:w="1260" w:type="dxa"/>
            <w:vAlign w:val="bottom"/>
          </w:tcPr>
          <w:p>
            <w:pPr>
              <w:jc w:val="right"/>
              <w:ind w:right="42"/>
              <w:spacing w:after="0" w:line="176" w:lineRule="exact"/>
              <w:rPr>
                <w:sz w:val="20"/>
                <w:szCs w:val="20"/>
                <w:color w:val="auto"/>
              </w:rPr>
            </w:pPr>
            <w:r>
              <w:rPr>
                <w:rFonts w:ascii="Arial" w:cs="Arial" w:eastAsia="Arial" w:hAnsi="Arial"/>
                <w:sz w:val="16"/>
                <w:szCs w:val="16"/>
                <w:color w:val="auto"/>
              </w:rPr>
              <w:t>56</w:t>
            </w:r>
          </w:p>
        </w:tc>
        <w:tc>
          <w:tcPr>
            <w:tcW w:w="300" w:type="dxa"/>
            <w:vAlign w:val="bottom"/>
          </w:tcPr>
          <w:p>
            <w:pPr>
              <w:spacing w:after="0"/>
              <w:rPr>
                <w:sz w:val="15"/>
                <w:szCs w:val="15"/>
                <w:color w:val="auto"/>
              </w:rPr>
            </w:pPr>
          </w:p>
        </w:tc>
        <w:tc>
          <w:tcPr>
            <w:tcW w:w="1240" w:type="dxa"/>
            <w:vAlign w:val="bottom"/>
          </w:tcPr>
          <w:p>
            <w:pPr>
              <w:jc w:val="right"/>
              <w:ind w:right="42"/>
              <w:spacing w:after="0" w:line="176" w:lineRule="exact"/>
              <w:rPr>
                <w:sz w:val="20"/>
                <w:szCs w:val="20"/>
                <w:color w:val="auto"/>
              </w:rPr>
            </w:pPr>
            <w:r>
              <w:rPr>
                <w:rFonts w:ascii="Arial" w:cs="Arial" w:eastAsia="Arial" w:hAnsi="Arial"/>
                <w:sz w:val="16"/>
                <w:szCs w:val="16"/>
                <w:color w:val="auto"/>
              </w:rPr>
              <w:t>23</w:t>
            </w:r>
          </w:p>
        </w:tc>
        <w:tc>
          <w:tcPr>
            <w:tcW w:w="280" w:type="dxa"/>
            <w:vAlign w:val="bottom"/>
          </w:tcPr>
          <w:p>
            <w:pPr>
              <w:spacing w:after="0"/>
              <w:rPr>
                <w:sz w:val="15"/>
                <w:szCs w:val="15"/>
                <w:color w:val="auto"/>
              </w:rPr>
            </w:pPr>
          </w:p>
        </w:tc>
        <w:tc>
          <w:tcPr>
            <w:tcW w:w="1280" w:type="dxa"/>
            <w:vAlign w:val="bottom"/>
          </w:tcPr>
          <w:p>
            <w:pPr>
              <w:jc w:val="right"/>
              <w:ind w:right="2"/>
              <w:spacing w:after="0" w:line="176" w:lineRule="exact"/>
              <w:rPr>
                <w:sz w:val="20"/>
                <w:szCs w:val="20"/>
                <w:color w:val="auto"/>
              </w:rPr>
            </w:pPr>
            <w:r>
              <w:rPr>
                <w:rFonts w:ascii="Arial" w:cs="Arial" w:eastAsia="Arial" w:hAnsi="Arial"/>
                <w:sz w:val="16"/>
                <w:szCs w:val="16"/>
                <w:color w:val="auto"/>
              </w:rPr>
              <w:t>(42)</w:t>
            </w:r>
          </w:p>
        </w:tc>
        <w:tc>
          <w:tcPr>
            <w:tcW w:w="320" w:type="dxa"/>
            <w:vAlign w:val="bottom"/>
          </w:tcPr>
          <w:p>
            <w:pPr>
              <w:spacing w:after="0"/>
              <w:rPr>
                <w:sz w:val="15"/>
                <w:szCs w:val="15"/>
                <w:color w:val="auto"/>
              </w:rPr>
            </w:pPr>
          </w:p>
        </w:tc>
        <w:tc>
          <w:tcPr>
            <w:tcW w:w="1200" w:type="dxa"/>
            <w:vAlign w:val="bottom"/>
            <w:gridSpan w:val="2"/>
          </w:tcPr>
          <w:p>
            <w:pPr>
              <w:jc w:val="right"/>
              <w:ind w:right="20"/>
              <w:spacing w:after="0" w:line="176" w:lineRule="exact"/>
              <w:rPr>
                <w:sz w:val="20"/>
                <w:szCs w:val="20"/>
                <w:color w:val="auto"/>
              </w:rPr>
            </w:pPr>
            <w:r>
              <w:rPr>
                <w:rFonts w:ascii="Arial" w:cs="Arial" w:eastAsia="Arial" w:hAnsi="Arial"/>
                <w:sz w:val="16"/>
                <w:szCs w:val="16"/>
                <w:color w:val="auto"/>
              </w:rPr>
              <w:t>(39)</w:t>
            </w:r>
          </w:p>
        </w:tc>
      </w:tr>
      <w:tr>
        <w:trPr>
          <w:trHeight w:val="176"/>
        </w:trPr>
        <w:tc>
          <w:tcPr>
            <w:tcW w:w="20" w:type="dxa"/>
            <w:vAlign w:val="bottom"/>
          </w:tcPr>
          <w:p>
            <w:pPr>
              <w:spacing w:after="0"/>
              <w:rPr>
                <w:sz w:val="15"/>
                <w:szCs w:val="15"/>
                <w:color w:val="auto"/>
              </w:rPr>
            </w:pPr>
          </w:p>
        </w:tc>
        <w:tc>
          <w:tcPr>
            <w:tcW w:w="5180" w:type="dxa"/>
            <w:vAlign w:val="bottom"/>
          </w:tcPr>
          <w:p>
            <w:pPr>
              <w:ind w:left="340"/>
              <w:spacing w:after="0" w:line="176" w:lineRule="exact"/>
              <w:rPr>
                <w:sz w:val="20"/>
                <w:szCs w:val="20"/>
                <w:color w:val="auto"/>
              </w:rPr>
            </w:pPr>
            <w:r>
              <w:rPr>
                <w:rFonts w:ascii="Arial" w:cs="Arial" w:eastAsia="Arial" w:hAnsi="Arial"/>
                <w:sz w:val="16"/>
                <w:szCs w:val="16"/>
                <w:color w:val="auto"/>
              </w:rPr>
              <w:t>Associated offsetting commodity contracts</w:t>
            </w:r>
          </w:p>
        </w:tc>
        <w:tc>
          <w:tcPr>
            <w:tcW w:w="360" w:type="dxa"/>
            <w:vAlign w:val="bottom"/>
          </w:tcPr>
          <w:p>
            <w:pPr>
              <w:spacing w:after="0"/>
              <w:rPr>
                <w:sz w:val="15"/>
                <w:szCs w:val="15"/>
                <w:color w:val="auto"/>
              </w:rPr>
            </w:pPr>
          </w:p>
        </w:tc>
        <w:tc>
          <w:tcPr>
            <w:tcW w:w="1260" w:type="dxa"/>
            <w:vAlign w:val="bottom"/>
          </w:tcPr>
          <w:p>
            <w:pPr>
              <w:jc w:val="right"/>
              <w:ind w:right="2"/>
              <w:spacing w:after="0" w:line="176" w:lineRule="exact"/>
              <w:rPr>
                <w:sz w:val="20"/>
                <w:szCs w:val="20"/>
                <w:color w:val="auto"/>
              </w:rPr>
            </w:pPr>
            <w:r>
              <w:rPr>
                <w:rFonts w:ascii="Arial" w:cs="Arial" w:eastAsia="Arial" w:hAnsi="Arial"/>
                <w:sz w:val="16"/>
                <w:szCs w:val="16"/>
                <w:color w:val="auto"/>
              </w:rPr>
              <w:t>(16)</w:t>
            </w:r>
          </w:p>
        </w:tc>
        <w:tc>
          <w:tcPr>
            <w:tcW w:w="300" w:type="dxa"/>
            <w:vAlign w:val="bottom"/>
          </w:tcPr>
          <w:p>
            <w:pPr>
              <w:spacing w:after="0"/>
              <w:rPr>
                <w:sz w:val="15"/>
                <w:szCs w:val="15"/>
                <w:color w:val="auto"/>
              </w:rPr>
            </w:pPr>
          </w:p>
        </w:tc>
        <w:tc>
          <w:tcPr>
            <w:tcW w:w="1240" w:type="dxa"/>
            <w:vAlign w:val="bottom"/>
          </w:tcPr>
          <w:p>
            <w:pPr>
              <w:jc w:val="right"/>
              <w:ind w:right="2"/>
              <w:spacing w:after="0" w:line="176" w:lineRule="exact"/>
              <w:rPr>
                <w:sz w:val="20"/>
                <w:szCs w:val="20"/>
                <w:color w:val="auto"/>
              </w:rPr>
            </w:pPr>
            <w:r>
              <w:rPr>
                <w:rFonts w:ascii="Arial" w:cs="Arial" w:eastAsia="Arial" w:hAnsi="Arial"/>
                <w:sz w:val="16"/>
                <w:szCs w:val="16"/>
                <w:color w:val="auto"/>
              </w:rPr>
              <w:t>(11)</w:t>
            </w:r>
          </w:p>
        </w:tc>
        <w:tc>
          <w:tcPr>
            <w:tcW w:w="280" w:type="dxa"/>
            <w:vAlign w:val="bottom"/>
          </w:tcPr>
          <w:p>
            <w:pPr>
              <w:spacing w:after="0"/>
              <w:rPr>
                <w:sz w:val="15"/>
                <w:szCs w:val="15"/>
                <w:color w:val="auto"/>
              </w:rPr>
            </w:pPr>
          </w:p>
        </w:tc>
        <w:tc>
          <w:tcPr>
            <w:tcW w:w="1280" w:type="dxa"/>
            <w:vAlign w:val="bottom"/>
          </w:tcPr>
          <w:p>
            <w:pPr>
              <w:jc w:val="right"/>
              <w:ind w:right="42"/>
              <w:spacing w:after="0" w:line="176" w:lineRule="exact"/>
              <w:rPr>
                <w:sz w:val="20"/>
                <w:szCs w:val="20"/>
                <w:color w:val="auto"/>
              </w:rPr>
            </w:pPr>
            <w:r>
              <w:rPr>
                <w:rFonts w:ascii="Arial" w:cs="Arial" w:eastAsia="Arial" w:hAnsi="Arial"/>
                <w:sz w:val="16"/>
                <w:szCs w:val="16"/>
                <w:color w:val="auto"/>
              </w:rPr>
              <w:t>16</w:t>
            </w:r>
          </w:p>
        </w:tc>
        <w:tc>
          <w:tcPr>
            <w:tcW w:w="320" w:type="dxa"/>
            <w:vAlign w:val="bottom"/>
          </w:tcPr>
          <w:p>
            <w:pPr>
              <w:spacing w:after="0"/>
              <w:rPr>
                <w:sz w:val="15"/>
                <w:szCs w:val="15"/>
                <w:color w:val="auto"/>
              </w:rPr>
            </w:pPr>
          </w:p>
        </w:tc>
        <w:tc>
          <w:tcPr>
            <w:tcW w:w="1180" w:type="dxa"/>
            <w:vAlign w:val="bottom"/>
          </w:tcPr>
          <w:p>
            <w:pPr>
              <w:jc w:val="right"/>
              <w:spacing w:after="0" w:line="176" w:lineRule="exact"/>
              <w:rPr>
                <w:sz w:val="20"/>
                <w:szCs w:val="20"/>
                <w:color w:val="auto"/>
              </w:rPr>
            </w:pPr>
            <w:r>
              <w:rPr>
                <w:rFonts w:ascii="Arial" w:cs="Arial" w:eastAsia="Arial" w:hAnsi="Arial"/>
                <w:sz w:val="16"/>
                <w:szCs w:val="16"/>
                <w:color w:val="auto"/>
              </w:rPr>
              <w:t>11</w:t>
            </w:r>
          </w:p>
        </w:tc>
        <w:tc>
          <w:tcPr>
            <w:tcW w:w="20" w:type="dxa"/>
            <w:vAlign w:val="bottom"/>
          </w:tcPr>
          <w:p>
            <w:pPr>
              <w:spacing w:after="0"/>
              <w:rPr>
                <w:sz w:val="15"/>
                <w:szCs w:val="15"/>
                <w:color w:val="auto"/>
              </w:rPr>
            </w:pPr>
          </w:p>
        </w:tc>
      </w:tr>
      <w:tr>
        <w:trPr>
          <w:trHeight w:val="176"/>
        </w:trPr>
        <w:tc>
          <w:tcPr>
            <w:tcW w:w="20" w:type="dxa"/>
            <w:vAlign w:val="bottom"/>
          </w:tcPr>
          <w:p>
            <w:pPr>
              <w:spacing w:after="0"/>
              <w:rPr>
                <w:sz w:val="15"/>
                <w:szCs w:val="15"/>
                <w:color w:val="auto"/>
              </w:rPr>
            </w:pPr>
          </w:p>
        </w:tc>
        <w:tc>
          <w:tcPr>
            <w:tcW w:w="5180" w:type="dxa"/>
            <w:vAlign w:val="bottom"/>
          </w:tcPr>
          <w:p>
            <w:pPr>
              <w:ind w:left="160"/>
              <w:spacing w:after="0" w:line="176" w:lineRule="exact"/>
              <w:rPr>
                <w:sz w:val="20"/>
                <w:szCs w:val="20"/>
                <w:color w:val="auto"/>
              </w:rPr>
            </w:pPr>
            <w:r>
              <w:rPr>
                <w:rFonts w:ascii="Arial" w:cs="Arial" w:eastAsia="Arial" w:hAnsi="Arial"/>
                <w:sz w:val="16"/>
                <w:szCs w:val="16"/>
                <w:color w:val="auto"/>
              </w:rPr>
              <w:t>Commodity contracts subject to rate recovery</w:t>
            </w:r>
          </w:p>
        </w:tc>
        <w:tc>
          <w:tcPr>
            <w:tcW w:w="360" w:type="dxa"/>
            <w:vAlign w:val="bottom"/>
          </w:tcPr>
          <w:p>
            <w:pPr>
              <w:spacing w:after="0"/>
              <w:rPr>
                <w:sz w:val="15"/>
                <w:szCs w:val="15"/>
                <w:color w:val="auto"/>
              </w:rPr>
            </w:pPr>
          </w:p>
        </w:tc>
        <w:tc>
          <w:tcPr>
            <w:tcW w:w="1260" w:type="dxa"/>
            <w:vAlign w:val="bottom"/>
          </w:tcPr>
          <w:p>
            <w:pPr>
              <w:jc w:val="right"/>
              <w:ind w:right="42"/>
              <w:spacing w:after="0" w:line="176" w:lineRule="exact"/>
              <w:rPr>
                <w:sz w:val="20"/>
                <w:szCs w:val="20"/>
                <w:color w:val="auto"/>
              </w:rPr>
            </w:pPr>
            <w:r>
              <w:rPr>
                <w:rFonts w:ascii="Arial" w:cs="Arial" w:eastAsia="Arial" w:hAnsi="Arial"/>
                <w:sz w:val="16"/>
                <w:szCs w:val="16"/>
                <w:color w:val="auto"/>
              </w:rPr>
              <w:t>9</w:t>
            </w:r>
          </w:p>
        </w:tc>
        <w:tc>
          <w:tcPr>
            <w:tcW w:w="300" w:type="dxa"/>
            <w:vAlign w:val="bottom"/>
          </w:tcPr>
          <w:p>
            <w:pPr>
              <w:spacing w:after="0"/>
              <w:rPr>
                <w:sz w:val="15"/>
                <w:szCs w:val="15"/>
                <w:color w:val="auto"/>
              </w:rPr>
            </w:pPr>
          </w:p>
        </w:tc>
        <w:tc>
          <w:tcPr>
            <w:tcW w:w="1240" w:type="dxa"/>
            <w:vAlign w:val="bottom"/>
          </w:tcPr>
          <w:p>
            <w:pPr>
              <w:jc w:val="right"/>
              <w:ind w:right="42"/>
              <w:spacing w:after="0" w:line="176" w:lineRule="exact"/>
              <w:rPr>
                <w:sz w:val="20"/>
                <w:szCs w:val="20"/>
                <w:color w:val="auto"/>
              </w:rPr>
            </w:pPr>
            <w:r>
              <w:rPr>
                <w:rFonts w:ascii="Arial" w:cs="Arial" w:eastAsia="Arial" w:hAnsi="Arial"/>
                <w:sz w:val="16"/>
                <w:szCs w:val="16"/>
                <w:color w:val="auto"/>
              </w:rPr>
              <w:t>1</w:t>
            </w:r>
          </w:p>
        </w:tc>
        <w:tc>
          <w:tcPr>
            <w:tcW w:w="280" w:type="dxa"/>
            <w:vAlign w:val="bottom"/>
          </w:tcPr>
          <w:p>
            <w:pPr>
              <w:spacing w:after="0"/>
              <w:rPr>
                <w:sz w:val="15"/>
                <w:szCs w:val="15"/>
                <w:color w:val="auto"/>
              </w:rPr>
            </w:pPr>
          </w:p>
        </w:tc>
        <w:tc>
          <w:tcPr>
            <w:tcW w:w="1280" w:type="dxa"/>
            <w:vAlign w:val="bottom"/>
          </w:tcPr>
          <w:p>
            <w:pPr>
              <w:jc w:val="right"/>
              <w:ind w:right="2"/>
              <w:spacing w:after="0" w:line="176" w:lineRule="exact"/>
              <w:rPr>
                <w:sz w:val="20"/>
                <w:szCs w:val="20"/>
                <w:color w:val="auto"/>
              </w:rPr>
            </w:pPr>
            <w:r>
              <w:rPr>
                <w:rFonts w:ascii="Arial" w:cs="Arial" w:eastAsia="Arial" w:hAnsi="Arial"/>
                <w:sz w:val="16"/>
                <w:szCs w:val="16"/>
                <w:color w:val="auto"/>
              </w:rPr>
              <w:t>(28)</w:t>
            </w:r>
          </w:p>
        </w:tc>
        <w:tc>
          <w:tcPr>
            <w:tcW w:w="320" w:type="dxa"/>
            <w:vAlign w:val="bottom"/>
          </w:tcPr>
          <w:p>
            <w:pPr>
              <w:spacing w:after="0"/>
              <w:rPr>
                <w:sz w:val="15"/>
                <w:szCs w:val="15"/>
                <w:color w:val="auto"/>
              </w:rPr>
            </w:pPr>
          </w:p>
        </w:tc>
        <w:tc>
          <w:tcPr>
            <w:tcW w:w="1200" w:type="dxa"/>
            <w:vAlign w:val="bottom"/>
            <w:gridSpan w:val="2"/>
          </w:tcPr>
          <w:p>
            <w:pPr>
              <w:jc w:val="right"/>
              <w:ind w:right="20"/>
              <w:spacing w:after="0" w:line="176" w:lineRule="exact"/>
              <w:rPr>
                <w:sz w:val="20"/>
                <w:szCs w:val="20"/>
                <w:color w:val="auto"/>
              </w:rPr>
            </w:pPr>
            <w:r>
              <w:rPr>
                <w:rFonts w:ascii="Arial" w:cs="Arial" w:eastAsia="Arial" w:hAnsi="Arial"/>
                <w:sz w:val="16"/>
                <w:szCs w:val="16"/>
                <w:color w:val="auto"/>
              </w:rPr>
              <w:t>(23)</w:t>
            </w:r>
          </w:p>
        </w:tc>
      </w:tr>
      <w:tr>
        <w:trPr>
          <w:trHeight w:val="194"/>
        </w:trPr>
        <w:tc>
          <w:tcPr>
            <w:tcW w:w="20" w:type="dxa"/>
            <w:vAlign w:val="bottom"/>
          </w:tcPr>
          <w:p>
            <w:pPr>
              <w:spacing w:after="0"/>
              <w:rPr>
                <w:sz w:val="16"/>
                <w:szCs w:val="16"/>
                <w:color w:val="auto"/>
              </w:rPr>
            </w:pPr>
          </w:p>
        </w:tc>
        <w:tc>
          <w:tcPr>
            <w:tcW w:w="5180" w:type="dxa"/>
            <w:vAlign w:val="bottom"/>
          </w:tcPr>
          <w:p>
            <w:pPr>
              <w:ind w:left="340"/>
              <w:spacing w:after="0"/>
              <w:rPr>
                <w:sz w:val="20"/>
                <w:szCs w:val="20"/>
                <w:color w:val="auto"/>
              </w:rPr>
            </w:pPr>
            <w:r>
              <w:rPr>
                <w:rFonts w:ascii="Arial" w:cs="Arial" w:eastAsia="Arial" w:hAnsi="Arial"/>
                <w:sz w:val="16"/>
                <w:szCs w:val="16"/>
                <w:color w:val="auto"/>
              </w:rPr>
              <w:t>Associated offsetting commodity contracts</w:t>
            </w:r>
          </w:p>
        </w:tc>
        <w:tc>
          <w:tcPr>
            <w:tcW w:w="36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(5)</w:t>
            </w:r>
          </w:p>
        </w:tc>
        <w:tc>
          <w:tcPr>
            <w:tcW w:w="3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(1)</w:t>
            </w:r>
          </w:p>
        </w:tc>
        <w:tc>
          <w:tcPr>
            <w:tcW w:w="2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color w:val="auto"/>
              </w:rPr>
              <w:t>5</w:t>
            </w:r>
          </w:p>
        </w:tc>
        <w:tc>
          <w:tcPr>
            <w:tcW w:w="32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20" w:type="dxa"/>
            <w:vAlign w:val="bottom"/>
          </w:tcPr>
          <w:p>
            <w:pPr>
              <w:spacing w:after="0"/>
              <w:rPr>
                <w:sz w:val="16"/>
                <w:szCs w:val="16"/>
                <w:color w:val="auto"/>
              </w:rPr>
            </w:pPr>
          </w:p>
        </w:tc>
      </w:tr>
      <w:tr>
        <w:trPr>
          <w:trHeight w:val="183"/>
        </w:trPr>
        <w:tc>
          <w:tcPr>
            <w:tcW w:w="20" w:type="dxa"/>
            <w:vAlign w:val="bottom"/>
          </w:tcPr>
          <w:p>
            <w:pPr>
              <w:spacing w:after="0"/>
              <w:rPr>
                <w:sz w:val="15"/>
                <w:szCs w:val="15"/>
                <w:color w:val="auto"/>
              </w:rPr>
            </w:pPr>
          </w:p>
        </w:tc>
        <w:tc>
          <w:tcPr>
            <w:tcW w:w="5180" w:type="dxa"/>
            <w:vAlign w:val="bottom"/>
            <w:tcBorders>
              <w:bottom w:val="single" w:sz="8" w:color="auto"/>
            </w:tcBorders>
          </w:tcPr>
          <w:p>
            <w:pPr>
              <w:ind w:left="160"/>
              <w:spacing w:after="0" w:line="176" w:lineRule="exact"/>
              <w:rPr>
                <w:sz w:val="20"/>
                <w:szCs w:val="20"/>
                <w:color w:val="auto"/>
              </w:rPr>
            </w:pPr>
            <w:r>
              <w:rPr>
                <w:rFonts w:ascii="Arial" w:cs="Arial" w:eastAsia="Arial" w:hAnsi="Arial"/>
                <w:sz w:val="16"/>
                <w:szCs w:val="16"/>
                <w:color w:val="auto"/>
              </w:rPr>
              <w:t>Total</w:t>
            </w:r>
          </w:p>
        </w:tc>
        <w:tc>
          <w:tcPr>
            <w:tcW w:w="360" w:type="dxa"/>
            <w:vAlign w:val="bottom"/>
            <w:tcBorders>
              <w:bottom w:val="single" w:sz="8" w:color="auto"/>
            </w:tcBorders>
          </w:tcPr>
          <w:p>
            <w:pPr>
              <w:jc w:val="right"/>
              <w:ind w:right="19"/>
              <w:spacing w:after="0" w:line="176" w:lineRule="exact"/>
              <w:rPr>
                <w:sz w:val="20"/>
                <w:szCs w:val="20"/>
                <w:color w:val="auto"/>
              </w:rPr>
            </w:pPr>
            <w:r>
              <w:rPr>
                <w:rFonts w:ascii="Arial" w:cs="Arial" w:eastAsia="Arial" w:hAnsi="Arial"/>
                <w:sz w:val="16"/>
                <w:szCs w:val="16"/>
                <w:color w:val="auto"/>
              </w:rPr>
              <w:t>$</w:t>
            </w:r>
          </w:p>
        </w:tc>
        <w:tc>
          <w:tcPr>
            <w:tcW w:w="1260" w:type="dxa"/>
            <w:vAlign w:val="bottom"/>
            <w:tcBorders>
              <w:bottom w:val="single" w:sz="8" w:color="auto"/>
            </w:tcBorders>
          </w:tcPr>
          <w:p>
            <w:pPr>
              <w:jc w:val="right"/>
              <w:ind w:right="42"/>
              <w:spacing w:after="0" w:line="176" w:lineRule="exact"/>
              <w:rPr>
                <w:sz w:val="20"/>
                <w:szCs w:val="20"/>
                <w:color w:val="auto"/>
              </w:rPr>
            </w:pPr>
            <w:r>
              <w:rPr>
                <w:rFonts w:ascii="Arial" w:cs="Arial" w:eastAsia="Arial" w:hAnsi="Arial"/>
                <w:sz w:val="16"/>
                <w:szCs w:val="16"/>
                <w:color w:val="auto"/>
              </w:rPr>
              <w:t>53</w:t>
            </w:r>
          </w:p>
        </w:tc>
        <w:tc>
          <w:tcPr>
            <w:tcW w:w="300" w:type="dxa"/>
            <w:vAlign w:val="bottom"/>
            <w:tcBorders>
              <w:bottom w:val="single" w:sz="8" w:color="auto"/>
            </w:tcBorders>
          </w:tcPr>
          <w:p>
            <w:pPr>
              <w:jc w:val="right"/>
              <w:ind w:right="39"/>
              <w:spacing w:after="0" w:line="176" w:lineRule="exact"/>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tcPr>
          <w:p>
            <w:pPr>
              <w:jc w:val="right"/>
              <w:ind w:right="42"/>
              <w:spacing w:after="0" w:line="176" w:lineRule="exact"/>
              <w:rPr>
                <w:sz w:val="20"/>
                <w:szCs w:val="20"/>
                <w:color w:val="auto"/>
              </w:rPr>
            </w:pPr>
            <w:r>
              <w:rPr>
                <w:rFonts w:ascii="Arial" w:cs="Arial" w:eastAsia="Arial" w:hAnsi="Arial"/>
                <w:sz w:val="16"/>
                <w:szCs w:val="16"/>
                <w:color w:val="auto"/>
              </w:rPr>
              <w:t>35</w:t>
            </w:r>
          </w:p>
        </w:tc>
        <w:tc>
          <w:tcPr>
            <w:tcW w:w="280" w:type="dxa"/>
            <w:vAlign w:val="bottom"/>
            <w:tcBorders>
              <w:bottom w:val="single" w:sz="8" w:color="auto"/>
            </w:tcBorders>
          </w:tcPr>
          <w:p>
            <w:pPr>
              <w:jc w:val="right"/>
              <w:ind w:right="39"/>
              <w:spacing w:after="0" w:line="176" w:lineRule="exact"/>
              <w:rPr>
                <w:sz w:val="20"/>
                <w:szCs w:val="20"/>
                <w:color w:val="auto"/>
              </w:rPr>
            </w:pPr>
            <w:r>
              <w:rPr>
                <w:rFonts w:ascii="Arial" w:cs="Arial" w:eastAsia="Arial" w:hAnsi="Arial"/>
                <w:sz w:val="16"/>
                <w:szCs w:val="16"/>
                <w:color w:val="auto"/>
              </w:rPr>
              <w:t>$</w:t>
            </w:r>
          </w:p>
        </w:tc>
        <w:tc>
          <w:tcPr>
            <w:tcW w:w="1280" w:type="dxa"/>
            <w:vAlign w:val="bottom"/>
            <w:tcBorders>
              <w:bottom w:val="single" w:sz="8" w:color="auto"/>
            </w:tcBorders>
          </w:tcPr>
          <w:p>
            <w:pPr>
              <w:jc w:val="right"/>
              <w:ind w:right="2"/>
              <w:spacing w:after="0" w:line="176" w:lineRule="exact"/>
              <w:rPr>
                <w:sz w:val="20"/>
                <w:szCs w:val="20"/>
                <w:color w:val="auto"/>
              </w:rPr>
            </w:pPr>
            <w:r>
              <w:rPr>
                <w:rFonts w:ascii="Arial" w:cs="Arial" w:eastAsia="Arial" w:hAnsi="Arial"/>
                <w:sz w:val="16"/>
                <w:szCs w:val="16"/>
                <w:color w:val="auto"/>
              </w:rPr>
              <w:t>(57)</w:t>
            </w:r>
          </w:p>
        </w:tc>
        <w:tc>
          <w:tcPr>
            <w:tcW w:w="320" w:type="dxa"/>
            <w:vAlign w:val="bottom"/>
            <w:tcBorders>
              <w:bottom w:val="single" w:sz="8" w:color="auto"/>
            </w:tcBorders>
          </w:tcPr>
          <w:p>
            <w:pPr>
              <w:jc w:val="right"/>
              <w:ind w:right="79"/>
              <w:spacing w:after="0" w:line="176" w:lineRule="exact"/>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6"/>
                <w:szCs w:val="16"/>
                <w:color w:val="auto"/>
              </w:rPr>
              <w:t>(67)</w:t>
            </w:r>
          </w:p>
        </w:tc>
        <w:tc>
          <w:tcPr>
            <w:tcW w:w="20" w:type="dxa"/>
            <w:vAlign w:val="bottom"/>
          </w:tcPr>
          <w:p>
            <w:pPr>
              <w:spacing w:after="0"/>
              <w:rPr>
                <w:sz w:val="15"/>
                <w:szCs w:val="15"/>
                <w:color w:val="auto"/>
              </w:rPr>
            </w:pPr>
          </w:p>
        </w:tc>
      </w:tr>
      <w:tr>
        <w:trPr>
          <w:trHeight w:val="164"/>
        </w:trPr>
        <w:tc>
          <w:tcPr>
            <w:tcW w:w="20" w:type="dxa"/>
            <w:vAlign w:val="bottom"/>
          </w:tcPr>
          <w:p>
            <w:pPr>
              <w:spacing w:after="0"/>
              <w:rPr>
                <w:sz w:val="14"/>
                <w:szCs w:val="14"/>
                <w:color w:val="auto"/>
              </w:rPr>
            </w:pPr>
          </w:p>
        </w:tc>
        <w:tc>
          <w:tcPr>
            <w:tcW w:w="5180" w:type="dxa"/>
            <w:vAlign w:val="bottom"/>
          </w:tcPr>
          <w:p>
            <w:pPr>
              <w:spacing w:after="0" w:line="164" w:lineRule="exact"/>
              <w:rPr>
                <w:sz w:val="20"/>
                <w:szCs w:val="20"/>
                <w:color w:val="auto"/>
              </w:rPr>
            </w:pPr>
            <w:r>
              <w:rPr>
                <w:rFonts w:ascii="Arial" w:cs="Arial" w:eastAsia="Arial" w:hAnsi="Arial"/>
                <w:sz w:val="16"/>
                <w:szCs w:val="16"/>
                <w:b w:val="1"/>
                <w:bCs w:val="1"/>
                <w:color w:val="auto"/>
              </w:rPr>
              <w:t>SDG&amp;E:</w:t>
            </w:r>
          </w:p>
        </w:tc>
        <w:tc>
          <w:tcPr>
            <w:tcW w:w="3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76"/>
        </w:trPr>
        <w:tc>
          <w:tcPr>
            <w:tcW w:w="20" w:type="dxa"/>
            <w:vAlign w:val="bottom"/>
          </w:tcPr>
          <w:p>
            <w:pPr>
              <w:spacing w:after="0"/>
              <w:rPr>
                <w:sz w:val="15"/>
                <w:szCs w:val="15"/>
                <w:color w:val="auto"/>
              </w:rPr>
            </w:pPr>
          </w:p>
        </w:tc>
        <w:tc>
          <w:tcPr>
            <w:tcW w:w="5180" w:type="dxa"/>
            <w:vAlign w:val="bottom"/>
          </w:tcPr>
          <w:p>
            <w:pPr>
              <w:ind w:left="160"/>
              <w:spacing w:after="0" w:line="176" w:lineRule="exact"/>
              <w:rPr>
                <w:sz w:val="20"/>
                <w:szCs w:val="20"/>
                <w:color w:val="auto"/>
              </w:rPr>
            </w:pPr>
            <w:r>
              <w:rPr>
                <w:rFonts w:ascii="Arial" w:cs="Arial" w:eastAsia="Arial" w:hAnsi="Arial"/>
                <w:sz w:val="16"/>
                <w:szCs w:val="16"/>
                <w:color w:val="auto"/>
              </w:rPr>
              <w:t>Commodity contracts not subject to rate recovery</w:t>
            </w:r>
          </w:p>
        </w:tc>
        <w:tc>
          <w:tcPr>
            <w:tcW w:w="360" w:type="dxa"/>
            <w:vAlign w:val="bottom"/>
          </w:tcPr>
          <w:p>
            <w:pPr>
              <w:jc w:val="right"/>
              <w:ind w:right="19"/>
              <w:spacing w:after="0" w:line="176" w:lineRule="exact"/>
              <w:rPr>
                <w:sz w:val="20"/>
                <w:szCs w:val="20"/>
                <w:color w:val="auto"/>
              </w:rPr>
            </w:pPr>
            <w:r>
              <w:rPr>
                <w:rFonts w:ascii="Arial" w:cs="Arial" w:eastAsia="Arial" w:hAnsi="Arial"/>
                <w:sz w:val="16"/>
                <w:szCs w:val="16"/>
                <w:color w:val="auto"/>
              </w:rPr>
              <w:t>$</w:t>
            </w:r>
          </w:p>
        </w:tc>
        <w:tc>
          <w:tcPr>
            <w:tcW w:w="1260" w:type="dxa"/>
            <w:vAlign w:val="bottom"/>
          </w:tcPr>
          <w:p>
            <w:pPr>
              <w:jc w:val="right"/>
              <w:ind w:right="42"/>
              <w:spacing w:after="0" w:line="176" w:lineRule="exact"/>
              <w:rPr>
                <w:sz w:val="20"/>
                <w:szCs w:val="20"/>
                <w:color w:val="auto"/>
              </w:rPr>
            </w:pPr>
            <w:r>
              <w:rPr>
                <w:rFonts w:ascii="Arial" w:cs="Arial" w:eastAsia="Arial" w:hAnsi="Arial"/>
                <w:sz w:val="16"/>
                <w:szCs w:val="16"/>
                <w:color w:val="auto"/>
              </w:rPr>
              <w:t>1</w:t>
            </w:r>
          </w:p>
        </w:tc>
        <w:tc>
          <w:tcPr>
            <w:tcW w:w="300" w:type="dxa"/>
            <w:vAlign w:val="bottom"/>
          </w:tcPr>
          <w:p>
            <w:pPr>
              <w:jc w:val="right"/>
              <w:ind w:right="39"/>
              <w:spacing w:after="0" w:line="176" w:lineRule="exact"/>
              <w:rPr>
                <w:sz w:val="20"/>
                <w:szCs w:val="20"/>
                <w:color w:val="auto"/>
              </w:rPr>
            </w:pPr>
            <w:r>
              <w:rPr>
                <w:rFonts w:ascii="Arial" w:cs="Arial" w:eastAsia="Arial" w:hAnsi="Arial"/>
                <w:sz w:val="16"/>
                <w:szCs w:val="16"/>
                <w:color w:val="auto"/>
              </w:rPr>
              <w:t>$</w:t>
            </w:r>
          </w:p>
        </w:tc>
        <w:tc>
          <w:tcPr>
            <w:tcW w:w="1240" w:type="dxa"/>
            <w:vAlign w:val="bottom"/>
          </w:tcPr>
          <w:p>
            <w:pPr>
              <w:jc w:val="right"/>
              <w:ind w:right="42"/>
              <w:spacing w:after="0" w:line="176" w:lineRule="exact"/>
              <w:rPr>
                <w:sz w:val="20"/>
                <w:szCs w:val="20"/>
                <w:color w:val="auto"/>
              </w:rPr>
            </w:pPr>
            <w:r>
              <w:rPr>
                <w:rFonts w:ascii="Arial" w:cs="Arial" w:eastAsia="Arial" w:hAnsi="Arial"/>
                <w:sz w:val="16"/>
                <w:szCs w:val="16"/>
                <w:color w:val="auto"/>
              </w:rPr>
              <w:t>―</w:t>
            </w:r>
          </w:p>
        </w:tc>
        <w:tc>
          <w:tcPr>
            <w:tcW w:w="280" w:type="dxa"/>
            <w:vAlign w:val="bottom"/>
          </w:tcPr>
          <w:p>
            <w:pPr>
              <w:jc w:val="right"/>
              <w:ind w:right="39"/>
              <w:spacing w:after="0" w:line="176" w:lineRule="exact"/>
              <w:rPr>
                <w:sz w:val="20"/>
                <w:szCs w:val="20"/>
                <w:color w:val="auto"/>
              </w:rPr>
            </w:pPr>
            <w:r>
              <w:rPr>
                <w:rFonts w:ascii="Arial" w:cs="Arial" w:eastAsia="Arial" w:hAnsi="Arial"/>
                <w:sz w:val="16"/>
                <w:szCs w:val="16"/>
                <w:color w:val="auto"/>
              </w:rPr>
              <w:t>$</w:t>
            </w:r>
          </w:p>
        </w:tc>
        <w:tc>
          <w:tcPr>
            <w:tcW w:w="1280" w:type="dxa"/>
            <w:vAlign w:val="bottom"/>
          </w:tcPr>
          <w:p>
            <w:pPr>
              <w:jc w:val="right"/>
              <w:ind w:right="42"/>
              <w:spacing w:after="0" w:line="176" w:lineRule="exact"/>
              <w:rPr>
                <w:sz w:val="20"/>
                <w:szCs w:val="20"/>
                <w:color w:val="auto"/>
              </w:rPr>
            </w:pPr>
            <w:r>
              <w:rPr>
                <w:rFonts w:ascii="Arial" w:cs="Arial" w:eastAsia="Arial" w:hAnsi="Arial"/>
                <w:sz w:val="16"/>
                <w:szCs w:val="16"/>
                <w:color w:val="auto"/>
              </w:rPr>
              <w:t>―</w:t>
            </w:r>
          </w:p>
        </w:tc>
        <w:tc>
          <w:tcPr>
            <w:tcW w:w="320" w:type="dxa"/>
            <w:vAlign w:val="bottom"/>
          </w:tcPr>
          <w:p>
            <w:pPr>
              <w:jc w:val="right"/>
              <w:ind w:right="79"/>
              <w:spacing w:after="0" w:line="176" w:lineRule="exact"/>
              <w:rPr>
                <w:sz w:val="20"/>
                <w:szCs w:val="20"/>
                <w:color w:val="auto"/>
              </w:rPr>
            </w:pPr>
            <w:r>
              <w:rPr>
                <w:rFonts w:ascii="Arial" w:cs="Arial" w:eastAsia="Arial" w:hAnsi="Arial"/>
                <w:sz w:val="16"/>
                <w:szCs w:val="16"/>
                <w:color w:val="auto"/>
              </w:rPr>
              <w:t>$</w:t>
            </w:r>
          </w:p>
        </w:tc>
        <w:tc>
          <w:tcPr>
            <w:tcW w:w="1200" w:type="dxa"/>
            <w:vAlign w:val="bottom"/>
            <w:gridSpan w:val="2"/>
          </w:tcPr>
          <w:p>
            <w:pPr>
              <w:jc w:val="right"/>
              <w:ind w:right="60"/>
              <w:spacing w:after="0" w:line="176" w:lineRule="exact"/>
              <w:rPr>
                <w:sz w:val="20"/>
                <w:szCs w:val="20"/>
                <w:color w:val="auto"/>
              </w:rPr>
            </w:pPr>
            <w:r>
              <w:rPr>
                <w:rFonts w:ascii="Arial" w:cs="Arial" w:eastAsia="Arial" w:hAnsi="Arial"/>
                <w:sz w:val="16"/>
                <w:szCs w:val="16"/>
                <w:color w:val="auto"/>
              </w:rPr>
              <w:t>―</w:t>
            </w:r>
          </w:p>
        </w:tc>
      </w:tr>
      <w:tr>
        <w:trPr>
          <w:trHeight w:val="176"/>
        </w:trPr>
        <w:tc>
          <w:tcPr>
            <w:tcW w:w="20" w:type="dxa"/>
            <w:vAlign w:val="bottom"/>
          </w:tcPr>
          <w:p>
            <w:pPr>
              <w:spacing w:after="0"/>
              <w:rPr>
                <w:sz w:val="15"/>
                <w:szCs w:val="15"/>
                <w:color w:val="auto"/>
              </w:rPr>
            </w:pPr>
          </w:p>
        </w:tc>
        <w:tc>
          <w:tcPr>
            <w:tcW w:w="5180" w:type="dxa"/>
            <w:vAlign w:val="bottom"/>
          </w:tcPr>
          <w:p>
            <w:pPr>
              <w:ind w:left="160"/>
              <w:spacing w:after="0" w:line="176" w:lineRule="exact"/>
              <w:rPr>
                <w:sz w:val="20"/>
                <w:szCs w:val="20"/>
                <w:color w:val="auto"/>
              </w:rPr>
            </w:pPr>
            <w:r>
              <w:rPr>
                <w:rFonts w:ascii="Arial" w:cs="Arial" w:eastAsia="Arial" w:hAnsi="Arial"/>
                <w:sz w:val="16"/>
                <w:szCs w:val="16"/>
                <w:color w:val="auto"/>
              </w:rPr>
              <w:t>Commodity contracts subject to rate recovery</w:t>
            </w:r>
          </w:p>
        </w:tc>
        <w:tc>
          <w:tcPr>
            <w:tcW w:w="360" w:type="dxa"/>
            <w:vAlign w:val="bottom"/>
          </w:tcPr>
          <w:p>
            <w:pPr>
              <w:spacing w:after="0"/>
              <w:rPr>
                <w:sz w:val="15"/>
                <w:szCs w:val="15"/>
                <w:color w:val="auto"/>
              </w:rPr>
            </w:pPr>
          </w:p>
        </w:tc>
        <w:tc>
          <w:tcPr>
            <w:tcW w:w="1260" w:type="dxa"/>
            <w:vAlign w:val="bottom"/>
          </w:tcPr>
          <w:p>
            <w:pPr>
              <w:jc w:val="right"/>
              <w:ind w:right="42"/>
              <w:spacing w:after="0" w:line="176" w:lineRule="exact"/>
              <w:rPr>
                <w:sz w:val="20"/>
                <w:szCs w:val="20"/>
                <w:color w:val="auto"/>
              </w:rPr>
            </w:pPr>
            <w:r>
              <w:rPr>
                <w:rFonts w:ascii="Arial" w:cs="Arial" w:eastAsia="Arial" w:hAnsi="Arial"/>
                <w:sz w:val="16"/>
                <w:szCs w:val="16"/>
                <w:color w:val="auto"/>
              </w:rPr>
              <w:t>5</w:t>
            </w:r>
          </w:p>
        </w:tc>
        <w:tc>
          <w:tcPr>
            <w:tcW w:w="300" w:type="dxa"/>
            <w:vAlign w:val="bottom"/>
          </w:tcPr>
          <w:p>
            <w:pPr>
              <w:spacing w:after="0"/>
              <w:rPr>
                <w:sz w:val="15"/>
                <w:szCs w:val="15"/>
                <w:color w:val="auto"/>
              </w:rPr>
            </w:pPr>
          </w:p>
        </w:tc>
        <w:tc>
          <w:tcPr>
            <w:tcW w:w="1240" w:type="dxa"/>
            <w:vAlign w:val="bottom"/>
          </w:tcPr>
          <w:p>
            <w:pPr>
              <w:jc w:val="right"/>
              <w:ind w:right="42"/>
              <w:spacing w:after="0" w:line="176" w:lineRule="exact"/>
              <w:rPr>
                <w:sz w:val="20"/>
                <w:szCs w:val="20"/>
                <w:color w:val="auto"/>
              </w:rPr>
            </w:pPr>
            <w:r>
              <w:rPr>
                <w:rFonts w:ascii="Arial" w:cs="Arial" w:eastAsia="Arial" w:hAnsi="Arial"/>
                <w:sz w:val="16"/>
                <w:szCs w:val="16"/>
                <w:color w:val="auto"/>
              </w:rPr>
              <w:t>2</w:t>
            </w:r>
          </w:p>
        </w:tc>
        <w:tc>
          <w:tcPr>
            <w:tcW w:w="280" w:type="dxa"/>
            <w:vAlign w:val="bottom"/>
          </w:tcPr>
          <w:p>
            <w:pPr>
              <w:spacing w:after="0"/>
              <w:rPr>
                <w:sz w:val="15"/>
                <w:szCs w:val="15"/>
                <w:color w:val="auto"/>
              </w:rPr>
            </w:pPr>
          </w:p>
        </w:tc>
        <w:tc>
          <w:tcPr>
            <w:tcW w:w="1280" w:type="dxa"/>
            <w:vAlign w:val="bottom"/>
          </w:tcPr>
          <w:p>
            <w:pPr>
              <w:jc w:val="right"/>
              <w:ind w:right="2"/>
              <w:spacing w:after="0" w:line="176" w:lineRule="exact"/>
              <w:rPr>
                <w:sz w:val="20"/>
                <w:szCs w:val="20"/>
                <w:color w:val="auto"/>
              </w:rPr>
            </w:pPr>
            <w:r>
              <w:rPr>
                <w:rFonts w:ascii="Arial" w:cs="Arial" w:eastAsia="Arial" w:hAnsi="Arial"/>
                <w:sz w:val="16"/>
                <w:szCs w:val="16"/>
                <w:color w:val="auto"/>
              </w:rPr>
              <w:t>(25)</w:t>
            </w:r>
          </w:p>
        </w:tc>
        <w:tc>
          <w:tcPr>
            <w:tcW w:w="320" w:type="dxa"/>
            <w:vAlign w:val="bottom"/>
          </w:tcPr>
          <w:p>
            <w:pPr>
              <w:spacing w:after="0"/>
              <w:rPr>
                <w:sz w:val="15"/>
                <w:szCs w:val="15"/>
                <w:color w:val="auto"/>
              </w:rPr>
            </w:pPr>
          </w:p>
        </w:tc>
        <w:tc>
          <w:tcPr>
            <w:tcW w:w="1200" w:type="dxa"/>
            <w:vAlign w:val="bottom"/>
            <w:gridSpan w:val="2"/>
          </w:tcPr>
          <w:p>
            <w:pPr>
              <w:jc w:val="right"/>
              <w:ind w:right="20"/>
              <w:spacing w:after="0" w:line="176" w:lineRule="exact"/>
              <w:rPr>
                <w:sz w:val="20"/>
                <w:szCs w:val="20"/>
                <w:color w:val="auto"/>
              </w:rPr>
            </w:pPr>
            <w:r>
              <w:rPr>
                <w:rFonts w:ascii="Arial" w:cs="Arial" w:eastAsia="Arial" w:hAnsi="Arial"/>
                <w:sz w:val="16"/>
                <w:szCs w:val="16"/>
                <w:color w:val="auto"/>
              </w:rPr>
              <w:t>(23)</w:t>
            </w:r>
          </w:p>
        </w:tc>
      </w:tr>
      <w:tr>
        <w:trPr>
          <w:trHeight w:val="194"/>
        </w:trPr>
        <w:tc>
          <w:tcPr>
            <w:tcW w:w="20" w:type="dxa"/>
            <w:vAlign w:val="bottom"/>
          </w:tcPr>
          <w:p>
            <w:pPr>
              <w:spacing w:after="0"/>
              <w:rPr>
                <w:sz w:val="16"/>
                <w:szCs w:val="16"/>
                <w:color w:val="auto"/>
              </w:rPr>
            </w:pPr>
          </w:p>
        </w:tc>
        <w:tc>
          <w:tcPr>
            <w:tcW w:w="5180" w:type="dxa"/>
            <w:vAlign w:val="bottom"/>
          </w:tcPr>
          <w:p>
            <w:pPr>
              <w:ind w:left="340"/>
              <w:spacing w:after="0"/>
              <w:rPr>
                <w:sz w:val="20"/>
                <w:szCs w:val="20"/>
                <w:color w:val="auto"/>
              </w:rPr>
            </w:pPr>
            <w:r>
              <w:rPr>
                <w:rFonts w:ascii="Arial" w:cs="Arial" w:eastAsia="Arial" w:hAnsi="Arial"/>
                <w:sz w:val="16"/>
                <w:szCs w:val="16"/>
                <w:color w:val="auto"/>
              </w:rPr>
              <w:t>Associated offsetting commodity contracts</w:t>
            </w:r>
          </w:p>
        </w:tc>
        <w:tc>
          <w:tcPr>
            <w:tcW w:w="36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(3)</w:t>
            </w:r>
          </w:p>
        </w:tc>
        <w:tc>
          <w:tcPr>
            <w:tcW w:w="3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(1)</w:t>
            </w:r>
          </w:p>
        </w:tc>
        <w:tc>
          <w:tcPr>
            <w:tcW w:w="2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color w:val="auto"/>
              </w:rPr>
              <w:t>3</w:t>
            </w:r>
          </w:p>
        </w:tc>
        <w:tc>
          <w:tcPr>
            <w:tcW w:w="32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20" w:type="dxa"/>
            <w:vAlign w:val="bottom"/>
          </w:tcPr>
          <w:p>
            <w:pPr>
              <w:spacing w:after="0"/>
              <w:rPr>
                <w:sz w:val="16"/>
                <w:szCs w:val="16"/>
                <w:color w:val="auto"/>
              </w:rPr>
            </w:pPr>
          </w:p>
        </w:tc>
      </w:tr>
      <w:tr>
        <w:trPr>
          <w:trHeight w:val="183"/>
        </w:trPr>
        <w:tc>
          <w:tcPr>
            <w:tcW w:w="20" w:type="dxa"/>
            <w:vAlign w:val="bottom"/>
          </w:tcPr>
          <w:p>
            <w:pPr>
              <w:spacing w:after="0"/>
              <w:rPr>
                <w:sz w:val="15"/>
                <w:szCs w:val="15"/>
                <w:color w:val="auto"/>
              </w:rPr>
            </w:pPr>
          </w:p>
        </w:tc>
        <w:tc>
          <w:tcPr>
            <w:tcW w:w="5180" w:type="dxa"/>
            <w:vAlign w:val="bottom"/>
            <w:tcBorders>
              <w:bottom w:val="single" w:sz="8" w:color="auto"/>
            </w:tcBorders>
          </w:tcPr>
          <w:p>
            <w:pPr>
              <w:ind w:left="160"/>
              <w:spacing w:after="0" w:line="176" w:lineRule="exact"/>
              <w:rPr>
                <w:sz w:val="20"/>
                <w:szCs w:val="20"/>
                <w:color w:val="auto"/>
              </w:rPr>
            </w:pPr>
            <w:r>
              <w:rPr>
                <w:rFonts w:ascii="Arial" w:cs="Arial" w:eastAsia="Arial" w:hAnsi="Arial"/>
                <w:sz w:val="16"/>
                <w:szCs w:val="16"/>
                <w:color w:val="auto"/>
              </w:rPr>
              <w:t>Total</w:t>
            </w:r>
          </w:p>
        </w:tc>
        <w:tc>
          <w:tcPr>
            <w:tcW w:w="360" w:type="dxa"/>
            <w:vAlign w:val="bottom"/>
            <w:tcBorders>
              <w:bottom w:val="single" w:sz="8" w:color="auto"/>
            </w:tcBorders>
          </w:tcPr>
          <w:p>
            <w:pPr>
              <w:jc w:val="right"/>
              <w:ind w:right="19"/>
              <w:spacing w:after="0" w:line="176" w:lineRule="exact"/>
              <w:rPr>
                <w:sz w:val="20"/>
                <w:szCs w:val="20"/>
                <w:color w:val="auto"/>
              </w:rPr>
            </w:pPr>
            <w:r>
              <w:rPr>
                <w:rFonts w:ascii="Arial" w:cs="Arial" w:eastAsia="Arial" w:hAnsi="Arial"/>
                <w:sz w:val="16"/>
                <w:szCs w:val="16"/>
                <w:color w:val="auto"/>
              </w:rPr>
              <w:t>$</w:t>
            </w:r>
          </w:p>
        </w:tc>
        <w:tc>
          <w:tcPr>
            <w:tcW w:w="1260" w:type="dxa"/>
            <w:vAlign w:val="bottom"/>
            <w:tcBorders>
              <w:bottom w:val="single" w:sz="8" w:color="auto"/>
            </w:tcBorders>
          </w:tcPr>
          <w:p>
            <w:pPr>
              <w:jc w:val="right"/>
              <w:ind w:right="42"/>
              <w:spacing w:after="0" w:line="176" w:lineRule="exact"/>
              <w:rPr>
                <w:sz w:val="20"/>
                <w:szCs w:val="20"/>
                <w:color w:val="auto"/>
              </w:rPr>
            </w:pPr>
            <w:r>
              <w:rPr>
                <w:rFonts w:ascii="Arial" w:cs="Arial" w:eastAsia="Arial" w:hAnsi="Arial"/>
                <w:sz w:val="16"/>
                <w:szCs w:val="16"/>
                <w:color w:val="auto"/>
              </w:rPr>
              <w:t>3</w:t>
            </w:r>
          </w:p>
        </w:tc>
        <w:tc>
          <w:tcPr>
            <w:tcW w:w="300" w:type="dxa"/>
            <w:vAlign w:val="bottom"/>
            <w:tcBorders>
              <w:bottom w:val="single" w:sz="8" w:color="auto"/>
            </w:tcBorders>
          </w:tcPr>
          <w:p>
            <w:pPr>
              <w:jc w:val="right"/>
              <w:ind w:right="39"/>
              <w:spacing w:after="0" w:line="176" w:lineRule="exact"/>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tcPr>
          <w:p>
            <w:pPr>
              <w:jc w:val="right"/>
              <w:ind w:right="42"/>
              <w:spacing w:after="0" w:line="176" w:lineRule="exact"/>
              <w:rPr>
                <w:sz w:val="20"/>
                <w:szCs w:val="20"/>
                <w:color w:val="auto"/>
              </w:rPr>
            </w:pPr>
            <w:r>
              <w:rPr>
                <w:rFonts w:ascii="Arial" w:cs="Arial" w:eastAsia="Arial" w:hAnsi="Arial"/>
                <w:sz w:val="16"/>
                <w:szCs w:val="16"/>
                <w:color w:val="auto"/>
              </w:rPr>
              <w:t>1</w:t>
            </w:r>
          </w:p>
        </w:tc>
        <w:tc>
          <w:tcPr>
            <w:tcW w:w="280" w:type="dxa"/>
            <w:vAlign w:val="bottom"/>
            <w:tcBorders>
              <w:bottom w:val="single" w:sz="8" w:color="auto"/>
            </w:tcBorders>
          </w:tcPr>
          <w:p>
            <w:pPr>
              <w:jc w:val="right"/>
              <w:ind w:right="39"/>
              <w:spacing w:after="0" w:line="176" w:lineRule="exact"/>
              <w:rPr>
                <w:sz w:val="20"/>
                <w:szCs w:val="20"/>
                <w:color w:val="auto"/>
              </w:rPr>
            </w:pPr>
            <w:r>
              <w:rPr>
                <w:rFonts w:ascii="Arial" w:cs="Arial" w:eastAsia="Arial" w:hAnsi="Arial"/>
                <w:sz w:val="16"/>
                <w:szCs w:val="16"/>
                <w:color w:val="auto"/>
              </w:rPr>
              <w:t>$</w:t>
            </w:r>
          </w:p>
        </w:tc>
        <w:tc>
          <w:tcPr>
            <w:tcW w:w="1280" w:type="dxa"/>
            <w:vAlign w:val="bottom"/>
            <w:tcBorders>
              <w:bottom w:val="single" w:sz="8" w:color="auto"/>
            </w:tcBorders>
          </w:tcPr>
          <w:p>
            <w:pPr>
              <w:jc w:val="right"/>
              <w:ind w:right="2"/>
              <w:spacing w:after="0" w:line="176" w:lineRule="exact"/>
              <w:rPr>
                <w:sz w:val="20"/>
                <w:szCs w:val="20"/>
                <w:color w:val="auto"/>
              </w:rPr>
            </w:pPr>
            <w:r>
              <w:rPr>
                <w:rFonts w:ascii="Arial" w:cs="Arial" w:eastAsia="Arial" w:hAnsi="Arial"/>
                <w:sz w:val="16"/>
                <w:szCs w:val="16"/>
                <w:color w:val="auto"/>
              </w:rPr>
              <w:t>(22)</w:t>
            </w:r>
          </w:p>
        </w:tc>
        <w:tc>
          <w:tcPr>
            <w:tcW w:w="320" w:type="dxa"/>
            <w:vAlign w:val="bottom"/>
            <w:tcBorders>
              <w:bottom w:val="single" w:sz="8" w:color="auto"/>
            </w:tcBorders>
          </w:tcPr>
          <w:p>
            <w:pPr>
              <w:jc w:val="right"/>
              <w:ind w:right="79"/>
              <w:spacing w:after="0" w:line="176" w:lineRule="exact"/>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6"/>
                <w:szCs w:val="16"/>
                <w:color w:val="auto"/>
              </w:rPr>
              <w:t>(22)</w:t>
            </w:r>
          </w:p>
        </w:tc>
        <w:tc>
          <w:tcPr>
            <w:tcW w:w="20" w:type="dxa"/>
            <w:vAlign w:val="bottom"/>
          </w:tcPr>
          <w:p>
            <w:pPr>
              <w:spacing w:after="0"/>
              <w:rPr>
                <w:sz w:val="15"/>
                <w:szCs w:val="15"/>
                <w:color w:val="auto"/>
              </w:rPr>
            </w:pPr>
          </w:p>
        </w:tc>
      </w:tr>
      <w:tr>
        <w:trPr>
          <w:trHeight w:val="164"/>
        </w:trPr>
        <w:tc>
          <w:tcPr>
            <w:tcW w:w="20" w:type="dxa"/>
            <w:vAlign w:val="bottom"/>
          </w:tcPr>
          <w:p>
            <w:pPr>
              <w:spacing w:after="0"/>
              <w:rPr>
                <w:sz w:val="14"/>
                <w:szCs w:val="14"/>
                <w:color w:val="auto"/>
              </w:rPr>
            </w:pPr>
          </w:p>
        </w:tc>
        <w:tc>
          <w:tcPr>
            <w:tcW w:w="5180" w:type="dxa"/>
            <w:vAlign w:val="bottom"/>
          </w:tcPr>
          <w:p>
            <w:pPr>
              <w:spacing w:after="0" w:line="164" w:lineRule="exact"/>
              <w:rPr>
                <w:sz w:val="20"/>
                <w:szCs w:val="20"/>
                <w:color w:val="auto"/>
              </w:rPr>
            </w:pPr>
            <w:r>
              <w:rPr>
                <w:rFonts w:ascii="Arial" w:cs="Arial" w:eastAsia="Arial" w:hAnsi="Arial"/>
                <w:sz w:val="16"/>
                <w:szCs w:val="16"/>
                <w:b w:val="1"/>
                <w:bCs w:val="1"/>
                <w:color w:val="auto"/>
              </w:rPr>
              <w:t>SoCalGas:</w:t>
            </w:r>
          </w:p>
        </w:tc>
        <w:tc>
          <w:tcPr>
            <w:tcW w:w="3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2"/>
        </w:trPr>
        <w:tc>
          <w:tcPr>
            <w:tcW w:w="20" w:type="dxa"/>
            <w:vAlign w:val="bottom"/>
          </w:tcPr>
          <w:p>
            <w:pPr>
              <w:spacing w:after="0"/>
              <w:rPr>
                <w:sz w:val="17"/>
                <w:szCs w:val="17"/>
                <w:color w:val="auto"/>
              </w:rPr>
            </w:pPr>
          </w:p>
        </w:tc>
        <w:tc>
          <w:tcPr>
            <w:tcW w:w="5180" w:type="dxa"/>
            <w:vAlign w:val="bottom"/>
          </w:tcPr>
          <w:p>
            <w:pPr>
              <w:ind w:left="160"/>
              <w:spacing w:after="0"/>
              <w:rPr>
                <w:sz w:val="20"/>
                <w:szCs w:val="20"/>
                <w:color w:val="auto"/>
              </w:rPr>
            </w:pPr>
            <w:r>
              <w:rPr>
                <w:rFonts w:ascii="Arial" w:cs="Arial" w:eastAsia="Arial" w:hAnsi="Arial"/>
                <w:sz w:val="16"/>
                <w:szCs w:val="16"/>
                <w:color w:val="auto"/>
              </w:rPr>
              <w:t>Commodity contracts not subject to rate recovery</w:t>
            </w:r>
          </w:p>
        </w:tc>
        <w:tc>
          <w:tcPr>
            <w:tcW w:w="3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260" w:type="dxa"/>
            <w:vAlign w:val="bottom"/>
          </w:tcPr>
          <w:p>
            <w:pPr>
              <w:jc w:val="right"/>
              <w:ind w:right="42"/>
              <w:spacing w:after="0"/>
              <w:rPr>
                <w:sz w:val="20"/>
                <w:szCs w:val="20"/>
                <w:color w:val="auto"/>
              </w:rPr>
            </w:pPr>
            <w:r>
              <w:rPr>
                <w:rFonts w:ascii="Arial" w:cs="Arial" w:eastAsia="Arial" w:hAnsi="Arial"/>
                <w:sz w:val="14"/>
                <w:szCs w:val="14"/>
                <w:color w:val="auto"/>
              </w:rPr>
              <w:t>1</w:t>
            </w:r>
          </w:p>
        </w:tc>
        <w:tc>
          <w:tcPr>
            <w:tcW w:w="30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42"/>
              <w:spacing w:after="0"/>
              <w:rPr>
                <w:sz w:val="20"/>
                <w:szCs w:val="20"/>
                <w:color w:val="auto"/>
              </w:rPr>
            </w:pPr>
            <w:r>
              <w:rPr>
                <w:rFonts w:ascii="Arial" w:cs="Arial" w:eastAsia="Arial" w:hAnsi="Arial"/>
                <w:sz w:val="14"/>
                <w:szCs w:val="14"/>
                <w:color w:val="auto"/>
              </w:rPr>
              <w:t>―</w:t>
            </w:r>
          </w:p>
        </w:tc>
        <w:tc>
          <w:tcPr>
            <w:tcW w:w="2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280" w:type="dxa"/>
            <w:vAlign w:val="bottom"/>
          </w:tcPr>
          <w:p>
            <w:pPr>
              <w:jc w:val="right"/>
              <w:ind w:right="42"/>
              <w:spacing w:after="0"/>
              <w:rPr>
                <w:sz w:val="20"/>
                <w:szCs w:val="20"/>
                <w:color w:val="auto"/>
              </w:rPr>
            </w:pPr>
            <w:r>
              <w:rPr>
                <w:rFonts w:ascii="Arial" w:cs="Arial" w:eastAsia="Arial" w:hAnsi="Arial"/>
                <w:sz w:val="14"/>
                <w:szCs w:val="14"/>
                <w:color w:val="auto"/>
              </w:rPr>
              <w:t>―</w:t>
            </w:r>
          </w:p>
        </w:tc>
        <w:tc>
          <w:tcPr>
            <w:tcW w:w="32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20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r>
      <w:tr>
        <w:trPr>
          <w:trHeight w:val="176"/>
        </w:trPr>
        <w:tc>
          <w:tcPr>
            <w:tcW w:w="20" w:type="dxa"/>
            <w:vAlign w:val="bottom"/>
          </w:tcPr>
          <w:p>
            <w:pPr>
              <w:spacing w:after="0"/>
              <w:rPr>
                <w:sz w:val="15"/>
                <w:szCs w:val="15"/>
                <w:color w:val="auto"/>
              </w:rPr>
            </w:pPr>
          </w:p>
        </w:tc>
        <w:tc>
          <w:tcPr>
            <w:tcW w:w="5180" w:type="dxa"/>
            <w:vAlign w:val="bottom"/>
          </w:tcPr>
          <w:p>
            <w:pPr>
              <w:ind w:left="160"/>
              <w:spacing w:after="0" w:line="176" w:lineRule="exact"/>
              <w:rPr>
                <w:sz w:val="20"/>
                <w:szCs w:val="20"/>
                <w:color w:val="auto"/>
              </w:rPr>
            </w:pPr>
            <w:r>
              <w:rPr>
                <w:rFonts w:ascii="Arial" w:cs="Arial" w:eastAsia="Arial" w:hAnsi="Arial"/>
                <w:sz w:val="16"/>
                <w:szCs w:val="16"/>
                <w:color w:val="auto"/>
              </w:rPr>
              <w:t>Commodity contracts subject to rate recovery</w:t>
            </w:r>
          </w:p>
        </w:tc>
        <w:tc>
          <w:tcPr>
            <w:tcW w:w="360" w:type="dxa"/>
            <w:vAlign w:val="bottom"/>
          </w:tcPr>
          <w:p>
            <w:pPr>
              <w:spacing w:after="0"/>
              <w:rPr>
                <w:sz w:val="15"/>
                <w:szCs w:val="15"/>
                <w:color w:val="auto"/>
              </w:rPr>
            </w:pPr>
          </w:p>
        </w:tc>
        <w:tc>
          <w:tcPr>
            <w:tcW w:w="1260" w:type="dxa"/>
            <w:vAlign w:val="bottom"/>
          </w:tcPr>
          <w:p>
            <w:pPr>
              <w:jc w:val="right"/>
              <w:ind w:right="42"/>
              <w:spacing w:after="0" w:line="176" w:lineRule="exact"/>
              <w:rPr>
                <w:sz w:val="20"/>
                <w:szCs w:val="20"/>
                <w:color w:val="auto"/>
              </w:rPr>
            </w:pPr>
            <w:r>
              <w:rPr>
                <w:rFonts w:ascii="Arial" w:cs="Arial" w:eastAsia="Arial" w:hAnsi="Arial"/>
                <w:sz w:val="16"/>
                <w:szCs w:val="16"/>
                <w:color w:val="auto"/>
              </w:rPr>
              <w:t>4</w:t>
            </w:r>
          </w:p>
        </w:tc>
        <w:tc>
          <w:tcPr>
            <w:tcW w:w="300" w:type="dxa"/>
            <w:vAlign w:val="bottom"/>
          </w:tcPr>
          <w:p>
            <w:pPr>
              <w:spacing w:after="0"/>
              <w:rPr>
                <w:sz w:val="15"/>
                <w:szCs w:val="15"/>
                <w:color w:val="auto"/>
              </w:rPr>
            </w:pPr>
          </w:p>
        </w:tc>
        <w:tc>
          <w:tcPr>
            <w:tcW w:w="1240" w:type="dxa"/>
            <w:vAlign w:val="bottom"/>
          </w:tcPr>
          <w:p>
            <w:pPr>
              <w:jc w:val="right"/>
              <w:ind w:right="42"/>
              <w:spacing w:after="0" w:line="176" w:lineRule="exact"/>
              <w:rPr>
                <w:sz w:val="20"/>
                <w:szCs w:val="20"/>
                <w:color w:val="auto"/>
              </w:rPr>
            </w:pPr>
            <w:r>
              <w:rPr>
                <w:rFonts w:ascii="Arial" w:cs="Arial" w:eastAsia="Arial" w:hAnsi="Arial"/>
                <w:sz w:val="16"/>
                <w:szCs w:val="16"/>
                <w:color w:val="auto"/>
              </w:rPr>
              <w:t>―</w:t>
            </w:r>
          </w:p>
        </w:tc>
        <w:tc>
          <w:tcPr>
            <w:tcW w:w="280" w:type="dxa"/>
            <w:vAlign w:val="bottom"/>
          </w:tcPr>
          <w:p>
            <w:pPr>
              <w:spacing w:after="0"/>
              <w:rPr>
                <w:sz w:val="15"/>
                <w:szCs w:val="15"/>
                <w:color w:val="auto"/>
              </w:rPr>
            </w:pPr>
          </w:p>
        </w:tc>
        <w:tc>
          <w:tcPr>
            <w:tcW w:w="1280" w:type="dxa"/>
            <w:vAlign w:val="bottom"/>
          </w:tcPr>
          <w:p>
            <w:pPr>
              <w:jc w:val="right"/>
              <w:ind w:right="2"/>
              <w:spacing w:after="0" w:line="176" w:lineRule="exact"/>
              <w:rPr>
                <w:sz w:val="20"/>
                <w:szCs w:val="20"/>
                <w:color w:val="auto"/>
              </w:rPr>
            </w:pPr>
            <w:r>
              <w:rPr>
                <w:rFonts w:ascii="Arial" w:cs="Arial" w:eastAsia="Arial" w:hAnsi="Arial"/>
                <w:sz w:val="16"/>
                <w:szCs w:val="16"/>
                <w:color w:val="auto"/>
              </w:rPr>
              <w:t>(3)</w:t>
            </w:r>
          </w:p>
        </w:tc>
        <w:tc>
          <w:tcPr>
            <w:tcW w:w="320" w:type="dxa"/>
            <w:vAlign w:val="bottom"/>
          </w:tcPr>
          <w:p>
            <w:pPr>
              <w:spacing w:after="0"/>
              <w:rPr>
                <w:sz w:val="15"/>
                <w:szCs w:val="15"/>
                <w:color w:val="auto"/>
              </w:rPr>
            </w:pPr>
          </w:p>
        </w:tc>
        <w:tc>
          <w:tcPr>
            <w:tcW w:w="1200" w:type="dxa"/>
            <w:vAlign w:val="bottom"/>
            <w:gridSpan w:val="2"/>
          </w:tcPr>
          <w:p>
            <w:pPr>
              <w:jc w:val="right"/>
              <w:ind w:right="60"/>
              <w:spacing w:after="0" w:line="176" w:lineRule="exact"/>
              <w:rPr>
                <w:sz w:val="20"/>
                <w:szCs w:val="20"/>
                <w:color w:val="auto"/>
              </w:rPr>
            </w:pPr>
            <w:r>
              <w:rPr>
                <w:rFonts w:ascii="Arial" w:cs="Arial" w:eastAsia="Arial" w:hAnsi="Arial"/>
                <w:sz w:val="16"/>
                <w:szCs w:val="16"/>
                <w:color w:val="auto"/>
              </w:rPr>
              <w:t>―</w:t>
            </w:r>
          </w:p>
        </w:tc>
      </w:tr>
      <w:tr>
        <w:trPr>
          <w:trHeight w:val="194"/>
        </w:trPr>
        <w:tc>
          <w:tcPr>
            <w:tcW w:w="20" w:type="dxa"/>
            <w:vAlign w:val="bottom"/>
          </w:tcPr>
          <w:p>
            <w:pPr>
              <w:spacing w:after="0"/>
              <w:rPr>
                <w:sz w:val="16"/>
                <w:szCs w:val="16"/>
                <w:color w:val="auto"/>
              </w:rPr>
            </w:pPr>
          </w:p>
        </w:tc>
        <w:tc>
          <w:tcPr>
            <w:tcW w:w="5180" w:type="dxa"/>
            <w:vAlign w:val="bottom"/>
          </w:tcPr>
          <w:p>
            <w:pPr>
              <w:ind w:left="340"/>
              <w:spacing w:after="0"/>
              <w:rPr>
                <w:sz w:val="20"/>
                <w:szCs w:val="20"/>
                <w:color w:val="auto"/>
              </w:rPr>
            </w:pPr>
            <w:r>
              <w:rPr>
                <w:rFonts w:ascii="Arial" w:cs="Arial" w:eastAsia="Arial" w:hAnsi="Arial"/>
                <w:sz w:val="16"/>
                <w:szCs w:val="16"/>
                <w:color w:val="auto"/>
              </w:rPr>
              <w:t>Associated offsetting commodity contracts</w:t>
            </w:r>
          </w:p>
        </w:tc>
        <w:tc>
          <w:tcPr>
            <w:tcW w:w="360" w:type="dxa"/>
            <w:vAlign w:val="bottom"/>
          </w:tcPr>
          <w:p>
            <w:pPr>
              <w:spacing w:after="0"/>
              <w:rPr>
                <w:sz w:val="16"/>
                <w:szCs w:val="16"/>
                <w:color w:val="auto"/>
              </w:rPr>
            </w:pPr>
          </w:p>
        </w:tc>
        <w:tc>
          <w:tcPr>
            <w:tcW w:w="1260" w:type="dxa"/>
            <w:vAlign w:val="bottom"/>
          </w:tcPr>
          <w:p>
            <w:pPr>
              <w:jc w:val="right"/>
              <w:ind w:right="2"/>
              <w:spacing w:after="0"/>
              <w:rPr>
                <w:sz w:val="20"/>
                <w:szCs w:val="20"/>
                <w:color w:val="auto"/>
              </w:rPr>
            </w:pPr>
            <w:r>
              <w:rPr>
                <w:rFonts w:ascii="Arial" w:cs="Arial" w:eastAsia="Arial" w:hAnsi="Arial"/>
                <w:sz w:val="16"/>
                <w:szCs w:val="16"/>
                <w:color w:val="auto"/>
              </w:rPr>
              <w:t>(2)</w:t>
            </w:r>
          </w:p>
        </w:tc>
        <w:tc>
          <w:tcPr>
            <w:tcW w:w="300" w:type="dxa"/>
            <w:vAlign w:val="bottom"/>
          </w:tcPr>
          <w:p>
            <w:pPr>
              <w:spacing w:after="0"/>
              <w:rPr>
                <w:sz w:val="16"/>
                <w:szCs w:val="16"/>
                <w:color w:val="auto"/>
              </w:rPr>
            </w:pPr>
          </w:p>
        </w:tc>
        <w:tc>
          <w:tcPr>
            <w:tcW w:w="1240" w:type="dxa"/>
            <w:vAlign w:val="bottom"/>
          </w:tcPr>
          <w:p>
            <w:pPr>
              <w:jc w:val="right"/>
              <w:ind w:right="42"/>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6"/>
                <w:szCs w:val="16"/>
                <w:color w:val="auto"/>
              </w:rPr>
            </w:pPr>
          </w:p>
        </w:tc>
        <w:tc>
          <w:tcPr>
            <w:tcW w:w="1280" w:type="dxa"/>
            <w:vAlign w:val="bottom"/>
          </w:tcPr>
          <w:p>
            <w:pPr>
              <w:jc w:val="right"/>
              <w:ind w:right="42"/>
              <w:spacing w:after="0"/>
              <w:rPr>
                <w:sz w:val="20"/>
                <w:szCs w:val="20"/>
                <w:color w:val="auto"/>
              </w:rPr>
            </w:pPr>
            <w:r>
              <w:rPr>
                <w:rFonts w:ascii="Arial" w:cs="Arial" w:eastAsia="Arial" w:hAnsi="Arial"/>
                <w:sz w:val="16"/>
                <w:szCs w:val="16"/>
                <w:color w:val="auto"/>
              </w:rPr>
              <w:t>2</w:t>
            </w:r>
          </w:p>
        </w:tc>
        <w:tc>
          <w:tcPr>
            <w:tcW w:w="320" w:type="dxa"/>
            <w:vAlign w:val="bottom"/>
          </w:tcPr>
          <w:p>
            <w:pPr>
              <w:spacing w:after="0"/>
              <w:rPr>
                <w:sz w:val="16"/>
                <w:szCs w:val="16"/>
                <w:color w:val="auto"/>
              </w:rPr>
            </w:pPr>
          </w:p>
        </w:tc>
        <w:tc>
          <w:tcPr>
            <w:tcW w:w="120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r>
      <w:tr>
        <w:trPr>
          <w:trHeight w:val="195"/>
        </w:trPr>
        <w:tc>
          <w:tcPr>
            <w:tcW w:w="20" w:type="dxa"/>
            <w:vAlign w:val="bottom"/>
          </w:tcPr>
          <w:p>
            <w:pPr>
              <w:spacing w:after="0"/>
              <w:rPr>
                <w:sz w:val="16"/>
                <w:szCs w:val="16"/>
                <w:color w:val="auto"/>
              </w:rPr>
            </w:pPr>
          </w:p>
        </w:tc>
        <w:tc>
          <w:tcPr>
            <w:tcW w:w="5180" w:type="dxa"/>
            <w:vAlign w:val="bottom"/>
          </w:tcPr>
          <w:p>
            <w:pPr>
              <w:ind w:left="160"/>
              <w:spacing w:after="0"/>
              <w:rPr>
                <w:sz w:val="20"/>
                <w:szCs w:val="20"/>
                <w:color w:val="auto"/>
              </w:rPr>
            </w:pPr>
            <w:r>
              <w:rPr>
                <w:rFonts w:ascii="Arial" w:cs="Arial" w:eastAsia="Arial" w:hAnsi="Arial"/>
                <w:sz w:val="16"/>
                <w:szCs w:val="16"/>
                <w:color w:val="auto"/>
              </w:rPr>
              <w:t>Total</w:t>
            </w:r>
          </w:p>
        </w:tc>
        <w:tc>
          <w:tcPr>
            <w:tcW w:w="3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260" w:type="dxa"/>
            <w:vAlign w:val="bottom"/>
            <w:tcBorders>
              <w:top w:val="single" w:sz="8" w:color="auto"/>
            </w:tcBorders>
          </w:tcPr>
          <w:p>
            <w:pPr>
              <w:jc w:val="right"/>
              <w:ind w:right="42"/>
              <w:spacing w:after="0"/>
              <w:rPr>
                <w:sz w:val="20"/>
                <w:szCs w:val="20"/>
                <w:color w:val="auto"/>
              </w:rPr>
            </w:pPr>
            <w:r>
              <w:rPr>
                <w:rFonts w:ascii="Arial" w:cs="Arial" w:eastAsia="Arial" w:hAnsi="Arial"/>
                <w:sz w:val="16"/>
                <w:szCs w:val="16"/>
                <w:color w:val="auto"/>
              </w:rPr>
              <w:t>3</w:t>
            </w:r>
          </w:p>
        </w:tc>
        <w:tc>
          <w:tcPr>
            <w:tcW w:w="3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240" w:type="dxa"/>
            <w:vAlign w:val="bottom"/>
            <w:tcBorders>
              <w:top w:val="single" w:sz="8" w:color="auto"/>
            </w:tcBorders>
          </w:tcPr>
          <w:p>
            <w:pPr>
              <w:jc w:val="right"/>
              <w:ind w:right="42"/>
              <w:spacing w:after="0"/>
              <w:rPr>
                <w:sz w:val="20"/>
                <w:szCs w:val="20"/>
                <w:color w:val="auto"/>
              </w:rPr>
            </w:pPr>
            <w:r>
              <w:rPr>
                <w:rFonts w:ascii="Arial" w:cs="Arial" w:eastAsia="Arial" w:hAnsi="Arial"/>
                <w:sz w:val="16"/>
                <w:szCs w:val="16"/>
                <w:color w:val="auto"/>
              </w:rPr>
              <w:t>―</w:t>
            </w:r>
          </w:p>
        </w:tc>
        <w:tc>
          <w:tcPr>
            <w:tcW w:w="2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280" w:type="dxa"/>
            <w:vAlign w:val="bottom"/>
            <w:tcBorders>
              <w:top w:val="single" w:sz="8" w:color="auto"/>
            </w:tcBorders>
          </w:tcPr>
          <w:p>
            <w:pPr>
              <w:jc w:val="right"/>
              <w:ind w:right="2"/>
              <w:spacing w:after="0"/>
              <w:rPr>
                <w:sz w:val="20"/>
                <w:szCs w:val="20"/>
                <w:color w:val="auto"/>
              </w:rPr>
            </w:pPr>
            <w:r>
              <w:rPr>
                <w:rFonts w:ascii="Arial" w:cs="Arial" w:eastAsia="Arial" w:hAnsi="Arial"/>
                <w:sz w:val="16"/>
                <w:szCs w:val="16"/>
                <w:color w:val="auto"/>
              </w:rPr>
              <w:t>(1)</w:t>
            </w:r>
          </w:p>
        </w:tc>
        <w:tc>
          <w:tcPr>
            <w:tcW w:w="32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6"/>
                <w:szCs w:val="1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2466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ind w:left="500" w:hanging="492"/>
        <w:spacing w:after="0"/>
        <w:tabs>
          <w:tab w:leader="none" w:pos="500" w:val="left"/>
        </w:tabs>
        <w:numPr>
          <w:ilvl w:val="0"/>
          <w:numId w:val="25"/>
        </w:numPr>
        <w:rPr>
          <w:rFonts w:ascii="Arial" w:cs="Arial" w:eastAsia="Arial" w:hAnsi="Arial"/>
          <w:sz w:val="14"/>
          <w:szCs w:val="14"/>
          <w:i w:val="1"/>
          <w:iCs w:val="1"/>
          <w:color w:val="auto"/>
        </w:rPr>
      </w:pPr>
      <w:r>
        <w:rPr>
          <w:rFonts w:ascii="Arial" w:cs="Arial" w:eastAsia="Arial" w:hAnsi="Arial"/>
          <w:sz w:val="14"/>
          <w:szCs w:val="14"/>
          <w:i w:val="1"/>
          <w:iCs w:val="1"/>
          <w:color w:val="auto"/>
        </w:rPr>
        <w:t>Included in Current Assets: Other for SoCalGas.</w:t>
      </w:r>
    </w:p>
    <w:p>
      <w:pPr>
        <w:spacing w:after="0" w:line="13" w:lineRule="exact"/>
        <w:rPr>
          <w:rFonts w:ascii="Arial" w:cs="Arial" w:eastAsia="Arial" w:hAnsi="Arial"/>
          <w:sz w:val="14"/>
          <w:szCs w:val="14"/>
          <w:i w:val="1"/>
          <w:iCs w:val="1"/>
          <w:color w:val="auto"/>
        </w:rPr>
      </w:pPr>
    </w:p>
    <w:p>
      <w:pPr>
        <w:ind w:left="500" w:hanging="492"/>
        <w:spacing w:after="0"/>
        <w:tabs>
          <w:tab w:leader="none" w:pos="500" w:val="left"/>
        </w:tabs>
        <w:numPr>
          <w:ilvl w:val="0"/>
          <w:numId w:val="25"/>
        </w:numPr>
        <w:rPr>
          <w:rFonts w:ascii="Arial" w:cs="Arial" w:eastAsia="Arial" w:hAnsi="Arial"/>
          <w:sz w:val="14"/>
          <w:szCs w:val="14"/>
          <w:i w:val="1"/>
          <w:iCs w:val="1"/>
          <w:color w:val="auto"/>
        </w:rPr>
      </w:pPr>
      <w:r>
        <w:rPr>
          <w:rFonts w:ascii="Arial" w:cs="Arial" w:eastAsia="Arial" w:hAnsi="Arial"/>
          <w:sz w:val="14"/>
          <w:szCs w:val="14"/>
          <w:i w:val="1"/>
          <w:iCs w:val="1"/>
          <w:color w:val="auto"/>
        </w:rPr>
        <w:t>Included in Current Liabilities: Other for SoCalGas.</w:t>
      </w:r>
    </w:p>
    <w:p>
      <w:pPr>
        <w:spacing w:after="0" w:line="1" w:lineRule="exact"/>
        <w:rPr>
          <w:rFonts w:ascii="Arial" w:cs="Arial" w:eastAsia="Arial" w:hAnsi="Arial"/>
          <w:sz w:val="14"/>
          <w:szCs w:val="14"/>
          <w:i w:val="1"/>
          <w:iCs w:val="1"/>
          <w:color w:val="auto"/>
        </w:rPr>
      </w:pPr>
    </w:p>
    <w:p>
      <w:pPr>
        <w:ind w:left="500" w:hanging="492"/>
        <w:spacing w:after="0"/>
        <w:tabs>
          <w:tab w:leader="none" w:pos="500" w:val="left"/>
        </w:tabs>
        <w:numPr>
          <w:ilvl w:val="0"/>
          <w:numId w:val="25"/>
        </w:numPr>
        <w:rPr>
          <w:rFonts w:ascii="Arial" w:cs="Arial" w:eastAsia="Arial" w:hAnsi="Arial"/>
          <w:sz w:val="14"/>
          <w:szCs w:val="14"/>
          <w:i w:val="1"/>
          <w:iCs w:val="1"/>
          <w:color w:val="auto"/>
        </w:rPr>
      </w:pPr>
      <w:r>
        <w:rPr>
          <w:rFonts w:ascii="Arial" w:cs="Arial" w:eastAsia="Arial" w:hAnsi="Arial"/>
          <w:sz w:val="14"/>
          <w:szCs w:val="14"/>
          <w:i w:val="1"/>
          <w:iCs w:val="1"/>
          <w:color w:val="auto"/>
        </w:rPr>
        <w:t>Includes Otay Mesa VIE. All of SDG&amp;E's amounts relate to Otay Mesa VIE.</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right="4640"/>
        <w:spacing w:after="0" w:line="243" w:lineRule="auto"/>
        <w:rPr>
          <w:sz w:val="20"/>
          <w:szCs w:val="20"/>
          <w:color w:val="auto"/>
        </w:rPr>
      </w:pPr>
      <w:r>
        <w:rPr>
          <w:rFonts w:ascii="Arial" w:cs="Arial" w:eastAsia="Arial" w:hAnsi="Arial"/>
          <w:sz w:val="16"/>
          <w:szCs w:val="16"/>
          <w:b w:val="1"/>
          <w:bCs w:val="1"/>
          <w:color w:val="auto"/>
        </w:rPr>
        <w:t xml:space="preserve">DERIVATIVE INSTRUMENTS ON THE CONDENSED CONSOLIDATED BALANCE SHEETS </w:t>
      </w:r>
      <w:r>
        <w:rPr>
          <w:rFonts w:ascii="Arial" w:cs="Arial" w:eastAsia="Arial" w:hAnsi="Arial"/>
          <w:sz w:val="14"/>
          <w:szCs w:val="14"/>
          <w:i w:val="1"/>
          <w:iCs w:val="1"/>
          <w:color w:val="auto"/>
        </w:rPr>
        <w:t>(Dollars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-224155</wp:posOffset>
            </wp:positionV>
            <wp:extent cx="7246620" cy="22288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46620" cy="22288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66"/>
        </w:trPr>
        <w:tc>
          <w:tcPr>
            <w:tcW w:w="20" w:type="dxa"/>
            <w:vAlign w:val="bottom"/>
          </w:tcPr>
          <w:p>
            <w:pPr>
              <w:spacing w:after="0"/>
              <w:rPr>
                <w:sz w:val="14"/>
                <w:szCs w:val="14"/>
                <w:color w:val="auto"/>
              </w:rPr>
            </w:pPr>
          </w:p>
        </w:tc>
        <w:tc>
          <w:tcPr>
            <w:tcW w:w="518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800" w:type="dxa"/>
            <w:vAlign w:val="bottom"/>
            <w:tcBorders>
              <w:bottom w:val="single" w:sz="8" w:color="auto"/>
            </w:tcBorders>
            <w:gridSpan w:val="3"/>
          </w:tcPr>
          <w:p>
            <w:pPr>
              <w:jc w:val="right"/>
              <w:ind w:right="902"/>
              <w:spacing w:after="0" w:line="159" w:lineRule="exact"/>
              <w:rPr>
                <w:sz w:val="20"/>
                <w:szCs w:val="20"/>
                <w:color w:val="auto"/>
              </w:rPr>
            </w:pPr>
            <w:r>
              <w:rPr>
                <w:rFonts w:ascii="Arial" w:cs="Arial" w:eastAsia="Arial" w:hAnsi="Arial"/>
                <w:sz w:val="14"/>
                <w:szCs w:val="14"/>
                <w:color w:val="auto"/>
              </w:rPr>
              <w:t>December 31, 2010</w:t>
            </w:r>
          </w:p>
        </w:tc>
        <w:tc>
          <w:tcPr>
            <w:tcW w:w="32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r>
      <w:tr>
        <w:trPr>
          <w:trHeight w:val="167"/>
        </w:trPr>
        <w:tc>
          <w:tcPr>
            <w:tcW w:w="20" w:type="dxa"/>
            <w:vAlign w:val="bottom"/>
          </w:tcPr>
          <w:p>
            <w:pPr>
              <w:spacing w:after="0"/>
              <w:rPr>
                <w:sz w:val="14"/>
                <w:szCs w:val="14"/>
                <w:color w:val="auto"/>
              </w:rPr>
            </w:pPr>
          </w:p>
        </w:tc>
        <w:tc>
          <w:tcPr>
            <w:tcW w:w="51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0" w:type="dxa"/>
            <w:vAlign w:val="bottom"/>
            <w:gridSpan w:val="2"/>
          </w:tcPr>
          <w:p>
            <w:pPr>
              <w:jc w:val="center"/>
              <w:ind w:right="160"/>
              <w:spacing w:after="0"/>
              <w:rPr>
                <w:sz w:val="20"/>
                <w:szCs w:val="20"/>
                <w:color w:val="auto"/>
              </w:rPr>
            </w:pPr>
            <w:r>
              <w:rPr>
                <w:rFonts w:ascii="Arial" w:cs="Arial" w:eastAsia="Arial" w:hAnsi="Arial"/>
                <w:sz w:val="14"/>
                <w:szCs w:val="14"/>
                <w:color w:val="auto"/>
              </w:rPr>
              <w:t>Deferred</w:t>
            </w:r>
          </w:p>
        </w:tc>
      </w:tr>
      <w:tr>
        <w:trPr>
          <w:trHeight w:val="162"/>
        </w:trPr>
        <w:tc>
          <w:tcPr>
            <w:tcW w:w="20" w:type="dxa"/>
            <w:vAlign w:val="bottom"/>
          </w:tcPr>
          <w:p>
            <w:pPr>
              <w:spacing w:after="0"/>
              <w:rPr>
                <w:sz w:val="14"/>
                <w:szCs w:val="14"/>
                <w:color w:val="auto"/>
              </w:rPr>
            </w:pPr>
          </w:p>
        </w:tc>
        <w:tc>
          <w:tcPr>
            <w:tcW w:w="51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0" w:type="dxa"/>
            <w:vAlign w:val="bottom"/>
            <w:gridSpan w:val="2"/>
          </w:tcPr>
          <w:p>
            <w:pPr>
              <w:jc w:val="center"/>
              <w:ind w:right="180"/>
              <w:spacing w:after="0"/>
              <w:rPr>
                <w:sz w:val="20"/>
                <w:szCs w:val="20"/>
                <w:color w:val="auto"/>
              </w:rPr>
            </w:pPr>
            <w:r>
              <w:rPr>
                <w:rFonts w:ascii="Arial" w:cs="Arial" w:eastAsia="Arial" w:hAnsi="Arial"/>
                <w:sz w:val="14"/>
                <w:szCs w:val="14"/>
                <w:color w:val="auto"/>
              </w:rPr>
              <w:t>credits</w:t>
            </w:r>
          </w:p>
        </w:tc>
      </w:tr>
      <w:tr>
        <w:trPr>
          <w:trHeight w:val="162"/>
        </w:trPr>
        <w:tc>
          <w:tcPr>
            <w:tcW w:w="20" w:type="dxa"/>
            <w:vAlign w:val="bottom"/>
          </w:tcPr>
          <w:p>
            <w:pPr>
              <w:spacing w:after="0"/>
              <w:rPr>
                <w:sz w:val="14"/>
                <w:szCs w:val="14"/>
                <w:color w:val="auto"/>
              </w:rPr>
            </w:pPr>
          </w:p>
        </w:tc>
        <w:tc>
          <w:tcPr>
            <w:tcW w:w="51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60" w:type="dxa"/>
            <w:vAlign w:val="bottom"/>
          </w:tcPr>
          <w:p>
            <w:pPr>
              <w:jc w:val="center"/>
              <w:ind w:right="102"/>
              <w:spacing w:after="0"/>
              <w:rPr>
                <w:sz w:val="20"/>
                <w:szCs w:val="20"/>
                <w:color w:val="auto"/>
              </w:rPr>
            </w:pPr>
            <w:r>
              <w:rPr>
                <w:rFonts w:ascii="Arial" w:cs="Arial" w:eastAsia="Arial" w:hAnsi="Arial"/>
                <w:sz w:val="14"/>
                <w:szCs w:val="14"/>
                <w:color w:val="auto"/>
              </w:rPr>
              <w:t>Current</w:t>
            </w:r>
          </w:p>
        </w:tc>
        <w:tc>
          <w:tcPr>
            <w:tcW w:w="3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80" w:type="dxa"/>
            <w:vAlign w:val="bottom"/>
          </w:tcPr>
          <w:p>
            <w:pPr>
              <w:jc w:val="center"/>
              <w:ind w:right="122"/>
              <w:spacing w:after="0"/>
              <w:rPr>
                <w:sz w:val="20"/>
                <w:szCs w:val="20"/>
                <w:color w:val="auto"/>
              </w:rPr>
            </w:pPr>
            <w:r>
              <w:rPr>
                <w:rFonts w:ascii="Arial" w:cs="Arial" w:eastAsia="Arial" w:hAnsi="Arial"/>
                <w:sz w:val="14"/>
                <w:szCs w:val="14"/>
                <w:color w:val="auto"/>
              </w:rPr>
              <w:t>Current</w:t>
            </w:r>
          </w:p>
        </w:tc>
        <w:tc>
          <w:tcPr>
            <w:tcW w:w="320" w:type="dxa"/>
            <w:vAlign w:val="bottom"/>
          </w:tcPr>
          <w:p>
            <w:pPr>
              <w:spacing w:after="0"/>
              <w:rPr>
                <w:sz w:val="14"/>
                <w:szCs w:val="14"/>
                <w:color w:val="auto"/>
              </w:rPr>
            </w:pPr>
          </w:p>
        </w:tc>
        <w:tc>
          <w:tcPr>
            <w:tcW w:w="1200" w:type="dxa"/>
            <w:vAlign w:val="bottom"/>
            <w:gridSpan w:val="2"/>
          </w:tcPr>
          <w:p>
            <w:pPr>
              <w:jc w:val="center"/>
              <w:ind w:right="180"/>
              <w:spacing w:after="0"/>
              <w:rPr>
                <w:sz w:val="20"/>
                <w:szCs w:val="20"/>
                <w:color w:val="auto"/>
              </w:rPr>
            </w:pPr>
            <w:r>
              <w:rPr>
                <w:rFonts w:ascii="Arial" w:cs="Arial" w:eastAsia="Arial" w:hAnsi="Arial"/>
                <w:sz w:val="14"/>
                <w:szCs w:val="14"/>
                <w:color w:val="auto"/>
              </w:rPr>
              <w:t>and other</w:t>
            </w:r>
          </w:p>
        </w:tc>
      </w:tr>
      <w:tr>
        <w:trPr>
          <w:trHeight w:val="162"/>
        </w:trPr>
        <w:tc>
          <w:tcPr>
            <w:tcW w:w="20" w:type="dxa"/>
            <w:vAlign w:val="bottom"/>
          </w:tcPr>
          <w:p>
            <w:pPr>
              <w:spacing w:after="0"/>
              <w:rPr>
                <w:sz w:val="14"/>
                <w:szCs w:val="14"/>
                <w:color w:val="auto"/>
              </w:rPr>
            </w:pPr>
          </w:p>
        </w:tc>
        <w:tc>
          <w:tcPr>
            <w:tcW w:w="51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60" w:type="dxa"/>
            <w:vAlign w:val="bottom"/>
          </w:tcPr>
          <w:p>
            <w:pPr>
              <w:jc w:val="center"/>
              <w:ind w:right="102"/>
              <w:spacing w:after="0"/>
              <w:rPr>
                <w:sz w:val="20"/>
                <w:szCs w:val="20"/>
                <w:color w:val="auto"/>
              </w:rPr>
            </w:pPr>
            <w:r>
              <w:rPr>
                <w:rFonts w:ascii="Arial" w:cs="Arial" w:eastAsia="Arial" w:hAnsi="Arial"/>
                <w:sz w:val="14"/>
                <w:szCs w:val="14"/>
                <w:color w:val="auto"/>
                <w:w w:val="99"/>
              </w:rPr>
              <w:t>assets:</w:t>
            </w:r>
          </w:p>
        </w:tc>
        <w:tc>
          <w:tcPr>
            <w:tcW w:w="3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80" w:type="dxa"/>
            <w:vAlign w:val="bottom"/>
          </w:tcPr>
          <w:p>
            <w:pPr>
              <w:jc w:val="center"/>
              <w:ind w:right="102"/>
              <w:spacing w:after="0"/>
              <w:rPr>
                <w:sz w:val="20"/>
                <w:szCs w:val="20"/>
                <w:color w:val="auto"/>
              </w:rPr>
            </w:pPr>
            <w:r>
              <w:rPr>
                <w:rFonts w:ascii="Arial" w:cs="Arial" w:eastAsia="Arial" w:hAnsi="Arial"/>
                <w:sz w:val="14"/>
                <w:szCs w:val="14"/>
                <w:color w:val="auto"/>
              </w:rPr>
              <w:t>liabilities:</w:t>
            </w:r>
          </w:p>
        </w:tc>
        <w:tc>
          <w:tcPr>
            <w:tcW w:w="320" w:type="dxa"/>
            <w:vAlign w:val="bottom"/>
          </w:tcPr>
          <w:p>
            <w:pPr>
              <w:spacing w:after="0"/>
              <w:rPr>
                <w:sz w:val="14"/>
                <w:szCs w:val="14"/>
                <w:color w:val="auto"/>
              </w:rPr>
            </w:pPr>
          </w:p>
        </w:tc>
        <w:tc>
          <w:tcPr>
            <w:tcW w:w="1200" w:type="dxa"/>
            <w:vAlign w:val="bottom"/>
            <w:gridSpan w:val="2"/>
          </w:tcPr>
          <w:p>
            <w:pPr>
              <w:jc w:val="center"/>
              <w:ind w:right="180"/>
              <w:spacing w:after="0"/>
              <w:rPr>
                <w:sz w:val="20"/>
                <w:szCs w:val="20"/>
                <w:color w:val="auto"/>
              </w:rPr>
            </w:pPr>
            <w:r>
              <w:rPr>
                <w:rFonts w:ascii="Arial" w:cs="Arial" w:eastAsia="Arial" w:hAnsi="Arial"/>
                <w:sz w:val="14"/>
                <w:szCs w:val="14"/>
                <w:color w:val="auto"/>
              </w:rPr>
              <w:t>liabilities:</w:t>
            </w:r>
          </w:p>
        </w:tc>
      </w:tr>
      <w:tr>
        <w:trPr>
          <w:trHeight w:val="162"/>
        </w:trPr>
        <w:tc>
          <w:tcPr>
            <w:tcW w:w="20" w:type="dxa"/>
            <w:vAlign w:val="bottom"/>
          </w:tcPr>
          <w:p>
            <w:pPr>
              <w:spacing w:after="0"/>
              <w:rPr>
                <w:sz w:val="14"/>
                <w:szCs w:val="14"/>
                <w:color w:val="auto"/>
              </w:rPr>
            </w:pPr>
          </w:p>
        </w:tc>
        <w:tc>
          <w:tcPr>
            <w:tcW w:w="51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60" w:type="dxa"/>
            <w:vAlign w:val="bottom"/>
          </w:tcPr>
          <w:p>
            <w:pPr>
              <w:jc w:val="center"/>
              <w:ind w:right="102"/>
              <w:spacing w:after="0"/>
              <w:rPr>
                <w:sz w:val="20"/>
                <w:szCs w:val="20"/>
                <w:color w:val="auto"/>
              </w:rPr>
            </w:pPr>
            <w:r>
              <w:rPr>
                <w:rFonts w:ascii="Arial" w:cs="Arial" w:eastAsia="Arial" w:hAnsi="Arial"/>
                <w:sz w:val="14"/>
                <w:szCs w:val="14"/>
                <w:color w:val="auto"/>
              </w:rPr>
              <w:t>Fixed-price</w:t>
            </w:r>
          </w:p>
        </w:tc>
        <w:tc>
          <w:tcPr>
            <w:tcW w:w="300" w:type="dxa"/>
            <w:vAlign w:val="bottom"/>
          </w:tcPr>
          <w:p>
            <w:pPr>
              <w:spacing w:after="0"/>
              <w:rPr>
                <w:sz w:val="14"/>
                <w:szCs w:val="14"/>
                <w:color w:val="auto"/>
              </w:rPr>
            </w:pPr>
          </w:p>
        </w:tc>
        <w:tc>
          <w:tcPr>
            <w:tcW w:w="1240" w:type="dxa"/>
            <w:vAlign w:val="bottom"/>
          </w:tcPr>
          <w:p>
            <w:pPr>
              <w:jc w:val="center"/>
              <w:ind w:right="121"/>
              <w:spacing w:after="0"/>
              <w:rPr>
                <w:sz w:val="20"/>
                <w:szCs w:val="20"/>
                <w:color w:val="auto"/>
              </w:rPr>
            </w:pPr>
            <w:r>
              <w:rPr>
                <w:rFonts w:ascii="Arial" w:cs="Arial" w:eastAsia="Arial" w:hAnsi="Arial"/>
                <w:sz w:val="14"/>
                <w:szCs w:val="14"/>
                <w:color w:val="auto"/>
              </w:rPr>
              <w:t>Investments</w:t>
            </w:r>
          </w:p>
        </w:tc>
        <w:tc>
          <w:tcPr>
            <w:tcW w:w="280" w:type="dxa"/>
            <w:vAlign w:val="bottom"/>
          </w:tcPr>
          <w:p>
            <w:pPr>
              <w:spacing w:after="0"/>
              <w:rPr>
                <w:sz w:val="14"/>
                <w:szCs w:val="14"/>
                <w:color w:val="auto"/>
              </w:rPr>
            </w:pPr>
          </w:p>
        </w:tc>
        <w:tc>
          <w:tcPr>
            <w:tcW w:w="1280" w:type="dxa"/>
            <w:vAlign w:val="bottom"/>
          </w:tcPr>
          <w:p>
            <w:pPr>
              <w:jc w:val="center"/>
              <w:ind w:right="122"/>
              <w:spacing w:after="0"/>
              <w:rPr>
                <w:sz w:val="20"/>
                <w:szCs w:val="20"/>
                <w:color w:val="auto"/>
              </w:rPr>
            </w:pPr>
            <w:r>
              <w:rPr>
                <w:rFonts w:ascii="Arial" w:cs="Arial" w:eastAsia="Arial" w:hAnsi="Arial"/>
                <w:sz w:val="14"/>
                <w:szCs w:val="14"/>
                <w:color w:val="auto"/>
              </w:rPr>
              <w:t>Fixed-price</w:t>
            </w:r>
          </w:p>
        </w:tc>
        <w:tc>
          <w:tcPr>
            <w:tcW w:w="320" w:type="dxa"/>
            <w:vAlign w:val="bottom"/>
          </w:tcPr>
          <w:p>
            <w:pPr>
              <w:spacing w:after="0"/>
              <w:rPr>
                <w:sz w:val="14"/>
                <w:szCs w:val="14"/>
                <w:color w:val="auto"/>
              </w:rPr>
            </w:pPr>
          </w:p>
        </w:tc>
        <w:tc>
          <w:tcPr>
            <w:tcW w:w="1200" w:type="dxa"/>
            <w:vAlign w:val="bottom"/>
            <w:gridSpan w:val="2"/>
          </w:tcPr>
          <w:p>
            <w:pPr>
              <w:jc w:val="center"/>
              <w:ind w:right="180"/>
              <w:spacing w:after="0"/>
              <w:rPr>
                <w:sz w:val="20"/>
                <w:szCs w:val="20"/>
                <w:color w:val="auto"/>
              </w:rPr>
            </w:pPr>
            <w:r>
              <w:rPr>
                <w:rFonts w:ascii="Arial" w:cs="Arial" w:eastAsia="Arial" w:hAnsi="Arial"/>
                <w:sz w:val="14"/>
                <w:szCs w:val="14"/>
                <w:color w:val="auto"/>
              </w:rPr>
              <w:t>Fixed-price</w:t>
            </w:r>
          </w:p>
        </w:tc>
      </w:tr>
      <w:tr>
        <w:trPr>
          <w:trHeight w:val="162"/>
        </w:trPr>
        <w:tc>
          <w:tcPr>
            <w:tcW w:w="20" w:type="dxa"/>
            <w:vAlign w:val="bottom"/>
          </w:tcPr>
          <w:p>
            <w:pPr>
              <w:spacing w:after="0"/>
              <w:rPr>
                <w:sz w:val="14"/>
                <w:szCs w:val="14"/>
                <w:color w:val="auto"/>
              </w:rPr>
            </w:pPr>
          </w:p>
        </w:tc>
        <w:tc>
          <w:tcPr>
            <w:tcW w:w="51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60" w:type="dxa"/>
            <w:vAlign w:val="bottom"/>
          </w:tcPr>
          <w:p>
            <w:pPr>
              <w:jc w:val="center"/>
              <w:ind w:right="102"/>
              <w:spacing w:after="0"/>
              <w:rPr>
                <w:sz w:val="20"/>
                <w:szCs w:val="20"/>
                <w:color w:val="auto"/>
              </w:rPr>
            </w:pPr>
            <w:r>
              <w:rPr>
                <w:rFonts w:ascii="Arial" w:cs="Arial" w:eastAsia="Arial" w:hAnsi="Arial"/>
                <w:sz w:val="14"/>
                <w:szCs w:val="14"/>
                <w:color w:val="auto"/>
              </w:rPr>
              <w:t>contracts</w:t>
            </w:r>
          </w:p>
        </w:tc>
        <w:tc>
          <w:tcPr>
            <w:tcW w:w="300" w:type="dxa"/>
            <w:vAlign w:val="bottom"/>
          </w:tcPr>
          <w:p>
            <w:pPr>
              <w:spacing w:after="0"/>
              <w:rPr>
                <w:sz w:val="14"/>
                <w:szCs w:val="14"/>
                <w:color w:val="auto"/>
              </w:rPr>
            </w:pPr>
          </w:p>
        </w:tc>
        <w:tc>
          <w:tcPr>
            <w:tcW w:w="1240" w:type="dxa"/>
            <w:vAlign w:val="bottom"/>
          </w:tcPr>
          <w:p>
            <w:pPr>
              <w:jc w:val="center"/>
              <w:ind w:right="121"/>
              <w:spacing w:after="0"/>
              <w:rPr>
                <w:sz w:val="20"/>
                <w:szCs w:val="20"/>
                <w:color w:val="auto"/>
              </w:rPr>
            </w:pPr>
            <w:r>
              <w:rPr>
                <w:rFonts w:ascii="Arial" w:cs="Arial" w:eastAsia="Arial" w:hAnsi="Arial"/>
                <w:sz w:val="14"/>
                <w:szCs w:val="14"/>
                <w:color w:val="auto"/>
              </w:rPr>
              <w:t>and other</w:t>
            </w:r>
          </w:p>
        </w:tc>
        <w:tc>
          <w:tcPr>
            <w:tcW w:w="280" w:type="dxa"/>
            <w:vAlign w:val="bottom"/>
          </w:tcPr>
          <w:p>
            <w:pPr>
              <w:spacing w:after="0"/>
              <w:rPr>
                <w:sz w:val="14"/>
                <w:szCs w:val="14"/>
                <w:color w:val="auto"/>
              </w:rPr>
            </w:pPr>
          </w:p>
        </w:tc>
        <w:tc>
          <w:tcPr>
            <w:tcW w:w="1280" w:type="dxa"/>
            <w:vAlign w:val="bottom"/>
          </w:tcPr>
          <w:p>
            <w:pPr>
              <w:jc w:val="center"/>
              <w:ind w:right="102"/>
              <w:spacing w:after="0"/>
              <w:rPr>
                <w:sz w:val="20"/>
                <w:szCs w:val="20"/>
                <w:color w:val="auto"/>
              </w:rPr>
            </w:pPr>
            <w:r>
              <w:rPr>
                <w:rFonts w:ascii="Arial" w:cs="Arial" w:eastAsia="Arial" w:hAnsi="Arial"/>
                <w:sz w:val="14"/>
                <w:szCs w:val="14"/>
                <w:color w:val="auto"/>
              </w:rPr>
              <w:t>contracts</w:t>
            </w:r>
          </w:p>
        </w:tc>
        <w:tc>
          <w:tcPr>
            <w:tcW w:w="320" w:type="dxa"/>
            <w:vAlign w:val="bottom"/>
          </w:tcPr>
          <w:p>
            <w:pPr>
              <w:spacing w:after="0"/>
              <w:rPr>
                <w:sz w:val="14"/>
                <w:szCs w:val="14"/>
                <w:color w:val="auto"/>
              </w:rPr>
            </w:pPr>
          </w:p>
        </w:tc>
        <w:tc>
          <w:tcPr>
            <w:tcW w:w="1200" w:type="dxa"/>
            <w:vAlign w:val="bottom"/>
            <w:gridSpan w:val="2"/>
          </w:tcPr>
          <w:p>
            <w:pPr>
              <w:jc w:val="center"/>
              <w:ind w:right="180"/>
              <w:spacing w:after="0"/>
              <w:rPr>
                <w:sz w:val="20"/>
                <w:szCs w:val="20"/>
                <w:color w:val="auto"/>
              </w:rPr>
            </w:pPr>
            <w:r>
              <w:rPr>
                <w:rFonts w:ascii="Arial" w:cs="Arial" w:eastAsia="Arial" w:hAnsi="Arial"/>
                <w:sz w:val="14"/>
                <w:szCs w:val="14"/>
                <w:color w:val="auto"/>
              </w:rPr>
              <w:t>contracts</w:t>
            </w:r>
          </w:p>
        </w:tc>
      </w:tr>
      <w:tr>
        <w:trPr>
          <w:trHeight w:val="162"/>
        </w:trPr>
        <w:tc>
          <w:tcPr>
            <w:tcW w:w="20" w:type="dxa"/>
            <w:vAlign w:val="bottom"/>
          </w:tcPr>
          <w:p>
            <w:pPr>
              <w:spacing w:after="0"/>
              <w:rPr>
                <w:sz w:val="14"/>
                <w:szCs w:val="14"/>
                <w:color w:val="auto"/>
              </w:rPr>
            </w:pPr>
          </w:p>
        </w:tc>
        <w:tc>
          <w:tcPr>
            <w:tcW w:w="51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60" w:type="dxa"/>
            <w:vAlign w:val="bottom"/>
          </w:tcPr>
          <w:p>
            <w:pPr>
              <w:jc w:val="center"/>
              <w:ind w:right="102"/>
              <w:spacing w:after="0"/>
              <w:rPr>
                <w:sz w:val="20"/>
                <w:szCs w:val="20"/>
                <w:color w:val="auto"/>
              </w:rPr>
            </w:pPr>
            <w:r>
              <w:rPr>
                <w:rFonts w:ascii="Arial" w:cs="Arial" w:eastAsia="Arial" w:hAnsi="Arial"/>
                <w:sz w:val="14"/>
                <w:szCs w:val="14"/>
                <w:color w:val="auto"/>
              </w:rPr>
              <w:t>and other</w:t>
            </w:r>
          </w:p>
        </w:tc>
        <w:tc>
          <w:tcPr>
            <w:tcW w:w="300" w:type="dxa"/>
            <w:vAlign w:val="bottom"/>
          </w:tcPr>
          <w:p>
            <w:pPr>
              <w:spacing w:after="0"/>
              <w:rPr>
                <w:sz w:val="14"/>
                <w:szCs w:val="14"/>
                <w:color w:val="auto"/>
              </w:rPr>
            </w:pPr>
          </w:p>
        </w:tc>
        <w:tc>
          <w:tcPr>
            <w:tcW w:w="1240" w:type="dxa"/>
            <w:vAlign w:val="bottom"/>
          </w:tcPr>
          <w:p>
            <w:pPr>
              <w:jc w:val="center"/>
              <w:ind w:right="121"/>
              <w:spacing w:after="0"/>
              <w:rPr>
                <w:sz w:val="20"/>
                <w:szCs w:val="20"/>
                <w:color w:val="auto"/>
              </w:rPr>
            </w:pPr>
            <w:r>
              <w:rPr>
                <w:rFonts w:ascii="Arial" w:cs="Arial" w:eastAsia="Arial" w:hAnsi="Arial"/>
                <w:sz w:val="14"/>
                <w:szCs w:val="14"/>
                <w:color w:val="auto"/>
                <w:w w:val="99"/>
              </w:rPr>
              <w:t>assets:</w:t>
            </w:r>
          </w:p>
        </w:tc>
        <w:tc>
          <w:tcPr>
            <w:tcW w:w="280" w:type="dxa"/>
            <w:vAlign w:val="bottom"/>
          </w:tcPr>
          <w:p>
            <w:pPr>
              <w:spacing w:after="0"/>
              <w:rPr>
                <w:sz w:val="14"/>
                <w:szCs w:val="14"/>
                <w:color w:val="auto"/>
              </w:rPr>
            </w:pPr>
          </w:p>
        </w:tc>
        <w:tc>
          <w:tcPr>
            <w:tcW w:w="1280" w:type="dxa"/>
            <w:vAlign w:val="bottom"/>
          </w:tcPr>
          <w:p>
            <w:pPr>
              <w:jc w:val="center"/>
              <w:ind w:right="122"/>
              <w:spacing w:after="0"/>
              <w:rPr>
                <w:sz w:val="20"/>
                <w:szCs w:val="20"/>
                <w:color w:val="auto"/>
              </w:rPr>
            </w:pPr>
            <w:r>
              <w:rPr>
                <w:rFonts w:ascii="Arial" w:cs="Arial" w:eastAsia="Arial" w:hAnsi="Arial"/>
                <w:sz w:val="14"/>
                <w:szCs w:val="14"/>
                <w:color w:val="auto"/>
              </w:rPr>
              <w:t>and other</w:t>
            </w:r>
          </w:p>
        </w:tc>
        <w:tc>
          <w:tcPr>
            <w:tcW w:w="320" w:type="dxa"/>
            <w:vAlign w:val="bottom"/>
          </w:tcPr>
          <w:p>
            <w:pPr>
              <w:spacing w:after="0"/>
              <w:rPr>
                <w:sz w:val="14"/>
                <w:szCs w:val="14"/>
                <w:color w:val="auto"/>
              </w:rPr>
            </w:pPr>
          </w:p>
        </w:tc>
        <w:tc>
          <w:tcPr>
            <w:tcW w:w="1200" w:type="dxa"/>
            <w:vAlign w:val="bottom"/>
            <w:gridSpan w:val="2"/>
          </w:tcPr>
          <w:p>
            <w:pPr>
              <w:jc w:val="center"/>
              <w:ind w:right="180"/>
              <w:spacing w:after="0"/>
              <w:rPr>
                <w:sz w:val="20"/>
                <w:szCs w:val="20"/>
                <w:color w:val="auto"/>
              </w:rPr>
            </w:pPr>
            <w:r>
              <w:rPr>
                <w:rFonts w:ascii="Arial" w:cs="Arial" w:eastAsia="Arial" w:hAnsi="Arial"/>
                <w:sz w:val="14"/>
                <w:szCs w:val="14"/>
                <w:color w:val="auto"/>
              </w:rPr>
              <w:t>and other</w:t>
            </w:r>
          </w:p>
        </w:tc>
      </w:tr>
      <w:tr>
        <w:trPr>
          <w:trHeight w:val="164"/>
        </w:trPr>
        <w:tc>
          <w:tcPr>
            <w:tcW w:w="5200" w:type="dxa"/>
            <w:vAlign w:val="bottom"/>
            <w:gridSpan w:val="2"/>
          </w:tcPr>
          <w:p>
            <w:pPr>
              <w:spacing w:after="0" w:line="157" w:lineRule="exact"/>
              <w:rPr>
                <w:sz w:val="20"/>
                <w:szCs w:val="20"/>
                <w:color w:val="auto"/>
              </w:rPr>
            </w:pPr>
            <w:r>
              <w:rPr>
                <w:rFonts w:ascii="Arial" w:cs="Arial" w:eastAsia="Arial" w:hAnsi="Arial"/>
                <w:sz w:val="14"/>
                <w:szCs w:val="14"/>
                <w:color w:val="auto"/>
              </w:rPr>
              <w:t>Derivatives designated as hedging instruments</w:t>
            </w:r>
          </w:p>
        </w:tc>
        <w:tc>
          <w:tcPr>
            <w:tcW w:w="360" w:type="dxa"/>
            <w:vAlign w:val="bottom"/>
          </w:tcPr>
          <w:p>
            <w:pPr>
              <w:spacing w:after="0"/>
              <w:rPr>
                <w:sz w:val="14"/>
                <w:szCs w:val="14"/>
                <w:color w:val="auto"/>
              </w:rPr>
            </w:pPr>
          </w:p>
        </w:tc>
        <w:tc>
          <w:tcPr>
            <w:tcW w:w="1260" w:type="dxa"/>
            <w:vAlign w:val="bottom"/>
          </w:tcPr>
          <w:p>
            <w:pPr>
              <w:jc w:val="center"/>
              <w:ind w:right="102"/>
              <w:spacing w:after="0" w:line="157" w:lineRule="exact"/>
              <w:rPr>
                <w:sz w:val="20"/>
                <w:szCs w:val="20"/>
                <w:color w:val="auto"/>
              </w:rPr>
            </w:pPr>
            <w:r>
              <w:rPr>
                <w:rFonts w:ascii="Arial" w:cs="Arial" w:eastAsia="Arial" w:hAnsi="Arial"/>
                <w:sz w:val="14"/>
                <w:szCs w:val="14"/>
                <w:color w:val="auto"/>
              </w:rPr>
              <w:t>derivatives(1)</w:t>
            </w:r>
          </w:p>
        </w:tc>
        <w:tc>
          <w:tcPr>
            <w:tcW w:w="300" w:type="dxa"/>
            <w:vAlign w:val="bottom"/>
          </w:tcPr>
          <w:p>
            <w:pPr>
              <w:spacing w:after="0"/>
              <w:rPr>
                <w:sz w:val="14"/>
                <w:szCs w:val="14"/>
                <w:color w:val="auto"/>
              </w:rPr>
            </w:pPr>
          </w:p>
        </w:tc>
        <w:tc>
          <w:tcPr>
            <w:tcW w:w="1240" w:type="dxa"/>
            <w:vAlign w:val="bottom"/>
          </w:tcPr>
          <w:p>
            <w:pPr>
              <w:jc w:val="center"/>
              <w:ind w:right="121"/>
              <w:spacing w:after="0" w:line="157" w:lineRule="exact"/>
              <w:rPr>
                <w:sz w:val="20"/>
                <w:szCs w:val="20"/>
                <w:color w:val="auto"/>
              </w:rPr>
            </w:pPr>
            <w:r>
              <w:rPr>
                <w:rFonts w:ascii="Arial" w:cs="Arial" w:eastAsia="Arial" w:hAnsi="Arial"/>
                <w:sz w:val="14"/>
                <w:szCs w:val="14"/>
                <w:color w:val="auto"/>
                <w:w w:val="99"/>
              </w:rPr>
              <w:t>Sundry</w:t>
            </w:r>
          </w:p>
        </w:tc>
        <w:tc>
          <w:tcPr>
            <w:tcW w:w="280" w:type="dxa"/>
            <w:vAlign w:val="bottom"/>
          </w:tcPr>
          <w:p>
            <w:pPr>
              <w:spacing w:after="0"/>
              <w:rPr>
                <w:sz w:val="14"/>
                <w:szCs w:val="14"/>
                <w:color w:val="auto"/>
              </w:rPr>
            </w:pPr>
          </w:p>
        </w:tc>
        <w:tc>
          <w:tcPr>
            <w:tcW w:w="1280" w:type="dxa"/>
            <w:vAlign w:val="bottom"/>
          </w:tcPr>
          <w:p>
            <w:pPr>
              <w:jc w:val="center"/>
              <w:ind w:right="102"/>
              <w:spacing w:after="0" w:line="157" w:lineRule="exact"/>
              <w:rPr>
                <w:sz w:val="20"/>
                <w:szCs w:val="20"/>
                <w:color w:val="auto"/>
              </w:rPr>
            </w:pPr>
            <w:r>
              <w:rPr>
                <w:rFonts w:ascii="Arial" w:cs="Arial" w:eastAsia="Arial" w:hAnsi="Arial"/>
                <w:sz w:val="14"/>
                <w:szCs w:val="14"/>
                <w:color w:val="auto"/>
              </w:rPr>
              <w:t>derivatives(2)</w:t>
            </w:r>
          </w:p>
        </w:tc>
        <w:tc>
          <w:tcPr>
            <w:tcW w:w="320" w:type="dxa"/>
            <w:vAlign w:val="bottom"/>
          </w:tcPr>
          <w:p>
            <w:pPr>
              <w:spacing w:after="0"/>
              <w:rPr>
                <w:sz w:val="14"/>
                <w:szCs w:val="14"/>
                <w:color w:val="auto"/>
              </w:rPr>
            </w:pPr>
          </w:p>
        </w:tc>
        <w:tc>
          <w:tcPr>
            <w:tcW w:w="1200" w:type="dxa"/>
            <w:vAlign w:val="bottom"/>
            <w:gridSpan w:val="2"/>
          </w:tcPr>
          <w:p>
            <w:pPr>
              <w:jc w:val="center"/>
              <w:ind w:right="180"/>
              <w:spacing w:after="0" w:line="157" w:lineRule="exact"/>
              <w:rPr>
                <w:sz w:val="20"/>
                <w:szCs w:val="20"/>
                <w:color w:val="auto"/>
              </w:rPr>
            </w:pPr>
            <w:r>
              <w:rPr>
                <w:rFonts w:ascii="Arial" w:cs="Arial" w:eastAsia="Arial" w:hAnsi="Arial"/>
                <w:sz w:val="14"/>
                <w:szCs w:val="14"/>
                <w:color w:val="auto"/>
              </w:rPr>
              <w:t>derivatives</w:t>
            </w:r>
          </w:p>
        </w:tc>
      </w:tr>
      <w:tr>
        <w:trPr>
          <w:trHeight w:val="164"/>
        </w:trPr>
        <w:tc>
          <w:tcPr>
            <w:tcW w:w="5200" w:type="dxa"/>
            <w:vAlign w:val="bottom"/>
            <w:tcBorders>
              <w:top w:val="single" w:sz="8" w:color="auto"/>
            </w:tcBorders>
            <w:gridSpan w:val="2"/>
          </w:tcPr>
          <w:p>
            <w:pPr>
              <w:spacing w:after="0" w:line="164" w:lineRule="exact"/>
              <w:rPr>
                <w:sz w:val="20"/>
                <w:szCs w:val="20"/>
                <w:color w:val="auto"/>
              </w:rPr>
            </w:pPr>
            <w:r>
              <w:rPr>
                <w:rFonts w:ascii="Arial" w:cs="Arial" w:eastAsia="Arial" w:hAnsi="Arial"/>
                <w:sz w:val="16"/>
                <w:szCs w:val="16"/>
                <w:b w:val="1"/>
                <w:bCs w:val="1"/>
                <w:color w:val="auto"/>
              </w:rPr>
              <w:t>Sempra Energy Consolidated:</w:t>
            </w:r>
          </w:p>
        </w:tc>
        <w:tc>
          <w:tcPr>
            <w:tcW w:w="360" w:type="dxa"/>
            <w:vAlign w:val="bottom"/>
            <w:tcBorders>
              <w:top w:val="single" w:sz="8" w:color="auto"/>
            </w:tcBorders>
          </w:tcPr>
          <w:p>
            <w:pPr>
              <w:spacing w:after="0"/>
              <w:rPr>
                <w:sz w:val="14"/>
                <w:szCs w:val="14"/>
                <w:color w:val="auto"/>
              </w:rPr>
            </w:pPr>
          </w:p>
        </w:tc>
        <w:tc>
          <w:tcPr>
            <w:tcW w:w="1260" w:type="dxa"/>
            <w:vAlign w:val="bottom"/>
            <w:tcBorders>
              <w:top w:val="single" w:sz="8" w:color="auto"/>
            </w:tcBorders>
          </w:tcPr>
          <w:p>
            <w:pPr>
              <w:spacing w:after="0"/>
              <w:rPr>
                <w:sz w:val="14"/>
                <w:szCs w:val="14"/>
                <w:color w:val="auto"/>
              </w:rPr>
            </w:pPr>
          </w:p>
        </w:tc>
        <w:tc>
          <w:tcPr>
            <w:tcW w:w="300" w:type="dxa"/>
            <w:vAlign w:val="bottom"/>
            <w:tcBorders>
              <w:top w:val="single" w:sz="8" w:color="auto"/>
            </w:tcBorders>
          </w:tcPr>
          <w:p>
            <w:pPr>
              <w:spacing w:after="0"/>
              <w:rPr>
                <w:sz w:val="14"/>
                <w:szCs w:val="14"/>
                <w:color w:val="auto"/>
              </w:rPr>
            </w:pPr>
          </w:p>
        </w:tc>
        <w:tc>
          <w:tcPr>
            <w:tcW w:w="1240" w:type="dxa"/>
            <w:vAlign w:val="bottom"/>
            <w:tcBorders>
              <w:top w:val="single" w:sz="8" w:color="auto"/>
            </w:tcBorders>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1280" w:type="dxa"/>
            <w:vAlign w:val="bottom"/>
            <w:tcBorders>
              <w:top w:val="single" w:sz="8" w:color="auto"/>
            </w:tcBorders>
          </w:tcPr>
          <w:p>
            <w:pPr>
              <w:spacing w:after="0"/>
              <w:rPr>
                <w:sz w:val="14"/>
                <w:szCs w:val="14"/>
                <w:color w:val="auto"/>
              </w:rPr>
            </w:pPr>
          </w:p>
        </w:tc>
        <w:tc>
          <w:tcPr>
            <w:tcW w:w="320" w:type="dxa"/>
            <w:vAlign w:val="bottom"/>
            <w:tcBorders>
              <w:top w:val="single" w:sz="8" w:color="auto"/>
            </w:tcBorders>
          </w:tcPr>
          <w:p>
            <w:pPr>
              <w:spacing w:after="0"/>
              <w:rPr>
                <w:sz w:val="14"/>
                <w:szCs w:val="14"/>
                <w:color w:val="auto"/>
              </w:rPr>
            </w:pPr>
          </w:p>
        </w:tc>
        <w:tc>
          <w:tcPr>
            <w:tcW w:w="1180" w:type="dxa"/>
            <w:vAlign w:val="bottom"/>
            <w:tcBorders>
              <w:top w:val="single" w:sz="8" w:color="auto"/>
            </w:tcBorders>
          </w:tcPr>
          <w:p>
            <w:pPr>
              <w:spacing w:after="0"/>
              <w:rPr>
                <w:sz w:val="14"/>
                <w:szCs w:val="14"/>
                <w:color w:val="auto"/>
              </w:rPr>
            </w:pPr>
          </w:p>
        </w:tc>
        <w:tc>
          <w:tcPr>
            <w:tcW w:w="20" w:type="dxa"/>
            <w:vAlign w:val="bottom"/>
          </w:tcPr>
          <w:p>
            <w:pPr>
              <w:spacing w:after="0"/>
              <w:rPr>
                <w:sz w:val="14"/>
                <w:szCs w:val="14"/>
                <w:color w:val="auto"/>
              </w:rPr>
            </w:pPr>
          </w:p>
        </w:tc>
      </w:tr>
      <w:tr>
        <w:trPr>
          <w:trHeight w:val="194"/>
        </w:trPr>
        <w:tc>
          <w:tcPr>
            <w:tcW w:w="20" w:type="dxa"/>
            <w:vAlign w:val="bottom"/>
          </w:tcPr>
          <w:p>
            <w:pPr>
              <w:spacing w:after="0"/>
              <w:rPr>
                <w:sz w:val="16"/>
                <w:szCs w:val="16"/>
                <w:color w:val="auto"/>
              </w:rPr>
            </w:pPr>
          </w:p>
        </w:tc>
        <w:tc>
          <w:tcPr>
            <w:tcW w:w="5180" w:type="dxa"/>
            <w:vAlign w:val="bottom"/>
          </w:tcPr>
          <w:p>
            <w:pPr>
              <w:ind w:left="160"/>
              <w:spacing w:after="0"/>
              <w:rPr>
                <w:sz w:val="20"/>
                <w:szCs w:val="20"/>
                <w:color w:val="auto"/>
              </w:rPr>
            </w:pPr>
            <w:r>
              <w:rPr>
                <w:rFonts w:ascii="Arial" w:cs="Arial" w:eastAsia="Arial" w:hAnsi="Arial"/>
                <w:sz w:val="16"/>
                <w:szCs w:val="16"/>
                <w:color w:val="auto"/>
              </w:rPr>
              <w:t>Interest rate instruments</w:t>
            </w:r>
          </w:p>
        </w:tc>
        <w:tc>
          <w:tcPr>
            <w:tcW w:w="3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260" w:type="dxa"/>
            <w:vAlign w:val="bottom"/>
          </w:tcPr>
          <w:p>
            <w:pPr>
              <w:jc w:val="right"/>
              <w:ind w:right="42"/>
              <w:spacing w:after="0"/>
              <w:rPr>
                <w:sz w:val="20"/>
                <w:szCs w:val="20"/>
                <w:color w:val="auto"/>
              </w:rPr>
            </w:pPr>
            <w:r>
              <w:rPr>
                <w:rFonts w:ascii="Arial" w:cs="Arial" w:eastAsia="Arial" w:hAnsi="Arial"/>
                <w:sz w:val="16"/>
                <w:szCs w:val="16"/>
                <w:color w:val="auto"/>
              </w:rPr>
              <w:t>3</w:t>
            </w:r>
          </w:p>
        </w:tc>
        <w:tc>
          <w:tcPr>
            <w:tcW w:w="30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41"/>
              <w:spacing w:after="0"/>
              <w:rPr>
                <w:sz w:val="20"/>
                <w:szCs w:val="20"/>
                <w:color w:val="auto"/>
              </w:rPr>
            </w:pPr>
            <w:r>
              <w:rPr>
                <w:rFonts w:ascii="Arial" w:cs="Arial" w:eastAsia="Arial" w:hAnsi="Arial"/>
                <w:sz w:val="16"/>
                <w:szCs w:val="16"/>
                <w:color w:val="auto"/>
              </w:rPr>
              <w:t>―</w:t>
            </w:r>
          </w:p>
        </w:tc>
        <w:tc>
          <w:tcPr>
            <w:tcW w:w="2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280" w:type="dxa"/>
            <w:vAlign w:val="bottom"/>
          </w:tcPr>
          <w:p>
            <w:pPr>
              <w:jc w:val="right"/>
              <w:ind w:right="42"/>
              <w:spacing w:after="0"/>
              <w:rPr>
                <w:sz w:val="20"/>
                <w:szCs w:val="20"/>
                <w:color w:val="auto"/>
              </w:rPr>
            </w:pPr>
            <w:r>
              <w:rPr>
                <w:rFonts w:ascii="Arial" w:cs="Arial" w:eastAsia="Arial" w:hAnsi="Arial"/>
                <w:sz w:val="16"/>
                <w:szCs w:val="16"/>
                <w:color w:val="auto"/>
              </w:rPr>
              <w:t>―</w:t>
            </w:r>
          </w:p>
        </w:tc>
        <w:tc>
          <w:tcPr>
            <w:tcW w:w="32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20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r>
      <w:tr>
        <w:trPr>
          <w:trHeight w:val="164"/>
        </w:trPr>
        <w:tc>
          <w:tcPr>
            <w:tcW w:w="20" w:type="dxa"/>
            <w:vAlign w:val="bottom"/>
          </w:tcPr>
          <w:p>
            <w:pPr>
              <w:spacing w:after="0"/>
              <w:rPr>
                <w:sz w:val="14"/>
                <w:szCs w:val="14"/>
                <w:color w:val="auto"/>
              </w:rPr>
            </w:pPr>
          </w:p>
        </w:tc>
        <w:tc>
          <w:tcPr>
            <w:tcW w:w="5180" w:type="dxa"/>
            <w:vAlign w:val="bottom"/>
            <w:tcBorders>
              <w:top w:val="single" w:sz="8" w:color="auto"/>
            </w:tcBorders>
          </w:tcPr>
          <w:p>
            <w:pPr>
              <w:spacing w:after="0" w:line="164" w:lineRule="exact"/>
              <w:rPr>
                <w:sz w:val="20"/>
                <w:szCs w:val="20"/>
                <w:color w:val="auto"/>
              </w:rPr>
            </w:pPr>
            <w:r>
              <w:rPr>
                <w:rFonts w:ascii="Arial" w:cs="Arial" w:eastAsia="Arial" w:hAnsi="Arial"/>
                <w:sz w:val="16"/>
                <w:szCs w:val="16"/>
                <w:b w:val="1"/>
                <w:bCs w:val="1"/>
                <w:color w:val="auto"/>
              </w:rPr>
              <w:t>SoCalGas:</w:t>
            </w:r>
          </w:p>
        </w:tc>
        <w:tc>
          <w:tcPr>
            <w:tcW w:w="360" w:type="dxa"/>
            <w:vAlign w:val="bottom"/>
            <w:tcBorders>
              <w:top w:val="single" w:sz="8" w:color="auto"/>
            </w:tcBorders>
          </w:tcPr>
          <w:p>
            <w:pPr>
              <w:spacing w:after="0"/>
              <w:rPr>
                <w:sz w:val="14"/>
                <w:szCs w:val="14"/>
                <w:color w:val="auto"/>
              </w:rPr>
            </w:pPr>
          </w:p>
        </w:tc>
        <w:tc>
          <w:tcPr>
            <w:tcW w:w="1260" w:type="dxa"/>
            <w:vAlign w:val="bottom"/>
            <w:tcBorders>
              <w:top w:val="single" w:sz="8" w:color="auto"/>
            </w:tcBorders>
          </w:tcPr>
          <w:p>
            <w:pPr>
              <w:spacing w:after="0"/>
              <w:rPr>
                <w:sz w:val="14"/>
                <w:szCs w:val="14"/>
                <w:color w:val="auto"/>
              </w:rPr>
            </w:pPr>
          </w:p>
        </w:tc>
        <w:tc>
          <w:tcPr>
            <w:tcW w:w="300" w:type="dxa"/>
            <w:vAlign w:val="bottom"/>
            <w:tcBorders>
              <w:top w:val="single" w:sz="8" w:color="auto"/>
            </w:tcBorders>
          </w:tcPr>
          <w:p>
            <w:pPr>
              <w:spacing w:after="0"/>
              <w:rPr>
                <w:sz w:val="14"/>
                <w:szCs w:val="14"/>
                <w:color w:val="auto"/>
              </w:rPr>
            </w:pPr>
          </w:p>
        </w:tc>
        <w:tc>
          <w:tcPr>
            <w:tcW w:w="1240" w:type="dxa"/>
            <w:vAlign w:val="bottom"/>
            <w:tcBorders>
              <w:top w:val="single" w:sz="8" w:color="auto"/>
            </w:tcBorders>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1280" w:type="dxa"/>
            <w:vAlign w:val="bottom"/>
            <w:tcBorders>
              <w:top w:val="single" w:sz="8" w:color="auto"/>
            </w:tcBorders>
          </w:tcPr>
          <w:p>
            <w:pPr>
              <w:spacing w:after="0"/>
              <w:rPr>
                <w:sz w:val="14"/>
                <w:szCs w:val="14"/>
                <w:color w:val="auto"/>
              </w:rPr>
            </w:pPr>
          </w:p>
        </w:tc>
        <w:tc>
          <w:tcPr>
            <w:tcW w:w="320" w:type="dxa"/>
            <w:vAlign w:val="bottom"/>
            <w:tcBorders>
              <w:top w:val="single" w:sz="8" w:color="auto"/>
            </w:tcBorders>
          </w:tcPr>
          <w:p>
            <w:pPr>
              <w:spacing w:after="0"/>
              <w:rPr>
                <w:sz w:val="14"/>
                <w:szCs w:val="14"/>
                <w:color w:val="auto"/>
              </w:rPr>
            </w:pPr>
          </w:p>
        </w:tc>
        <w:tc>
          <w:tcPr>
            <w:tcW w:w="1180" w:type="dxa"/>
            <w:vAlign w:val="bottom"/>
            <w:tcBorders>
              <w:top w:val="single" w:sz="8" w:color="auto"/>
            </w:tcBorders>
          </w:tcPr>
          <w:p>
            <w:pPr>
              <w:spacing w:after="0"/>
              <w:rPr>
                <w:sz w:val="14"/>
                <w:szCs w:val="14"/>
                <w:color w:val="auto"/>
              </w:rPr>
            </w:pPr>
          </w:p>
        </w:tc>
        <w:tc>
          <w:tcPr>
            <w:tcW w:w="20" w:type="dxa"/>
            <w:vAlign w:val="bottom"/>
          </w:tcPr>
          <w:p>
            <w:pPr>
              <w:spacing w:after="0"/>
              <w:rPr>
                <w:sz w:val="14"/>
                <w:szCs w:val="14"/>
                <w:color w:val="auto"/>
              </w:rPr>
            </w:pPr>
          </w:p>
        </w:tc>
      </w:tr>
      <w:tr>
        <w:trPr>
          <w:trHeight w:val="194"/>
        </w:trPr>
        <w:tc>
          <w:tcPr>
            <w:tcW w:w="20" w:type="dxa"/>
            <w:vAlign w:val="bottom"/>
          </w:tcPr>
          <w:p>
            <w:pPr>
              <w:spacing w:after="0"/>
              <w:rPr>
                <w:sz w:val="16"/>
                <w:szCs w:val="16"/>
                <w:color w:val="auto"/>
              </w:rPr>
            </w:pPr>
          </w:p>
        </w:tc>
        <w:tc>
          <w:tcPr>
            <w:tcW w:w="5180" w:type="dxa"/>
            <w:vAlign w:val="bottom"/>
            <w:tcBorders>
              <w:bottom w:val="single" w:sz="8" w:color="auto"/>
            </w:tcBorders>
          </w:tcPr>
          <w:p>
            <w:pPr>
              <w:ind w:left="160"/>
              <w:spacing w:after="0"/>
              <w:rPr>
                <w:sz w:val="20"/>
                <w:szCs w:val="20"/>
                <w:color w:val="auto"/>
              </w:rPr>
            </w:pPr>
            <w:r>
              <w:rPr>
                <w:rFonts w:ascii="Arial" w:cs="Arial" w:eastAsia="Arial" w:hAnsi="Arial"/>
                <w:sz w:val="16"/>
                <w:szCs w:val="16"/>
                <w:color w:val="auto"/>
              </w:rPr>
              <w:t>Interest rate instrument</w:t>
            </w:r>
          </w:p>
        </w:tc>
        <w:tc>
          <w:tcPr>
            <w:tcW w:w="3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color w:val="auto"/>
              </w:rPr>
              <w:t>3</w:t>
            </w:r>
          </w:p>
        </w:tc>
        <w:tc>
          <w:tcPr>
            <w:tcW w:w="3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6"/>
                <w:szCs w:val="16"/>
                <w:color w:val="auto"/>
              </w:rPr>
            </w:pPr>
          </w:p>
        </w:tc>
      </w:tr>
      <w:tr>
        <w:trPr>
          <w:trHeight w:val="372"/>
        </w:trPr>
        <w:tc>
          <w:tcPr>
            <w:tcW w:w="5200" w:type="dxa"/>
            <w:vAlign w:val="bottom"/>
            <w:tcBorders>
              <w:bottom w:val="single" w:sz="8" w:color="auto"/>
            </w:tcBorders>
            <w:gridSpan w:val="2"/>
          </w:tcPr>
          <w:p>
            <w:pPr>
              <w:spacing w:after="0"/>
              <w:rPr>
                <w:sz w:val="20"/>
                <w:szCs w:val="20"/>
                <w:color w:val="auto"/>
              </w:rPr>
            </w:pPr>
            <w:r>
              <w:rPr>
                <w:rFonts w:ascii="Arial" w:cs="Arial" w:eastAsia="Arial" w:hAnsi="Arial"/>
                <w:sz w:val="14"/>
                <w:szCs w:val="14"/>
                <w:color w:val="auto"/>
              </w:rPr>
              <w:t>Derivatives not designated as hedging instruments</w:t>
            </w:r>
          </w:p>
        </w:tc>
        <w:tc>
          <w:tcPr>
            <w:tcW w:w="36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164"/>
        </w:trPr>
        <w:tc>
          <w:tcPr>
            <w:tcW w:w="5200" w:type="dxa"/>
            <w:vAlign w:val="bottom"/>
            <w:gridSpan w:val="2"/>
          </w:tcPr>
          <w:p>
            <w:pPr>
              <w:spacing w:after="0" w:line="164" w:lineRule="exact"/>
              <w:rPr>
                <w:sz w:val="20"/>
                <w:szCs w:val="20"/>
                <w:color w:val="auto"/>
              </w:rPr>
            </w:pPr>
            <w:r>
              <w:rPr>
                <w:rFonts w:ascii="Arial" w:cs="Arial" w:eastAsia="Arial" w:hAnsi="Arial"/>
                <w:sz w:val="16"/>
                <w:szCs w:val="16"/>
                <w:b w:val="1"/>
                <w:bCs w:val="1"/>
                <w:color w:val="auto"/>
              </w:rPr>
              <w:t>Sempra Energy Consolidated:</w:t>
            </w:r>
          </w:p>
        </w:tc>
        <w:tc>
          <w:tcPr>
            <w:tcW w:w="3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76"/>
        </w:trPr>
        <w:tc>
          <w:tcPr>
            <w:tcW w:w="20" w:type="dxa"/>
            <w:vAlign w:val="bottom"/>
          </w:tcPr>
          <w:p>
            <w:pPr>
              <w:spacing w:after="0"/>
              <w:rPr>
                <w:sz w:val="15"/>
                <w:szCs w:val="15"/>
                <w:color w:val="auto"/>
              </w:rPr>
            </w:pPr>
          </w:p>
        </w:tc>
        <w:tc>
          <w:tcPr>
            <w:tcW w:w="5180" w:type="dxa"/>
            <w:vAlign w:val="bottom"/>
          </w:tcPr>
          <w:p>
            <w:pPr>
              <w:ind w:left="160"/>
              <w:spacing w:after="0" w:line="176" w:lineRule="exact"/>
              <w:rPr>
                <w:sz w:val="20"/>
                <w:szCs w:val="20"/>
                <w:color w:val="auto"/>
              </w:rPr>
            </w:pPr>
            <w:r>
              <w:rPr>
                <w:rFonts w:ascii="Arial" w:cs="Arial" w:eastAsia="Arial" w:hAnsi="Arial"/>
                <w:sz w:val="16"/>
                <w:szCs w:val="16"/>
                <w:color w:val="auto"/>
              </w:rPr>
              <w:t>Interest rate instruments(3)</w:t>
            </w:r>
          </w:p>
        </w:tc>
        <w:tc>
          <w:tcPr>
            <w:tcW w:w="360" w:type="dxa"/>
            <w:vAlign w:val="bottom"/>
          </w:tcPr>
          <w:p>
            <w:pPr>
              <w:jc w:val="right"/>
              <w:ind w:right="19"/>
              <w:spacing w:after="0" w:line="176" w:lineRule="exact"/>
              <w:rPr>
                <w:sz w:val="20"/>
                <w:szCs w:val="20"/>
                <w:color w:val="auto"/>
              </w:rPr>
            </w:pPr>
            <w:r>
              <w:rPr>
                <w:rFonts w:ascii="Arial" w:cs="Arial" w:eastAsia="Arial" w:hAnsi="Arial"/>
                <w:sz w:val="16"/>
                <w:szCs w:val="16"/>
                <w:color w:val="auto"/>
              </w:rPr>
              <w:t>$</w:t>
            </w:r>
          </w:p>
        </w:tc>
        <w:tc>
          <w:tcPr>
            <w:tcW w:w="1260" w:type="dxa"/>
            <w:vAlign w:val="bottom"/>
          </w:tcPr>
          <w:p>
            <w:pPr>
              <w:jc w:val="right"/>
              <w:ind w:right="42"/>
              <w:spacing w:after="0" w:line="176" w:lineRule="exact"/>
              <w:rPr>
                <w:sz w:val="20"/>
                <w:szCs w:val="20"/>
                <w:color w:val="auto"/>
              </w:rPr>
            </w:pPr>
            <w:r>
              <w:rPr>
                <w:rFonts w:ascii="Arial" w:cs="Arial" w:eastAsia="Arial" w:hAnsi="Arial"/>
                <w:sz w:val="16"/>
                <w:szCs w:val="16"/>
                <w:color w:val="auto"/>
              </w:rPr>
              <w:t>9</w:t>
            </w:r>
          </w:p>
        </w:tc>
        <w:tc>
          <w:tcPr>
            <w:tcW w:w="300" w:type="dxa"/>
            <w:vAlign w:val="bottom"/>
          </w:tcPr>
          <w:p>
            <w:pPr>
              <w:jc w:val="right"/>
              <w:ind w:right="39"/>
              <w:spacing w:after="0" w:line="176" w:lineRule="exact"/>
              <w:rPr>
                <w:sz w:val="20"/>
                <w:szCs w:val="20"/>
                <w:color w:val="auto"/>
              </w:rPr>
            </w:pPr>
            <w:r>
              <w:rPr>
                <w:rFonts w:ascii="Arial" w:cs="Arial" w:eastAsia="Arial" w:hAnsi="Arial"/>
                <w:sz w:val="16"/>
                <w:szCs w:val="16"/>
                <w:color w:val="auto"/>
              </w:rPr>
              <w:t>$</w:t>
            </w:r>
          </w:p>
        </w:tc>
        <w:tc>
          <w:tcPr>
            <w:tcW w:w="1240" w:type="dxa"/>
            <w:vAlign w:val="bottom"/>
          </w:tcPr>
          <w:p>
            <w:pPr>
              <w:jc w:val="right"/>
              <w:ind w:right="41"/>
              <w:spacing w:after="0" w:line="176" w:lineRule="exact"/>
              <w:rPr>
                <w:sz w:val="20"/>
                <w:szCs w:val="20"/>
                <w:color w:val="auto"/>
              </w:rPr>
            </w:pPr>
            <w:r>
              <w:rPr>
                <w:rFonts w:ascii="Arial" w:cs="Arial" w:eastAsia="Arial" w:hAnsi="Arial"/>
                <w:sz w:val="16"/>
                <w:szCs w:val="16"/>
                <w:color w:val="auto"/>
              </w:rPr>
              <w:t>22</w:t>
            </w:r>
          </w:p>
        </w:tc>
        <w:tc>
          <w:tcPr>
            <w:tcW w:w="280" w:type="dxa"/>
            <w:vAlign w:val="bottom"/>
          </w:tcPr>
          <w:p>
            <w:pPr>
              <w:jc w:val="right"/>
              <w:ind w:right="39"/>
              <w:spacing w:after="0" w:line="176" w:lineRule="exact"/>
              <w:rPr>
                <w:sz w:val="20"/>
                <w:szCs w:val="20"/>
                <w:color w:val="auto"/>
              </w:rPr>
            </w:pPr>
            <w:r>
              <w:rPr>
                <w:rFonts w:ascii="Arial" w:cs="Arial" w:eastAsia="Arial" w:hAnsi="Arial"/>
                <w:sz w:val="16"/>
                <w:szCs w:val="16"/>
                <w:color w:val="auto"/>
              </w:rPr>
              <w:t>$</w:t>
            </w:r>
          </w:p>
        </w:tc>
        <w:tc>
          <w:tcPr>
            <w:tcW w:w="1280" w:type="dxa"/>
            <w:vAlign w:val="bottom"/>
          </w:tcPr>
          <w:p>
            <w:pPr>
              <w:jc w:val="right"/>
              <w:ind w:right="2"/>
              <w:spacing w:after="0" w:line="176" w:lineRule="exact"/>
              <w:rPr>
                <w:sz w:val="20"/>
                <w:szCs w:val="20"/>
                <w:color w:val="auto"/>
              </w:rPr>
            </w:pPr>
            <w:r>
              <w:rPr>
                <w:rFonts w:ascii="Arial" w:cs="Arial" w:eastAsia="Arial" w:hAnsi="Arial"/>
                <w:sz w:val="16"/>
                <w:szCs w:val="16"/>
                <w:color w:val="auto"/>
              </w:rPr>
              <w:t>(25)</w:t>
            </w:r>
          </w:p>
        </w:tc>
        <w:tc>
          <w:tcPr>
            <w:tcW w:w="320" w:type="dxa"/>
            <w:vAlign w:val="bottom"/>
          </w:tcPr>
          <w:p>
            <w:pPr>
              <w:jc w:val="right"/>
              <w:ind w:right="79"/>
              <w:spacing w:after="0" w:line="176" w:lineRule="exact"/>
              <w:rPr>
                <w:sz w:val="20"/>
                <w:szCs w:val="20"/>
                <w:color w:val="auto"/>
              </w:rPr>
            </w:pPr>
            <w:r>
              <w:rPr>
                <w:rFonts w:ascii="Arial" w:cs="Arial" w:eastAsia="Arial" w:hAnsi="Arial"/>
                <w:sz w:val="16"/>
                <w:szCs w:val="16"/>
                <w:color w:val="auto"/>
              </w:rPr>
              <w:t>$</w:t>
            </w:r>
          </w:p>
        </w:tc>
        <w:tc>
          <w:tcPr>
            <w:tcW w:w="1200" w:type="dxa"/>
            <w:vAlign w:val="bottom"/>
            <w:gridSpan w:val="2"/>
          </w:tcPr>
          <w:p>
            <w:pPr>
              <w:jc w:val="right"/>
              <w:ind w:right="20"/>
              <w:spacing w:after="0" w:line="176" w:lineRule="exact"/>
              <w:rPr>
                <w:sz w:val="20"/>
                <w:szCs w:val="20"/>
                <w:color w:val="auto"/>
              </w:rPr>
            </w:pPr>
            <w:r>
              <w:rPr>
                <w:rFonts w:ascii="Arial" w:cs="Arial" w:eastAsia="Arial" w:hAnsi="Arial"/>
                <w:sz w:val="16"/>
                <w:szCs w:val="16"/>
                <w:color w:val="auto"/>
              </w:rPr>
              <w:t>(57)</w:t>
            </w:r>
          </w:p>
        </w:tc>
      </w:tr>
      <w:tr>
        <w:trPr>
          <w:trHeight w:val="176"/>
        </w:trPr>
        <w:tc>
          <w:tcPr>
            <w:tcW w:w="20" w:type="dxa"/>
            <w:vAlign w:val="bottom"/>
          </w:tcPr>
          <w:p>
            <w:pPr>
              <w:spacing w:after="0"/>
              <w:rPr>
                <w:sz w:val="15"/>
                <w:szCs w:val="15"/>
                <w:color w:val="auto"/>
              </w:rPr>
            </w:pPr>
          </w:p>
        </w:tc>
        <w:tc>
          <w:tcPr>
            <w:tcW w:w="5180" w:type="dxa"/>
            <w:vAlign w:val="bottom"/>
          </w:tcPr>
          <w:p>
            <w:pPr>
              <w:ind w:left="160"/>
              <w:spacing w:after="0" w:line="176" w:lineRule="exact"/>
              <w:rPr>
                <w:sz w:val="20"/>
                <w:szCs w:val="20"/>
                <w:color w:val="auto"/>
              </w:rPr>
            </w:pPr>
            <w:r>
              <w:rPr>
                <w:rFonts w:ascii="Arial" w:cs="Arial" w:eastAsia="Arial" w:hAnsi="Arial"/>
                <w:sz w:val="16"/>
                <w:szCs w:val="16"/>
                <w:color w:val="auto"/>
              </w:rPr>
              <w:t>Commodity contracts not subject to rate recovery</w:t>
            </w:r>
          </w:p>
        </w:tc>
        <w:tc>
          <w:tcPr>
            <w:tcW w:w="360" w:type="dxa"/>
            <w:vAlign w:val="bottom"/>
          </w:tcPr>
          <w:p>
            <w:pPr>
              <w:spacing w:after="0"/>
              <w:rPr>
                <w:sz w:val="15"/>
                <w:szCs w:val="15"/>
                <w:color w:val="auto"/>
              </w:rPr>
            </w:pPr>
          </w:p>
        </w:tc>
        <w:tc>
          <w:tcPr>
            <w:tcW w:w="1260" w:type="dxa"/>
            <w:vAlign w:val="bottom"/>
          </w:tcPr>
          <w:p>
            <w:pPr>
              <w:jc w:val="right"/>
              <w:ind w:right="42"/>
              <w:spacing w:after="0" w:line="176" w:lineRule="exact"/>
              <w:rPr>
                <w:sz w:val="20"/>
                <w:szCs w:val="20"/>
                <w:color w:val="auto"/>
              </w:rPr>
            </w:pPr>
            <w:r>
              <w:rPr>
                <w:rFonts w:ascii="Arial" w:cs="Arial" w:eastAsia="Arial" w:hAnsi="Arial"/>
                <w:sz w:val="16"/>
                <w:szCs w:val="16"/>
                <w:color w:val="auto"/>
              </w:rPr>
              <w:t>59</w:t>
            </w:r>
          </w:p>
        </w:tc>
        <w:tc>
          <w:tcPr>
            <w:tcW w:w="300" w:type="dxa"/>
            <w:vAlign w:val="bottom"/>
          </w:tcPr>
          <w:p>
            <w:pPr>
              <w:spacing w:after="0"/>
              <w:rPr>
                <w:sz w:val="15"/>
                <w:szCs w:val="15"/>
                <w:color w:val="auto"/>
              </w:rPr>
            </w:pPr>
          </w:p>
        </w:tc>
        <w:tc>
          <w:tcPr>
            <w:tcW w:w="1240" w:type="dxa"/>
            <w:vAlign w:val="bottom"/>
          </w:tcPr>
          <w:p>
            <w:pPr>
              <w:jc w:val="right"/>
              <w:ind w:right="41"/>
              <w:spacing w:after="0" w:line="176" w:lineRule="exact"/>
              <w:rPr>
                <w:sz w:val="20"/>
                <w:szCs w:val="20"/>
                <w:color w:val="auto"/>
              </w:rPr>
            </w:pPr>
            <w:r>
              <w:rPr>
                <w:rFonts w:ascii="Arial" w:cs="Arial" w:eastAsia="Arial" w:hAnsi="Arial"/>
                <w:sz w:val="16"/>
                <w:szCs w:val="16"/>
                <w:color w:val="auto"/>
              </w:rPr>
              <w:t>20</w:t>
            </w:r>
          </w:p>
        </w:tc>
        <w:tc>
          <w:tcPr>
            <w:tcW w:w="280" w:type="dxa"/>
            <w:vAlign w:val="bottom"/>
          </w:tcPr>
          <w:p>
            <w:pPr>
              <w:spacing w:after="0"/>
              <w:rPr>
                <w:sz w:val="15"/>
                <w:szCs w:val="15"/>
                <w:color w:val="auto"/>
              </w:rPr>
            </w:pPr>
          </w:p>
        </w:tc>
        <w:tc>
          <w:tcPr>
            <w:tcW w:w="1280" w:type="dxa"/>
            <w:vAlign w:val="bottom"/>
          </w:tcPr>
          <w:p>
            <w:pPr>
              <w:jc w:val="right"/>
              <w:ind w:right="2"/>
              <w:spacing w:after="0" w:line="176" w:lineRule="exact"/>
              <w:rPr>
                <w:sz w:val="20"/>
                <w:szCs w:val="20"/>
                <w:color w:val="auto"/>
              </w:rPr>
            </w:pPr>
            <w:r>
              <w:rPr>
                <w:rFonts w:ascii="Arial" w:cs="Arial" w:eastAsia="Arial" w:hAnsi="Arial"/>
                <w:sz w:val="16"/>
                <w:szCs w:val="16"/>
                <w:color w:val="auto"/>
              </w:rPr>
              <w:t>(44)</w:t>
            </w:r>
          </w:p>
        </w:tc>
        <w:tc>
          <w:tcPr>
            <w:tcW w:w="320" w:type="dxa"/>
            <w:vAlign w:val="bottom"/>
          </w:tcPr>
          <w:p>
            <w:pPr>
              <w:spacing w:after="0"/>
              <w:rPr>
                <w:sz w:val="15"/>
                <w:szCs w:val="15"/>
                <w:color w:val="auto"/>
              </w:rPr>
            </w:pPr>
          </w:p>
        </w:tc>
        <w:tc>
          <w:tcPr>
            <w:tcW w:w="1200" w:type="dxa"/>
            <w:vAlign w:val="bottom"/>
            <w:gridSpan w:val="2"/>
          </w:tcPr>
          <w:p>
            <w:pPr>
              <w:jc w:val="right"/>
              <w:ind w:right="20"/>
              <w:spacing w:after="0" w:line="176" w:lineRule="exact"/>
              <w:rPr>
                <w:sz w:val="20"/>
                <w:szCs w:val="20"/>
                <w:color w:val="auto"/>
              </w:rPr>
            </w:pPr>
            <w:r>
              <w:rPr>
                <w:rFonts w:ascii="Arial" w:cs="Arial" w:eastAsia="Arial" w:hAnsi="Arial"/>
                <w:sz w:val="16"/>
                <w:szCs w:val="16"/>
                <w:color w:val="auto"/>
              </w:rPr>
              <w:t>(34)</w:t>
            </w:r>
          </w:p>
        </w:tc>
      </w:tr>
      <w:tr>
        <w:trPr>
          <w:trHeight w:val="176"/>
        </w:trPr>
        <w:tc>
          <w:tcPr>
            <w:tcW w:w="20" w:type="dxa"/>
            <w:vAlign w:val="bottom"/>
          </w:tcPr>
          <w:p>
            <w:pPr>
              <w:spacing w:after="0"/>
              <w:rPr>
                <w:sz w:val="15"/>
                <w:szCs w:val="15"/>
                <w:color w:val="auto"/>
              </w:rPr>
            </w:pPr>
          </w:p>
        </w:tc>
        <w:tc>
          <w:tcPr>
            <w:tcW w:w="5180" w:type="dxa"/>
            <w:vAlign w:val="bottom"/>
          </w:tcPr>
          <w:p>
            <w:pPr>
              <w:ind w:left="340"/>
              <w:spacing w:after="0" w:line="176" w:lineRule="exact"/>
              <w:rPr>
                <w:sz w:val="20"/>
                <w:szCs w:val="20"/>
                <w:color w:val="auto"/>
              </w:rPr>
            </w:pPr>
            <w:r>
              <w:rPr>
                <w:rFonts w:ascii="Arial" w:cs="Arial" w:eastAsia="Arial" w:hAnsi="Arial"/>
                <w:sz w:val="16"/>
                <w:szCs w:val="16"/>
                <w:color w:val="auto"/>
              </w:rPr>
              <w:t>Associated offsetting commodity contracts</w:t>
            </w:r>
          </w:p>
        </w:tc>
        <w:tc>
          <w:tcPr>
            <w:tcW w:w="360" w:type="dxa"/>
            <w:vAlign w:val="bottom"/>
          </w:tcPr>
          <w:p>
            <w:pPr>
              <w:spacing w:after="0"/>
              <w:rPr>
                <w:sz w:val="15"/>
                <w:szCs w:val="15"/>
                <w:color w:val="auto"/>
              </w:rPr>
            </w:pPr>
          </w:p>
        </w:tc>
        <w:tc>
          <w:tcPr>
            <w:tcW w:w="1260" w:type="dxa"/>
            <w:vAlign w:val="bottom"/>
          </w:tcPr>
          <w:p>
            <w:pPr>
              <w:jc w:val="right"/>
              <w:ind w:right="2"/>
              <w:spacing w:after="0" w:line="176" w:lineRule="exact"/>
              <w:rPr>
                <w:sz w:val="20"/>
                <w:szCs w:val="20"/>
                <w:color w:val="auto"/>
              </w:rPr>
            </w:pPr>
            <w:r>
              <w:rPr>
                <w:rFonts w:ascii="Arial" w:cs="Arial" w:eastAsia="Arial" w:hAnsi="Arial"/>
                <w:sz w:val="16"/>
                <w:szCs w:val="16"/>
                <w:color w:val="auto"/>
              </w:rPr>
              <w:t>(2)</w:t>
            </w:r>
          </w:p>
        </w:tc>
        <w:tc>
          <w:tcPr>
            <w:tcW w:w="300" w:type="dxa"/>
            <w:vAlign w:val="bottom"/>
          </w:tcPr>
          <w:p>
            <w:pPr>
              <w:spacing w:after="0"/>
              <w:rPr>
                <w:sz w:val="15"/>
                <w:szCs w:val="15"/>
                <w:color w:val="auto"/>
              </w:rPr>
            </w:pPr>
          </w:p>
        </w:tc>
        <w:tc>
          <w:tcPr>
            <w:tcW w:w="1240" w:type="dxa"/>
            <w:vAlign w:val="bottom"/>
          </w:tcPr>
          <w:p>
            <w:pPr>
              <w:jc w:val="right"/>
              <w:ind w:right="1"/>
              <w:spacing w:after="0" w:line="176" w:lineRule="exact"/>
              <w:rPr>
                <w:sz w:val="20"/>
                <w:szCs w:val="20"/>
                <w:color w:val="auto"/>
              </w:rPr>
            </w:pPr>
            <w:r>
              <w:rPr>
                <w:rFonts w:ascii="Arial" w:cs="Arial" w:eastAsia="Arial" w:hAnsi="Arial"/>
                <w:sz w:val="16"/>
                <w:szCs w:val="16"/>
                <w:color w:val="auto"/>
              </w:rPr>
              <w:t>(8)</w:t>
            </w:r>
          </w:p>
        </w:tc>
        <w:tc>
          <w:tcPr>
            <w:tcW w:w="280" w:type="dxa"/>
            <w:vAlign w:val="bottom"/>
          </w:tcPr>
          <w:p>
            <w:pPr>
              <w:spacing w:after="0"/>
              <w:rPr>
                <w:sz w:val="15"/>
                <w:szCs w:val="15"/>
                <w:color w:val="auto"/>
              </w:rPr>
            </w:pPr>
          </w:p>
        </w:tc>
        <w:tc>
          <w:tcPr>
            <w:tcW w:w="1280" w:type="dxa"/>
            <w:vAlign w:val="bottom"/>
          </w:tcPr>
          <w:p>
            <w:pPr>
              <w:jc w:val="right"/>
              <w:ind w:right="42"/>
              <w:spacing w:after="0" w:line="176" w:lineRule="exact"/>
              <w:rPr>
                <w:sz w:val="20"/>
                <w:szCs w:val="20"/>
                <w:color w:val="auto"/>
              </w:rPr>
            </w:pPr>
            <w:r>
              <w:rPr>
                <w:rFonts w:ascii="Arial" w:cs="Arial" w:eastAsia="Arial" w:hAnsi="Arial"/>
                <w:sz w:val="16"/>
                <w:szCs w:val="16"/>
                <w:color w:val="auto"/>
              </w:rPr>
              <w:t>2</w:t>
            </w:r>
          </w:p>
        </w:tc>
        <w:tc>
          <w:tcPr>
            <w:tcW w:w="320" w:type="dxa"/>
            <w:vAlign w:val="bottom"/>
          </w:tcPr>
          <w:p>
            <w:pPr>
              <w:spacing w:after="0"/>
              <w:rPr>
                <w:sz w:val="15"/>
                <w:szCs w:val="15"/>
                <w:color w:val="auto"/>
              </w:rPr>
            </w:pPr>
          </w:p>
        </w:tc>
        <w:tc>
          <w:tcPr>
            <w:tcW w:w="1180" w:type="dxa"/>
            <w:vAlign w:val="bottom"/>
          </w:tcPr>
          <w:p>
            <w:pPr>
              <w:jc w:val="right"/>
              <w:spacing w:after="0" w:line="176" w:lineRule="exact"/>
              <w:rPr>
                <w:sz w:val="20"/>
                <w:szCs w:val="20"/>
                <w:color w:val="auto"/>
              </w:rPr>
            </w:pPr>
            <w:r>
              <w:rPr>
                <w:rFonts w:ascii="Arial" w:cs="Arial" w:eastAsia="Arial" w:hAnsi="Arial"/>
                <w:sz w:val="16"/>
                <w:szCs w:val="16"/>
                <w:color w:val="auto"/>
              </w:rPr>
              <w:t>8</w:t>
            </w:r>
          </w:p>
        </w:tc>
        <w:tc>
          <w:tcPr>
            <w:tcW w:w="20" w:type="dxa"/>
            <w:vAlign w:val="bottom"/>
          </w:tcPr>
          <w:p>
            <w:pPr>
              <w:spacing w:after="0"/>
              <w:rPr>
                <w:sz w:val="15"/>
                <w:szCs w:val="15"/>
                <w:color w:val="auto"/>
              </w:rPr>
            </w:pPr>
          </w:p>
        </w:tc>
      </w:tr>
      <w:tr>
        <w:trPr>
          <w:trHeight w:val="176"/>
        </w:trPr>
        <w:tc>
          <w:tcPr>
            <w:tcW w:w="20" w:type="dxa"/>
            <w:vAlign w:val="bottom"/>
          </w:tcPr>
          <w:p>
            <w:pPr>
              <w:spacing w:after="0"/>
              <w:rPr>
                <w:sz w:val="15"/>
                <w:szCs w:val="15"/>
                <w:color w:val="auto"/>
              </w:rPr>
            </w:pPr>
          </w:p>
        </w:tc>
        <w:tc>
          <w:tcPr>
            <w:tcW w:w="5180" w:type="dxa"/>
            <w:vAlign w:val="bottom"/>
          </w:tcPr>
          <w:p>
            <w:pPr>
              <w:ind w:left="160"/>
              <w:spacing w:after="0" w:line="176" w:lineRule="exact"/>
              <w:rPr>
                <w:sz w:val="20"/>
                <w:szCs w:val="20"/>
                <w:color w:val="auto"/>
              </w:rPr>
            </w:pPr>
            <w:r>
              <w:rPr>
                <w:rFonts w:ascii="Arial" w:cs="Arial" w:eastAsia="Arial" w:hAnsi="Arial"/>
                <w:sz w:val="16"/>
                <w:szCs w:val="16"/>
                <w:color w:val="auto"/>
              </w:rPr>
              <w:t>Commodity contracts subject to rate recovery</w:t>
            </w:r>
          </w:p>
        </w:tc>
        <w:tc>
          <w:tcPr>
            <w:tcW w:w="360" w:type="dxa"/>
            <w:vAlign w:val="bottom"/>
          </w:tcPr>
          <w:p>
            <w:pPr>
              <w:spacing w:after="0"/>
              <w:rPr>
                <w:sz w:val="15"/>
                <w:szCs w:val="15"/>
                <w:color w:val="auto"/>
              </w:rPr>
            </w:pPr>
          </w:p>
        </w:tc>
        <w:tc>
          <w:tcPr>
            <w:tcW w:w="1260" w:type="dxa"/>
            <w:vAlign w:val="bottom"/>
          </w:tcPr>
          <w:p>
            <w:pPr>
              <w:jc w:val="right"/>
              <w:ind w:right="42"/>
              <w:spacing w:after="0" w:line="176" w:lineRule="exact"/>
              <w:rPr>
                <w:sz w:val="20"/>
                <w:szCs w:val="20"/>
                <w:color w:val="auto"/>
              </w:rPr>
            </w:pPr>
            <w:r>
              <w:rPr>
                <w:rFonts w:ascii="Arial" w:cs="Arial" w:eastAsia="Arial" w:hAnsi="Arial"/>
                <w:sz w:val="16"/>
                <w:szCs w:val="16"/>
                <w:color w:val="auto"/>
              </w:rPr>
              <w:t>5</w:t>
            </w:r>
          </w:p>
        </w:tc>
        <w:tc>
          <w:tcPr>
            <w:tcW w:w="300" w:type="dxa"/>
            <w:vAlign w:val="bottom"/>
          </w:tcPr>
          <w:p>
            <w:pPr>
              <w:spacing w:after="0"/>
              <w:rPr>
                <w:sz w:val="15"/>
                <w:szCs w:val="15"/>
                <w:color w:val="auto"/>
              </w:rPr>
            </w:pPr>
          </w:p>
        </w:tc>
        <w:tc>
          <w:tcPr>
            <w:tcW w:w="1240" w:type="dxa"/>
            <w:vAlign w:val="bottom"/>
          </w:tcPr>
          <w:p>
            <w:pPr>
              <w:jc w:val="right"/>
              <w:ind w:right="41"/>
              <w:spacing w:after="0" w:line="176" w:lineRule="exact"/>
              <w:rPr>
                <w:sz w:val="20"/>
                <w:szCs w:val="20"/>
                <w:color w:val="auto"/>
              </w:rPr>
            </w:pPr>
            <w:r>
              <w:rPr>
                <w:rFonts w:ascii="Arial" w:cs="Arial" w:eastAsia="Arial" w:hAnsi="Arial"/>
                <w:sz w:val="16"/>
                <w:szCs w:val="16"/>
                <w:color w:val="auto"/>
              </w:rPr>
              <w:t>―</w:t>
            </w:r>
          </w:p>
        </w:tc>
        <w:tc>
          <w:tcPr>
            <w:tcW w:w="280" w:type="dxa"/>
            <w:vAlign w:val="bottom"/>
          </w:tcPr>
          <w:p>
            <w:pPr>
              <w:spacing w:after="0"/>
              <w:rPr>
                <w:sz w:val="15"/>
                <w:szCs w:val="15"/>
                <w:color w:val="auto"/>
              </w:rPr>
            </w:pPr>
          </w:p>
        </w:tc>
        <w:tc>
          <w:tcPr>
            <w:tcW w:w="1280" w:type="dxa"/>
            <w:vAlign w:val="bottom"/>
          </w:tcPr>
          <w:p>
            <w:pPr>
              <w:jc w:val="right"/>
              <w:ind w:right="2"/>
              <w:spacing w:after="0" w:line="176" w:lineRule="exact"/>
              <w:rPr>
                <w:sz w:val="20"/>
                <w:szCs w:val="20"/>
                <w:color w:val="auto"/>
              </w:rPr>
            </w:pPr>
            <w:r>
              <w:rPr>
                <w:rFonts w:ascii="Arial" w:cs="Arial" w:eastAsia="Arial" w:hAnsi="Arial"/>
                <w:sz w:val="16"/>
                <w:szCs w:val="16"/>
                <w:color w:val="auto"/>
              </w:rPr>
              <w:t>(43)</w:t>
            </w:r>
          </w:p>
        </w:tc>
        <w:tc>
          <w:tcPr>
            <w:tcW w:w="320" w:type="dxa"/>
            <w:vAlign w:val="bottom"/>
          </w:tcPr>
          <w:p>
            <w:pPr>
              <w:spacing w:after="0"/>
              <w:rPr>
                <w:sz w:val="15"/>
                <w:szCs w:val="15"/>
                <w:color w:val="auto"/>
              </w:rPr>
            </w:pPr>
          </w:p>
        </w:tc>
        <w:tc>
          <w:tcPr>
            <w:tcW w:w="1200" w:type="dxa"/>
            <w:vAlign w:val="bottom"/>
            <w:gridSpan w:val="2"/>
          </w:tcPr>
          <w:p>
            <w:pPr>
              <w:jc w:val="right"/>
              <w:ind w:right="20"/>
              <w:spacing w:after="0" w:line="176" w:lineRule="exact"/>
              <w:rPr>
                <w:sz w:val="20"/>
                <w:szCs w:val="20"/>
                <w:color w:val="auto"/>
              </w:rPr>
            </w:pPr>
            <w:r>
              <w:rPr>
                <w:rFonts w:ascii="Arial" w:cs="Arial" w:eastAsia="Arial" w:hAnsi="Arial"/>
                <w:sz w:val="16"/>
                <w:szCs w:val="16"/>
                <w:color w:val="auto"/>
              </w:rPr>
              <w:t>(27)</w:t>
            </w:r>
          </w:p>
        </w:tc>
      </w:tr>
      <w:tr>
        <w:trPr>
          <w:trHeight w:val="194"/>
        </w:trPr>
        <w:tc>
          <w:tcPr>
            <w:tcW w:w="20" w:type="dxa"/>
            <w:vAlign w:val="bottom"/>
          </w:tcPr>
          <w:p>
            <w:pPr>
              <w:spacing w:after="0"/>
              <w:rPr>
                <w:sz w:val="16"/>
                <w:szCs w:val="16"/>
                <w:color w:val="auto"/>
              </w:rPr>
            </w:pPr>
          </w:p>
        </w:tc>
        <w:tc>
          <w:tcPr>
            <w:tcW w:w="5180" w:type="dxa"/>
            <w:vAlign w:val="bottom"/>
          </w:tcPr>
          <w:p>
            <w:pPr>
              <w:ind w:left="340"/>
              <w:spacing w:after="0"/>
              <w:rPr>
                <w:sz w:val="20"/>
                <w:szCs w:val="20"/>
                <w:color w:val="auto"/>
              </w:rPr>
            </w:pPr>
            <w:r>
              <w:rPr>
                <w:rFonts w:ascii="Arial" w:cs="Arial" w:eastAsia="Arial" w:hAnsi="Arial"/>
                <w:sz w:val="16"/>
                <w:szCs w:val="16"/>
                <w:color w:val="auto"/>
              </w:rPr>
              <w:t>Associated offsetting commodity contracts</w:t>
            </w:r>
          </w:p>
        </w:tc>
        <w:tc>
          <w:tcPr>
            <w:tcW w:w="36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(37)</w:t>
            </w:r>
          </w:p>
        </w:tc>
        <w:tc>
          <w:tcPr>
            <w:tcW w:w="3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(26)</w:t>
            </w:r>
          </w:p>
        </w:tc>
        <w:tc>
          <w:tcPr>
            <w:tcW w:w="2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color w:val="auto"/>
              </w:rPr>
              <w:t>37</w:t>
            </w:r>
          </w:p>
        </w:tc>
        <w:tc>
          <w:tcPr>
            <w:tcW w:w="32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w:t>
            </w:r>
          </w:p>
        </w:tc>
        <w:tc>
          <w:tcPr>
            <w:tcW w:w="20" w:type="dxa"/>
            <w:vAlign w:val="bottom"/>
          </w:tcPr>
          <w:p>
            <w:pPr>
              <w:spacing w:after="0"/>
              <w:rPr>
                <w:sz w:val="16"/>
                <w:szCs w:val="16"/>
                <w:color w:val="auto"/>
              </w:rPr>
            </w:pPr>
          </w:p>
        </w:tc>
      </w:tr>
      <w:tr>
        <w:trPr>
          <w:trHeight w:val="183"/>
        </w:trPr>
        <w:tc>
          <w:tcPr>
            <w:tcW w:w="20" w:type="dxa"/>
            <w:vAlign w:val="bottom"/>
          </w:tcPr>
          <w:p>
            <w:pPr>
              <w:spacing w:after="0"/>
              <w:rPr>
                <w:sz w:val="15"/>
                <w:szCs w:val="15"/>
                <w:color w:val="auto"/>
              </w:rPr>
            </w:pPr>
          </w:p>
        </w:tc>
        <w:tc>
          <w:tcPr>
            <w:tcW w:w="5180" w:type="dxa"/>
            <w:vAlign w:val="bottom"/>
            <w:tcBorders>
              <w:bottom w:val="single" w:sz="8" w:color="auto"/>
            </w:tcBorders>
          </w:tcPr>
          <w:p>
            <w:pPr>
              <w:ind w:left="160"/>
              <w:spacing w:after="0" w:line="176" w:lineRule="exact"/>
              <w:rPr>
                <w:sz w:val="20"/>
                <w:szCs w:val="20"/>
                <w:color w:val="auto"/>
              </w:rPr>
            </w:pPr>
            <w:r>
              <w:rPr>
                <w:rFonts w:ascii="Arial" w:cs="Arial" w:eastAsia="Arial" w:hAnsi="Arial"/>
                <w:sz w:val="16"/>
                <w:szCs w:val="16"/>
                <w:color w:val="auto"/>
              </w:rPr>
              <w:t>Total</w:t>
            </w:r>
          </w:p>
        </w:tc>
        <w:tc>
          <w:tcPr>
            <w:tcW w:w="360" w:type="dxa"/>
            <w:vAlign w:val="bottom"/>
            <w:tcBorders>
              <w:bottom w:val="single" w:sz="8" w:color="auto"/>
            </w:tcBorders>
          </w:tcPr>
          <w:p>
            <w:pPr>
              <w:jc w:val="right"/>
              <w:ind w:right="19"/>
              <w:spacing w:after="0" w:line="176" w:lineRule="exact"/>
              <w:rPr>
                <w:sz w:val="20"/>
                <w:szCs w:val="20"/>
                <w:color w:val="auto"/>
              </w:rPr>
            </w:pPr>
            <w:r>
              <w:rPr>
                <w:rFonts w:ascii="Arial" w:cs="Arial" w:eastAsia="Arial" w:hAnsi="Arial"/>
                <w:sz w:val="16"/>
                <w:szCs w:val="16"/>
                <w:color w:val="auto"/>
              </w:rPr>
              <w:t>$</w:t>
            </w:r>
          </w:p>
        </w:tc>
        <w:tc>
          <w:tcPr>
            <w:tcW w:w="1260" w:type="dxa"/>
            <w:vAlign w:val="bottom"/>
            <w:tcBorders>
              <w:bottom w:val="single" w:sz="8" w:color="auto"/>
            </w:tcBorders>
          </w:tcPr>
          <w:p>
            <w:pPr>
              <w:jc w:val="right"/>
              <w:ind w:right="42"/>
              <w:spacing w:after="0" w:line="176" w:lineRule="exact"/>
              <w:rPr>
                <w:sz w:val="20"/>
                <w:szCs w:val="20"/>
                <w:color w:val="auto"/>
              </w:rPr>
            </w:pPr>
            <w:r>
              <w:rPr>
                <w:rFonts w:ascii="Arial" w:cs="Arial" w:eastAsia="Arial" w:hAnsi="Arial"/>
                <w:sz w:val="16"/>
                <w:szCs w:val="16"/>
                <w:color w:val="auto"/>
              </w:rPr>
              <w:t>34</w:t>
            </w:r>
          </w:p>
        </w:tc>
        <w:tc>
          <w:tcPr>
            <w:tcW w:w="300" w:type="dxa"/>
            <w:vAlign w:val="bottom"/>
            <w:tcBorders>
              <w:bottom w:val="single" w:sz="8" w:color="auto"/>
            </w:tcBorders>
          </w:tcPr>
          <w:p>
            <w:pPr>
              <w:jc w:val="right"/>
              <w:ind w:right="39"/>
              <w:spacing w:after="0" w:line="176" w:lineRule="exact"/>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tcPr>
          <w:p>
            <w:pPr>
              <w:jc w:val="right"/>
              <w:ind w:right="41"/>
              <w:spacing w:after="0" w:line="176" w:lineRule="exact"/>
              <w:rPr>
                <w:sz w:val="20"/>
                <w:szCs w:val="20"/>
                <w:color w:val="auto"/>
              </w:rPr>
            </w:pPr>
            <w:r>
              <w:rPr>
                <w:rFonts w:ascii="Arial" w:cs="Arial" w:eastAsia="Arial" w:hAnsi="Arial"/>
                <w:sz w:val="16"/>
                <w:szCs w:val="16"/>
                <w:color w:val="auto"/>
              </w:rPr>
              <w:t>8</w:t>
            </w:r>
          </w:p>
        </w:tc>
        <w:tc>
          <w:tcPr>
            <w:tcW w:w="280" w:type="dxa"/>
            <w:vAlign w:val="bottom"/>
            <w:tcBorders>
              <w:bottom w:val="single" w:sz="8" w:color="auto"/>
            </w:tcBorders>
          </w:tcPr>
          <w:p>
            <w:pPr>
              <w:jc w:val="right"/>
              <w:ind w:right="39"/>
              <w:spacing w:after="0" w:line="176" w:lineRule="exact"/>
              <w:rPr>
                <w:sz w:val="20"/>
                <w:szCs w:val="20"/>
                <w:color w:val="auto"/>
              </w:rPr>
            </w:pPr>
            <w:r>
              <w:rPr>
                <w:rFonts w:ascii="Arial" w:cs="Arial" w:eastAsia="Arial" w:hAnsi="Arial"/>
                <w:sz w:val="16"/>
                <w:szCs w:val="16"/>
                <w:color w:val="auto"/>
              </w:rPr>
              <w:t>$</w:t>
            </w:r>
          </w:p>
        </w:tc>
        <w:tc>
          <w:tcPr>
            <w:tcW w:w="1280" w:type="dxa"/>
            <w:vAlign w:val="bottom"/>
            <w:tcBorders>
              <w:bottom w:val="single" w:sz="8" w:color="auto"/>
            </w:tcBorders>
          </w:tcPr>
          <w:p>
            <w:pPr>
              <w:jc w:val="right"/>
              <w:ind w:right="2"/>
              <w:spacing w:after="0" w:line="176" w:lineRule="exact"/>
              <w:rPr>
                <w:sz w:val="20"/>
                <w:szCs w:val="20"/>
                <w:color w:val="auto"/>
              </w:rPr>
            </w:pPr>
            <w:r>
              <w:rPr>
                <w:rFonts w:ascii="Arial" w:cs="Arial" w:eastAsia="Arial" w:hAnsi="Arial"/>
                <w:sz w:val="16"/>
                <w:szCs w:val="16"/>
                <w:color w:val="auto"/>
              </w:rPr>
              <w:t>(73)</w:t>
            </w:r>
          </w:p>
        </w:tc>
        <w:tc>
          <w:tcPr>
            <w:tcW w:w="320" w:type="dxa"/>
            <w:vAlign w:val="bottom"/>
            <w:tcBorders>
              <w:bottom w:val="single" w:sz="8" w:color="auto"/>
            </w:tcBorders>
          </w:tcPr>
          <w:p>
            <w:pPr>
              <w:jc w:val="right"/>
              <w:ind w:right="79"/>
              <w:spacing w:after="0" w:line="176" w:lineRule="exact"/>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6"/>
                <w:szCs w:val="16"/>
                <w:color w:val="auto"/>
              </w:rPr>
              <w:t>(84)</w:t>
            </w:r>
          </w:p>
        </w:tc>
        <w:tc>
          <w:tcPr>
            <w:tcW w:w="20" w:type="dxa"/>
            <w:vAlign w:val="bottom"/>
          </w:tcPr>
          <w:p>
            <w:pPr>
              <w:spacing w:after="0"/>
              <w:rPr>
                <w:sz w:val="15"/>
                <w:szCs w:val="15"/>
                <w:color w:val="auto"/>
              </w:rPr>
            </w:pPr>
          </w:p>
        </w:tc>
      </w:tr>
      <w:tr>
        <w:trPr>
          <w:trHeight w:val="164"/>
        </w:trPr>
        <w:tc>
          <w:tcPr>
            <w:tcW w:w="20" w:type="dxa"/>
            <w:vAlign w:val="bottom"/>
          </w:tcPr>
          <w:p>
            <w:pPr>
              <w:spacing w:after="0"/>
              <w:rPr>
                <w:sz w:val="14"/>
                <w:szCs w:val="14"/>
                <w:color w:val="auto"/>
              </w:rPr>
            </w:pPr>
          </w:p>
        </w:tc>
        <w:tc>
          <w:tcPr>
            <w:tcW w:w="5180" w:type="dxa"/>
            <w:vAlign w:val="bottom"/>
          </w:tcPr>
          <w:p>
            <w:pPr>
              <w:spacing w:after="0" w:line="164" w:lineRule="exact"/>
              <w:rPr>
                <w:sz w:val="20"/>
                <w:szCs w:val="20"/>
                <w:color w:val="auto"/>
              </w:rPr>
            </w:pPr>
            <w:r>
              <w:rPr>
                <w:rFonts w:ascii="Arial" w:cs="Arial" w:eastAsia="Arial" w:hAnsi="Arial"/>
                <w:sz w:val="16"/>
                <w:szCs w:val="16"/>
                <w:b w:val="1"/>
                <w:bCs w:val="1"/>
                <w:color w:val="auto"/>
              </w:rPr>
              <w:t>SDG&amp;E:</w:t>
            </w:r>
          </w:p>
        </w:tc>
        <w:tc>
          <w:tcPr>
            <w:tcW w:w="3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76"/>
        </w:trPr>
        <w:tc>
          <w:tcPr>
            <w:tcW w:w="20" w:type="dxa"/>
            <w:vAlign w:val="bottom"/>
          </w:tcPr>
          <w:p>
            <w:pPr>
              <w:spacing w:after="0"/>
              <w:rPr>
                <w:sz w:val="15"/>
                <w:szCs w:val="15"/>
                <w:color w:val="auto"/>
              </w:rPr>
            </w:pPr>
          </w:p>
        </w:tc>
        <w:tc>
          <w:tcPr>
            <w:tcW w:w="5180" w:type="dxa"/>
            <w:vAlign w:val="bottom"/>
          </w:tcPr>
          <w:p>
            <w:pPr>
              <w:ind w:left="160"/>
              <w:spacing w:after="0" w:line="176" w:lineRule="exact"/>
              <w:rPr>
                <w:sz w:val="20"/>
                <w:szCs w:val="20"/>
                <w:color w:val="auto"/>
              </w:rPr>
            </w:pPr>
            <w:r>
              <w:rPr>
                <w:rFonts w:ascii="Arial" w:cs="Arial" w:eastAsia="Arial" w:hAnsi="Arial"/>
                <w:sz w:val="16"/>
                <w:szCs w:val="16"/>
                <w:color w:val="auto"/>
              </w:rPr>
              <w:t>Interest rate instruments(3)</w:t>
            </w:r>
          </w:p>
        </w:tc>
        <w:tc>
          <w:tcPr>
            <w:tcW w:w="360" w:type="dxa"/>
            <w:vAlign w:val="bottom"/>
          </w:tcPr>
          <w:p>
            <w:pPr>
              <w:jc w:val="right"/>
              <w:ind w:right="19"/>
              <w:spacing w:after="0" w:line="176" w:lineRule="exact"/>
              <w:rPr>
                <w:sz w:val="20"/>
                <w:szCs w:val="20"/>
                <w:color w:val="auto"/>
              </w:rPr>
            </w:pPr>
            <w:r>
              <w:rPr>
                <w:rFonts w:ascii="Arial" w:cs="Arial" w:eastAsia="Arial" w:hAnsi="Arial"/>
                <w:sz w:val="16"/>
                <w:szCs w:val="16"/>
                <w:color w:val="auto"/>
              </w:rPr>
              <w:t>$</w:t>
            </w:r>
          </w:p>
        </w:tc>
        <w:tc>
          <w:tcPr>
            <w:tcW w:w="1260" w:type="dxa"/>
            <w:vAlign w:val="bottom"/>
          </w:tcPr>
          <w:p>
            <w:pPr>
              <w:jc w:val="right"/>
              <w:ind w:right="42"/>
              <w:spacing w:after="0" w:line="176" w:lineRule="exact"/>
              <w:rPr>
                <w:sz w:val="20"/>
                <w:szCs w:val="20"/>
                <w:color w:val="auto"/>
              </w:rPr>
            </w:pPr>
            <w:r>
              <w:rPr>
                <w:rFonts w:ascii="Arial" w:cs="Arial" w:eastAsia="Arial" w:hAnsi="Arial"/>
                <w:sz w:val="16"/>
                <w:szCs w:val="16"/>
                <w:color w:val="auto"/>
              </w:rPr>
              <w:t>―</w:t>
            </w:r>
          </w:p>
        </w:tc>
        <w:tc>
          <w:tcPr>
            <w:tcW w:w="300" w:type="dxa"/>
            <w:vAlign w:val="bottom"/>
          </w:tcPr>
          <w:p>
            <w:pPr>
              <w:jc w:val="right"/>
              <w:ind w:right="39"/>
              <w:spacing w:after="0" w:line="176" w:lineRule="exact"/>
              <w:rPr>
                <w:sz w:val="20"/>
                <w:szCs w:val="20"/>
                <w:color w:val="auto"/>
              </w:rPr>
            </w:pPr>
            <w:r>
              <w:rPr>
                <w:rFonts w:ascii="Arial" w:cs="Arial" w:eastAsia="Arial" w:hAnsi="Arial"/>
                <w:sz w:val="16"/>
                <w:szCs w:val="16"/>
                <w:color w:val="auto"/>
              </w:rPr>
              <w:t>$</w:t>
            </w:r>
          </w:p>
        </w:tc>
        <w:tc>
          <w:tcPr>
            <w:tcW w:w="1240" w:type="dxa"/>
            <w:vAlign w:val="bottom"/>
          </w:tcPr>
          <w:p>
            <w:pPr>
              <w:jc w:val="right"/>
              <w:ind w:right="41"/>
              <w:spacing w:after="0" w:line="176" w:lineRule="exact"/>
              <w:rPr>
                <w:sz w:val="20"/>
                <w:szCs w:val="20"/>
                <w:color w:val="auto"/>
              </w:rPr>
            </w:pPr>
            <w:r>
              <w:rPr>
                <w:rFonts w:ascii="Arial" w:cs="Arial" w:eastAsia="Arial" w:hAnsi="Arial"/>
                <w:sz w:val="16"/>
                <w:szCs w:val="16"/>
                <w:color w:val="auto"/>
              </w:rPr>
              <w:t>―</w:t>
            </w:r>
          </w:p>
        </w:tc>
        <w:tc>
          <w:tcPr>
            <w:tcW w:w="280" w:type="dxa"/>
            <w:vAlign w:val="bottom"/>
          </w:tcPr>
          <w:p>
            <w:pPr>
              <w:jc w:val="right"/>
              <w:ind w:right="39"/>
              <w:spacing w:after="0" w:line="176" w:lineRule="exact"/>
              <w:rPr>
                <w:sz w:val="20"/>
                <w:szCs w:val="20"/>
                <w:color w:val="auto"/>
              </w:rPr>
            </w:pPr>
            <w:r>
              <w:rPr>
                <w:rFonts w:ascii="Arial" w:cs="Arial" w:eastAsia="Arial" w:hAnsi="Arial"/>
                <w:sz w:val="16"/>
                <w:szCs w:val="16"/>
                <w:color w:val="auto"/>
              </w:rPr>
              <w:t>$</w:t>
            </w:r>
          </w:p>
        </w:tc>
        <w:tc>
          <w:tcPr>
            <w:tcW w:w="1280" w:type="dxa"/>
            <w:vAlign w:val="bottom"/>
          </w:tcPr>
          <w:p>
            <w:pPr>
              <w:jc w:val="right"/>
              <w:ind w:right="2"/>
              <w:spacing w:after="0" w:line="176" w:lineRule="exact"/>
              <w:rPr>
                <w:sz w:val="20"/>
                <w:szCs w:val="20"/>
                <w:color w:val="auto"/>
              </w:rPr>
            </w:pPr>
            <w:r>
              <w:rPr>
                <w:rFonts w:ascii="Arial" w:cs="Arial" w:eastAsia="Arial" w:hAnsi="Arial"/>
                <w:sz w:val="16"/>
                <w:szCs w:val="16"/>
                <w:color w:val="auto"/>
              </w:rPr>
              <w:t>(17)</w:t>
            </w:r>
          </w:p>
        </w:tc>
        <w:tc>
          <w:tcPr>
            <w:tcW w:w="320" w:type="dxa"/>
            <w:vAlign w:val="bottom"/>
          </w:tcPr>
          <w:p>
            <w:pPr>
              <w:jc w:val="right"/>
              <w:ind w:right="79"/>
              <w:spacing w:after="0" w:line="176" w:lineRule="exact"/>
              <w:rPr>
                <w:sz w:val="20"/>
                <w:szCs w:val="20"/>
                <w:color w:val="auto"/>
              </w:rPr>
            </w:pPr>
            <w:r>
              <w:rPr>
                <w:rFonts w:ascii="Arial" w:cs="Arial" w:eastAsia="Arial" w:hAnsi="Arial"/>
                <w:sz w:val="16"/>
                <w:szCs w:val="16"/>
                <w:color w:val="auto"/>
              </w:rPr>
              <w:t>$</w:t>
            </w:r>
          </w:p>
        </w:tc>
        <w:tc>
          <w:tcPr>
            <w:tcW w:w="1200" w:type="dxa"/>
            <w:vAlign w:val="bottom"/>
            <w:gridSpan w:val="2"/>
          </w:tcPr>
          <w:p>
            <w:pPr>
              <w:jc w:val="right"/>
              <w:ind w:right="20"/>
              <w:spacing w:after="0" w:line="176" w:lineRule="exact"/>
              <w:rPr>
                <w:sz w:val="20"/>
                <w:szCs w:val="20"/>
                <w:color w:val="auto"/>
              </w:rPr>
            </w:pPr>
            <w:r>
              <w:rPr>
                <w:rFonts w:ascii="Arial" w:cs="Arial" w:eastAsia="Arial" w:hAnsi="Arial"/>
                <w:sz w:val="16"/>
                <w:szCs w:val="16"/>
                <w:color w:val="auto"/>
              </w:rPr>
              <w:t>(41)</w:t>
            </w:r>
          </w:p>
        </w:tc>
      </w:tr>
      <w:tr>
        <w:trPr>
          <w:trHeight w:val="176"/>
        </w:trPr>
        <w:tc>
          <w:tcPr>
            <w:tcW w:w="20" w:type="dxa"/>
            <w:vAlign w:val="bottom"/>
          </w:tcPr>
          <w:p>
            <w:pPr>
              <w:spacing w:after="0"/>
              <w:rPr>
                <w:sz w:val="15"/>
                <w:szCs w:val="15"/>
                <w:color w:val="auto"/>
              </w:rPr>
            </w:pPr>
          </w:p>
        </w:tc>
        <w:tc>
          <w:tcPr>
            <w:tcW w:w="5180" w:type="dxa"/>
            <w:vAlign w:val="bottom"/>
          </w:tcPr>
          <w:p>
            <w:pPr>
              <w:ind w:left="160"/>
              <w:spacing w:after="0" w:line="176" w:lineRule="exact"/>
              <w:rPr>
                <w:sz w:val="20"/>
                <w:szCs w:val="20"/>
                <w:color w:val="auto"/>
              </w:rPr>
            </w:pPr>
            <w:r>
              <w:rPr>
                <w:rFonts w:ascii="Arial" w:cs="Arial" w:eastAsia="Arial" w:hAnsi="Arial"/>
                <w:sz w:val="16"/>
                <w:szCs w:val="16"/>
                <w:color w:val="auto"/>
              </w:rPr>
              <w:t>Commodity contracts not subject to rate recovery</w:t>
            </w:r>
          </w:p>
        </w:tc>
        <w:tc>
          <w:tcPr>
            <w:tcW w:w="360" w:type="dxa"/>
            <w:vAlign w:val="bottom"/>
          </w:tcPr>
          <w:p>
            <w:pPr>
              <w:spacing w:after="0"/>
              <w:rPr>
                <w:sz w:val="15"/>
                <w:szCs w:val="15"/>
                <w:color w:val="auto"/>
              </w:rPr>
            </w:pPr>
          </w:p>
        </w:tc>
        <w:tc>
          <w:tcPr>
            <w:tcW w:w="1260" w:type="dxa"/>
            <w:vAlign w:val="bottom"/>
          </w:tcPr>
          <w:p>
            <w:pPr>
              <w:jc w:val="right"/>
              <w:ind w:right="42"/>
              <w:spacing w:after="0" w:line="176" w:lineRule="exact"/>
              <w:rPr>
                <w:sz w:val="20"/>
                <w:szCs w:val="20"/>
                <w:color w:val="auto"/>
              </w:rPr>
            </w:pPr>
            <w:r>
              <w:rPr>
                <w:rFonts w:ascii="Arial" w:cs="Arial" w:eastAsia="Arial" w:hAnsi="Arial"/>
                <w:sz w:val="16"/>
                <w:szCs w:val="16"/>
                <w:color w:val="auto"/>
              </w:rPr>
              <w:t>1</w:t>
            </w:r>
          </w:p>
        </w:tc>
        <w:tc>
          <w:tcPr>
            <w:tcW w:w="300" w:type="dxa"/>
            <w:vAlign w:val="bottom"/>
          </w:tcPr>
          <w:p>
            <w:pPr>
              <w:spacing w:after="0"/>
              <w:rPr>
                <w:sz w:val="15"/>
                <w:szCs w:val="15"/>
                <w:color w:val="auto"/>
              </w:rPr>
            </w:pPr>
          </w:p>
        </w:tc>
        <w:tc>
          <w:tcPr>
            <w:tcW w:w="1240" w:type="dxa"/>
            <w:vAlign w:val="bottom"/>
          </w:tcPr>
          <w:p>
            <w:pPr>
              <w:jc w:val="right"/>
              <w:ind w:right="41"/>
              <w:spacing w:after="0" w:line="176" w:lineRule="exact"/>
              <w:rPr>
                <w:sz w:val="20"/>
                <w:szCs w:val="20"/>
                <w:color w:val="auto"/>
              </w:rPr>
            </w:pPr>
            <w:r>
              <w:rPr>
                <w:rFonts w:ascii="Arial" w:cs="Arial" w:eastAsia="Arial" w:hAnsi="Arial"/>
                <w:sz w:val="16"/>
                <w:szCs w:val="16"/>
                <w:color w:val="auto"/>
              </w:rPr>
              <w:t>―</w:t>
            </w:r>
          </w:p>
        </w:tc>
        <w:tc>
          <w:tcPr>
            <w:tcW w:w="280" w:type="dxa"/>
            <w:vAlign w:val="bottom"/>
          </w:tcPr>
          <w:p>
            <w:pPr>
              <w:spacing w:after="0"/>
              <w:rPr>
                <w:sz w:val="15"/>
                <w:szCs w:val="15"/>
                <w:color w:val="auto"/>
              </w:rPr>
            </w:pPr>
          </w:p>
        </w:tc>
        <w:tc>
          <w:tcPr>
            <w:tcW w:w="1280" w:type="dxa"/>
            <w:vAlign w:val="bottom"/>
          </w:tcPr>
          <w:p>
            <w:pPr>
              <w:jc w:val="right"/>
              <w:ind w:right="42"/>
              <w:spacing w:after="0" w:line="176" w:lineRule="exact"/>
              <w:rPr>
                <w:sz w:val="20"/>
                <w:szCs w:val="20"/>
                <w:color w:val="auto"/>
              </w:rPr>
            </w:pPr>
            <w:r>
              <w:rPr>
                <w:rFonts w:ascii="Arial" w:cs="Arial" w:eastAsia="Arial" w:hAnsi="Arial"/>
                <w:sz w:val="16"/>
                <w:szCs w:val="16"/>
                <w:color w:val="auto"/>
              </w:rPr>
              <w:t>―</w:t>
            </w:r>
          </w:p>
        </w:tc>
        <w:tc>
          <w:tcPr>
            <w:tcW w:w="320" w:type="dxa"/>
            <w:vAlign w:val="bottom"/>
          </w:tcPr>
          <w:p>
            <w:pPr>
              <w:spacing w:after="0"/>
              <w:rPr>
                <w:sz w:val="15"/>
                <w:szCs w:val="15"/>
                <w:color w:val="auto"/>
              </w:rPr>
            </w:pPr>
          </w:p>
        </w:tc>
        <w:tc>
          <w:tcPr>
            <w:tcW w:w="1200" w:type="dxa"/>
            <w:vAlign w:val="bottom"/>
            <w:gridSpan w:val="2"/>
          </w:tcPr>
          <w:p>
            <w:pPr>
              <w:jc w:val="right"/>
              <w:ind w:right="60"/>
              <w:spacing w:after="0" w:line="176" w:lineRule="exact"/>
              <w:rPr>
                <w:sz w:val="20"/>
                <w:szCs w:val="20"/>
                <w:color w:val="auto"/>
              </w:rPr>
            </w:pPr>
            <w:r>
              <w:rPr>
                <w:rFonts w:ascii="Arial" w:cs="Arial" w:eastAsia="Arial" w:hAnsi="Arial"/>
                <w:sz w:val="16"/>
                <w:szCs w:val="16"/>
                <w:color w:val="auto"/>
              </w:rPr>
              <w:t>―</w:t>
            </w:r>
          </w:p>
        </w:tc>
      </w:tr>
      <w:tr>
        <w:trPr>
          <w:trHeight w:val="176"/>
        </w:trPr>
        <w:tc>
          <w:tcPr>
            <w:tcW w:w="20" w:type="dxa"/>
            <w:vAlign w:val="bottom"/>
          </w:tcPr>
          <w:p>
            <w:pPr>
              <w:spacing w:after="0"/>
              <w:rPr>
                <w:sz w:val="15"/>
                <w:szCs w:val="15"/>
                <w:color w:val="auto"/>
              </w:rPr>
            </w:pPr>
          </w:p>
        </w:tc>
        <w:tc>
          <w:tcPr>
            <w:tcW w:w="5180" w:type="dxa"/>
            <w:vAlign w:val="bottom"/>
          </w:tcPr>
          <w:p>
            <w:pPr>
              <w:ind w:left="160"/>
              <w:spacing w:after="0" w:line="176" w:lineRule="exact"/>
              <w:rPr>
                <w:sz w:val="20"/>
                <w:szCs w:val="20"/>
                <w:color w:val="auto"/>
              </w:rPr>
            </w:pPr>
            <w:r>
              <w:rPr>
                <w:rFonts w:ascii="Arial" w:cs="Arial" w:eastAsia="Arial" w:hAnsi="Arial"/>
                <w:sz w:val="16"/>
                <w:szCs w:val="16"/>
                <w:color w:val="auto"/>
              </w:rPr>
              <w:t>Commodity contracts subject to rate recovery</w:t>
            </w:r>
          </w:p>
        </w:tc>
        <w:tc>
          <w:tcPr>
            <w:tcW w:w="360" w:type="dxa"/>
            <w:vAlign w:val="bottom"/>
          </w:tcPr>
          <w:p>
            <w:pPr>
              <w:spacing w:after="0"/>
              <w:rPr>
                <w:sz w:val="15"/>
                <w:szCs w:val="15"/>
                <w:color w:val="auto"/>
              </w:rPr>
            </w:pPr>
          </w:p>
        </w:tc>
        <w:tc>
          <w:tcPr>
            <w:tcW w:w="1260" w:type="dxa"/>
            <w:vAlign w:val="bottom"/>
          </w:tcPr>
          <w:p>
            <w:pPr>
              <w:jc w:val="right"/>
              <w:ind w:right="42"/>
              <w:spacing w:after="0" w:line="176" w:lineRule="exact"/>
              <w:rPr>
                <w:sz w:val="20"/>
                <w:szCs w:val="20"/>
                <w:color w:val="auto"/>
              </w:rPr>
            </w:pPr>
            <w:r>
              <w:rPr>
                <w:rFonts w:ascii="Arial" w:cs="Arial" w:eastAsia="Arial" w:hAnsi="Arial"/>
                <w:sz w:val="16"/>
                <w:szCs w:val="16"/>
                <w:color w:val="auto"/>
              </w:rPr>
              <w:t>2</w:t>
            </w:r>
          </w:p>
        </w:tc>
        <w:tc>
          <w:tcPr>
            <w:tcW w:w="300" w:type="dxa"/>
            <w:vAlign w:val="bottom"/>
          </w:tcPr>
          <w:p>
            <w:pPr>
              <w:spacing w:after="0"/>
              <w:rPr>
                <w:sz w:val="15"/>
                <w:szCs w:val="15"/>
                <w:color w:val="auto"/>
              </w:rPr>
            </w:pPr>
          </w:p>
        </w:tc>
        <w:tc>
          <w:tcPr>
            <w:tcW w:w="1240" w:type="dxa"/>
            <w:vAlign w:val="bottom"/>
          </w:tcPr>
          <w:p>
            <w:pPr>
              <w:jc w:val="right"/>
              <w:ind w:right="41"/>
              <w:spacing w:after="0" w:line="176" w:lineRule="exact"/>
              <w:rPr>
                <w:sz w:val="20"/>
                <w:szCs w:val="20"/>
                <w:color w:val="auto"/>
              </w:rPr>
            </w:pPr>
            <w:r>
              <w:rPr>
                <w:rFonts w:ascii="Arial" w:cs="Arial" w:eastAsia="Arial" w:hAnsi="Arial"/>
                <w:sz w:val="16"/>
                <w:szCs w:val="16"/>
                <w:color w:val="auto"/>
              </w:rPr>
              <w:t>―</w:t>
            </w:r>
          </w:p>
        </w:tc>
        <w:tc>
          <w:tcPr>
            <w:tcW w:w="280" w:type="dxa"/>
            <w:vAlign w:val="bottom"/>
          </w:tcPr>
          <w:p>
            <w:pPr>
              <w:spacing w:after="0"/>
              <w:rPr>
                <w:sz w:val="15"/>
                <w:szCs w:val="15"/>
                <w:color w:val="auto"/>
              </w:rPr>
            </w:pPr>
          </w:p>
        </w:tc>
        <w:tc>
          <w:tcPr>
            <w:tcW w:w="1280" w:type="dxa"/>
            <w:vAlign w:val="bottom"/>
          </w:tcPr>
          <w:p>
            <w:pPr>
              <w:jc w:val="right"/>
              <w:ind w:right="2"/>
              <w:spacing w:after="0" w:line="176" w:lineRule="exact"/>
              <w:rPr>
                <w:sz w:val="20"/>
                <w:szCs w:val="20"/>
                <w:color w:val="auto"/>
              </w:rPr>
            </w:pPr>
            <w:r>
              <w:rPr>
                <w:rFonts w:ascii="Arial" w:cs="Arial" w:eastAsia="Arial" w:hAnsi="Arial"/>
                <w:sz w:val="16"/>
                <w:szCs w:val="16"/>
                <w:color w:val="auto"/>
              </w:rPr>
              <w:t>(35)</w:t>
            </w:r>
          </w:p>
        </w:tc>
        <w:tc>
          <w:tcPr>
            <w:tcW w:w="320" w:type="dxa"/>
            <w:vAlign w:val="bottom"/>
          </w:tcPr>
          <w:p>
            <w:pPr>
              <w:spacing w:after="0"/>
              <w:rPr>
                <w:sz w:val="15"/>
                <w:szCs w:val="15"/>
                <w:color w:val="auto"/>
              </w:rPr>
            </w:pPr>
          </w:p>
        </w:tc>
        <w:tc>
          <w:tcPr>
            <w:tcW w:w="1200" w:type="dxa"/>
            <w:vAlign w:val="bottom"/>
            <w:gridSpan w:val="2"/>
          </w:tcPr>
          <w:p>
            <w:pPr>
              <w:jc w:val="right"/>
              <w:ind w:right="20"/>
              <w:spacing w:after="0" w:line="176" w:lineRule="exact"/>
              <w:rPr>
                <w:sz w:val="20"/>
                <w:szCs w:val="20"/>
                <w:color w:val="auto"/>
              </w:rPr>
            </w:pPr>
            <w:r>
              <w:rPr>
                <w:rFonts w:ascii="Arial" w:cs="Arial" w:eastAsia="Arial" w:hAnsi="Arial"/>
                <w:sz w:val="16"/>
                <w:szCs w:val="16"/>
                <w:color w:val="auto"/>
              </w:rPr>
              <w:t>(27)</w:t>
            </w:r>
          </w:p>
        </w:tc>
      </w:tr>
      <w:tr>
        <w:trPr>
          <w:trHeight w:val="194"/>
        </w:trPr>
        <w:tc>
          <w:tcPr>
            <w:tcW w:w="20" w:type="dxa"/>
            <w:vAlign w:val="bottom"/>
          </w:tcPr>
          <w:p>
            <w:pPr>
              <w:spacing w:after="0"/>
              <w:rPr>
                <w:sz w:val="16"/>
                <w:szCs w:val="16"/>
                <w:color w:val="auto"/>
              </w:rPr>
            </w:pPr>
          </w:p>
        </w:tc>
        <w:tc>
          <w:tcPr>
            <w:tcW w:w="5180" w:type="dxa"/>
            <w:vAlign w:val="bottom"/>
          </w:tcPr>
          <w:p>
            <w:pPr>
              <w:ind w:left="340"/>
              <w:spacing w:after="0"/>
              <w:rPr>
                <w:sz w:val="20"/>
                <w:szCs w:val="20"/>
                <w:color w:val="auto"/>
              </w:rPr>
            </w:pPr>
            <w:r>
              <w:rPr>
                <w:rFonts w:ascii="Arial" w:cs="Arial" w:eastAsia="Arial" w:hAnsi="Arial"/>
                <w:sz w:val="16"/>
                <w:szCs w:val="16"/>
                <w:color w:val="auto"/>
              </w:rPr>
              <w:t>Associated offsetting commodity contracts</w:t>
            </w:r>
          </w:p>
        </w:tc>
        <w:tc>
          <w:tcPr>
            <w:tcW w:w="36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(34)</w:t>
            </w:r>
          </w:p>
        </w:tc>
        <w:tc>
          <w:tcPr>
            <w:tcW w:w="3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(26)</w:t>
            </w:r>
          </w:p>
        </w:tc>
        <w:tc>
          <w:tcPr>
            <w:tcW w:w="2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color w:val="auto"/>
              </w:rPr>
              <w:t>34</w:t>
            </w:r>
          </w:p>
        </w:tc>
        <w:tc>
          <w:tcPr>
            <w:tcW w:w="32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w:t>
            </w:r>
          </w:p>
        </w:tc>
        <w:tc>
          <w:tcPr>
            <w:tcW w:w="20" w:type="dxa"/>
            <w:vAlign w:val="bottom"/>
          </w:tcPr>
          <w:p>
            <w:pPr>
              <w:spacing w:after="0"/>
              <w:rPr>
                <w:sz w:val="16"/>
                <w:szCs w:val="16"/>
                <w:color w:val="auto"/>
              </w:rPr>
            </w:pPr>
          </w:p>
        </w:tc>
      </w:tr>
      <w:tr>
        <w:trPr>
          <w:trHeight w:val="183"/>
        </w:trPr>
        <w:tc>
          <w:tcPr>
            <w:tcW w:w="20" w:type="dxa"/>
            <w:vAlign w:val="bottom"/>
          </w:tcPr>
          <w:p>
            <w:pPr>
              <w:spacing w:after="0"/>
              <w:rPr>
                <w:sz w:val="15"/>
                <w:szCs w:val="15"/>
                <w:color w:val="auto"/>
              </w:rPr>
            </w:pPr>
          </w:p>
        </w:tc>
        <w:tc>
          <w:tcPr>
            <w:tcW w:w="5180" w:type="dxa"/>
            <w:vAlign w:val="bottom"/>
            <w:tcBorders>
              <w:bottom w:val="single" w:sz="8" w:color="auto"/>
            </w:tcBorders>
          </w:tcPr>
          <w:p>
            <w:pPr>
              <w:ind w:left="160"/>
              <w:spacing w:after="0" w:line="176" w:lineRule="exact"/>
              <w:rPr>
                <w:sz w:val="20"/>
                <w:szCs w:val="20"/>
                <w:color w:val="auto"/>
              </w:rPr>
            </w:pPr>
            <w:r>
              <w:rPr>
                <w:rFonts w:ascii="Arial" w:cs="Arial" w:eastAsia="Arial" w:hAnsi="Arial"/>
                <w:sz w:val="16"/>
                <w:szCs w:val="16"/>
                <w:color w:val="auto"/>
              </w:rPr>
              <w:t>Total</w:t>
            </w:r>
          </w:p>
        </w:tc>
        <w:tc>
          <w:tcPr>
            <w:tcW w:w="360" w:type="dxa"/>
            <w:vAlign w:val="bottom"/>
            <w:tcBorders>
              <w:bottom w:val="single" w:sz="8" w:color="auto"/>
            </w:tcBorders>
          </w:tcPr>
          <w:p>
            <w:pPr>
              <w:jc w:val="right"/>
              <w:ind w:right="19"/>
              <w:spacing w:after="0" w:line="176" w:lineRule="exact"/>
              <w:rPr>
                <w:sz w:val="20"/>
                <w:szCs w:val="20"/>
                <w:color w:val="auto"/>
              </w:rPr>
            </w:pPr>
            <w:r>
              <w:rPr>
                <w:rFonts w:ascii="Arial" w:cs="Arial" w:eastAsia="Arial" w:hAnsi="Arial"/>
                <w:sz w:val="16"/>
                <w:szCs w:val="16"/>
                <w:color w:val="auto"/>
              </w:rPr>
              <w:t>$</w:t>
            </w:r>
          </w:p>
        </w:tc>
        <w:tc>
          <w:tcPr>
            <w:tcW w:w="1260" w:type="dxa"/>
            <w:vAlign w:val="bottom"/>
            <w:tcBorders>
              <w:bottom w:val="single" w:sz="8" w:color="auto"/>
            </w:tcBorders>
          </w:tcPr>
          <w:p>
            <w:pPr>
              <w:jc w:val="right"/>
              <w:ind w:right="2"/>
              <w:spacing w:after="0" w:line="176" w:lineRule="exact"/>
              <w:rPr>
                <w:sz w:val="20"/>
                <w:szCs w:val="20"/>
                <w:color w:val="auto"/>
              </w:rPr>
            </w:pPr>
            <w:r>
              <w:rPr>
                <w:rFonts w:ascii="Arial" w:cs="Arial" w:eastAsia="Arial" w:hAnsi="Arial"/>
                <w:sz w:val="16"/>
                <w:szCs w:val="16"/>
                <w:color w:val="auto"/>
              </w:rPr>
              <w:t>(31)</w:t>
            </w:r>
          </w:p>
        </w:tc>
        <w:tc>
          <w:tcPr>
            <w:tcW w:w="300" w:type="dxa"/>
            <w:vAlign w:val="bottom"/>
            <w:tcBorders>
              <w:bottom w:val="single" w:sz="8" w:color="auto"/>
            </w:tcBorders>
          </w:tcPr>
          <w:p>
            <w:pPr>
              <w:jc w:val="right"/>
              <w:ind w:right="39"/>
              <w:spacing w:after="0" w:line="176" w:lineRule="exact"/>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tcPr>
          <w:p>
            <w:pPr>
              <w:jc w:val="right"/>
              <w:ind w:right="1"/>
              <w:spacing w:after="0" w:line="176" w:lineRule="exact"/>
              <w:rPr>
                <w:sz w:val="20"/>
                <w:szCs w:val="20"/>
                <w:color w:val="auto"/>
              </w:rPr>
            </w:pPr>
            <w:r>
              <w:rPr>
                <w:rFonts w:ascii="Arial" w:cs="Arial" w:eastAsia="Arial" w:hAnsi="Arial"/>
                <w:sz w:val="16"/>
                <w:szCs w:val="16"/>
                <w:color w:val="auto"/>
              </w:rPr>
              <w:t>(26)</w:t>
            </w:r>
          </w:p>
        </w:tc>
        <w:tc>
          <w:tcPr>
            <w:tcW w:w="280" w:type="dxa"/>
            <w:vAlign w:val="bottom"/>
            <w:tcBorders>
              <w:bottom w:val="single" w:sz="8" w:color="auto"/>
            </w:tcBorders>
          </w:tcPr>
          <w:p>
            <w:pPr>
              <w:jc w:val="right"/>
              <w:ind w:right="39"/>
              <w:spacing w:after="0" w:line="176" w:lineRule="exact"/>
              <w:rPr>
                <w:sz w:val="20"/>
                <w:szCs w:val="20"/>
                <w:color w:val="auto"/>
              </w:rPr>
            </w:pPr>
            <w:r>
              <w:rPr>
                <w:rFonts w:ascii="Arial" w:cs="Arial" w:eastAsia="Arial" w:hAnsi="Arial"/>
                <w:sz w:val="16"/>
                <w:szCs w:val="16"/>
                <w:color w:val="auto"/>
              </w:rPr>
              <w:t>$</w:t>
            </w:r>
          </w:p>
        </w:tc>
        <w:tc>
          <w:tcPr>
            <w:tcW w:w="1280" w:type="dxa"/>
            <w:vAlign w:val="bottom"/>
            <w:tcBorders>
              <w:bottom w:val="single" w:sz="8" w:color="auto"/>
            </w:tcBorders>
          </w:tcPr>
          <w:p>
            <w:pPr>
              <w:jc w:val="right"/>
              <w:ind w:right="2"/>
              <w:spacing w:after="0" w:line="176" w:lineRule="exact"/>
              <w:rPr>
                <w:sz w:val="20"/>
                <w:szCs w:val="20"/>
                <w:color w:val="auto"/>
              </w:rPr>
            </w:pPr>
            <w:r>
              <w:rPr>
                <w:rFonts w:ascii="Arial" w:cs="Arial" w:eastAsia="Arial" w:hAnsi="Arial"/>
                <w:sz w:val="16"/>
                <w:szCs w:val="16"/>
                <w:color w:val="auto"/>
              </w:rPr>
              <w:t>(18)</w:t>
            </w:r>
          </w:p>
        </w:tc>
        <w:tc>
          <w:tcPr>
            <w:tcW w:w="320" w:type="dxa"/>
            <w:vAlign w:val="bottom"/>
            <w:tcBorders>
              <w:bottom w:val="single" w:sz="8" w:color="auto"/>
            </w:tcBorders>
          </w:tcPr>
          <w:p>
            <w:pPr>
              <w:jc w:val="right"/>
              <w:ind w:right="79"/>
              <w:spacing w:after="0" w:line="176" w:lineRule="exact"/>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6"/>
                <w:szCs w:val="16"/>
                <w:color w:val="auto"/>
              </w:rPr>
              <w:t>(42)</w:t>
            </w:r>
          </w:p>
        </w:tc>
        <w:tc>
          <w:tcPr>
            <w:tcW w:w="20" w:type="dxa"/>
            <w:vAlign w:val="bottom"/>
          </w:tcPr>
          <w:p>
            <w:pPr>
              <w:spacing w:after="0"/>
              <w:rPr>
                <w:sz w:val="15"/>
                <w:szCs w:val="15"/>
                <w:color w:val="auto"/>
              </w:rPr>
            </w:pPr>
          </w:p>
        </w:tc>
      </w:tr>
      <w:tr>
        <w:trPr>
          <w:trHeight w:val="164"/>
        </w:trPr>
        <w:tc>
          <w:tcPr>
            <w:tcW w:w="20" w:type="dxa"/>
            <w:vAlign w:val="bottom"/>
          </w:tcPr>
          <w:p>
            <w:pPr>
              <w:spacing w:after="0"/>
              <w:rPr>
                <w:sz w:val="14"/>
                <w:szCs w:val="14"/>
                <w:color w:val="auto"/>
              </w:rPr>
            </w:pPr>
          </w:p>
        </w:tc>
        <w:tc>
          <w:tcPr>
            <w:tcW w:w="5180" w:type="dxa"/>
            <w:vAlign w:val="bottom"/>
          </w:tcPr>
          <w:p>
            <w:pPr>
              <w:spacing w:after="0" w:line="164" w:lineRule="exact"/>
              <w:rPr>
                <w:sz w:val="20"/>
                <w:szCs w:val="20"/>
                <w:color w:val="auto"/>
              </w:rPr>
            </w:pPr>
            <w:r>
              <w:rPr>
                <w:rFonts w:ascii="Arial" w:cs="Arial" w:eastAsia="Arial" w:hAnsi="Arial"/>
                <w:sz w:val="16"/>
                <w:szCs w:val="16"/>
                <w:b w:val="1"/>
                <w:bCs w:val="1"/>
                <w:color w:val="auto"/>
              </w:rPr>
              <w:t>SoCalGas:</w:t>
            </w:r>
          </w:p>
        </w:tc>
        <w:tc>
          <w:tcPr>
            <w:tcW w:w="3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2"/>
        </w:trPr>
        <w:tc>
          <w:tcPr>
            <w:tcW w:w="20" w:type="dxa"/>
            <w:vAlign w:val="bottom"/>
          </w:tcPr>
          <w:p>
            <w:pPr>
              <w:spacing w:after="0"/>
              <w:rPr>
                <w:sz w:val="17"/>
                <w:szCs w:val="17"/>
                <w:color w:val="auto"/>
              </w:rPr>
            </w:pPr>
          </w:p>
        </w:tc>
        <w:tc>
          <w:tcPr>
            <w:tcW w:w="5180" w:type="dxa"/>
            <w:vAlign w:val="bottom"/>
          </w:tcPr>
          <w:p>
            <w:pPr>
              <w:ind w:left="160"/>
              <w:spacing w:after="0"/>
              <w:rPr>
                <w:sz w:val="20"/>
                <w:szCs w:val="20"/>
                <w:color w:val="auto"/>
              </w:rPr>
            </w:pPr>
            <w:r>
              <w:rPr>
                <w:rFonts w:ascii="Arial" w:cs="Arial" w:eastAsia="Arial" w:hAnsi="Arial"/>
                <w:sz w:val="16"/>
                <w:szCs w:val="16"/>
                <w:color w:val="auto"/>
              </w:rPr>
              <w:t>Commodity contracts not subject to rate recovery</w:t>
            </w:r>
          </w:p>
        </w:tc>
        <w:tc>
          <w:tcPr>
            <w:tcW w:w="3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260" w:type="dxa"/>
            <w:vAlign w:val="bottom"/>
          </w:tcPr>
          <w:p>
            <w:pPr>
              <w:jc w:val="right"/>
              <w:ind w:right="42"/>
              <w:spacing w:after="0"/>
              <w:rPr>
                <w:sz w:val="20"/>
                <w:szCs w:val="20"/>
                <w:color w:val="auto"/>
              </w:rPr>
            </w:pPr>
            <w:r>
              <w:rPr>
                <w:rFonts w:ascii="Arial" w:cs="Arial" w:eastAsia="Arial" w:hAnsi="Arial"/>
                <w:sz w:val="14"/>
                <w:szCs w:val="14"/>
                <w:color w:val="auto"/>
              </w:rPr>
              <w:t>1</w:t>
            </w:r>
          </w:p>
        </w:tc>
        <w:tc>
          <w:tcPr>
            <w:tcW w:w="30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41"/>
              <w:spacing w:after="0"/>
              <w:rPr>
                <w:sz w:val="20"/>
                <w:szCs w:val="20"/>
                <w:color w:val="auto"/>
              </w:rPr>
            </w:pPr>
            <w:r>
              <w:rPr>
                <w:rFonts w:ascii="Arial" w:cs="Arial" w:eastAsia="Arial" w:hAnsi="Arial"/>
                <w:sz w:val="14"/>
                <w:szCs w:val="14"/>
                <w:color w:val="auto"/>
              </w:rPr>
              <w:t>―</w:t>
            </w:r>
          </w:p>
        </w:tc>
        <w:tc>
          <w:tcPr>
            <w:tcW w:w="2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280" w:type="dxa"/>
            <w:vAlign w:val="bottom"/>
          </w:tcPr>
          <w:p>
            <w:pPr>
              <w:jc w:val="right"/>
              <w:ind w:right="42"/>
              <w:spacing w:after="0"/>
              <w:rPr>
                <w:sz w:val="20"/>
                <w:szCs w:val="20"/>
                <w:color w:val="auto"/>
              </w:rPr>
            </w:pPr>
            <w:r>
              <w:rPr>
                <w:rFonts w:ascii="Arial" w:cs="Arial" w:eastAsia="Arial" w:hAnsi="Arial"/>
                <w:sz w:val="14"/>
                <w:szCs w:val="14"/>
                <w:color w:val="auto"/>
              </w:rPr>
              <w:t>―</w:t>
            </w:r>
          </w:p>
        </w:tc>
        <w:tc>
          <w:tcPr>
            <w:tcW w:w="32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20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r>
      <w:tr>
        <w:trPr>
          <w:trHeight w:val="176"/>
        </w:trPr>
        <w:tc>
          <w:tcPr>
            <w:tcW w:w="20" w:type="dxa"/>
            <w:vAlign w:val="bottom"/>
          </w:tcPr>
          <w:p>
            <w:pPr>
              <w:spacing w:after="0"/>
              <w:rPr>
                <w:sz w:val="15"/>
                <w:szCs w:val="15"/>
                <w:color w:val="auto"/>
              </w:rPr>
            </w:pPr>
          </w:p>
        </w:tc>
        <w:tc>
          <w:tcPr>
            <w:tcW w:w="5180" w:type="dxa"/>
            <w:vAlign w:val="bottom"/>
          </w:tcPr>
          <w:p>
            <w:pPr>
              <w:ind w:left="160"/>
              <w:spacing w:after="0" w:line="176" w:lineRule="exact"/>
              <w:rPr>
                <w:sz w:val="20"/>
                <w:szCs w:val="20"/>
                <w:color w:val="auto"/>
              </w:rPr>
            </w:pPr>
            <w:r>
              <w:rPr>
                <w:rFonts w:ascii="Arial" w:cs="Arial" w:eastAsia="Arial" w:hAnsi="Arial"/>
                <w:sz w:val="16"/>
                <w:szCs w:val="16"/>
                <w:color w:val="auto"/>
              </w:rPr>
              <w:t>Commodity contracts subject to rate recovery</w:t>
            </w:r>
          </w:p>
        </w:tc>
        <w:tc>
          <w:tcPr>
            <w:tcW w:w="360" w:type="dxa"/>
            <w:vAlign w:val="bottom"/>
          </w:tcPr>
          <w:p>
            <w:pPr>
              <w:spacing w:after="0"/>
              <w:rPr>
                <w:sz w:val="15"/>
                <w:szCs w:val="15"/>
                <w:color w:val="auto"/>
              </w:rPr>
            </w:pPr>
          </w:p>
        </w:tc>
        <w:tc>
          <w:tcPr>
            <w:tcW w:w="1260" w:type="dxa"/>
            <w:vAlign w:val="bottom"/>
          </w:tcPr>
          <w:p>
            <w:pPr>
              <w:jc w:val="right"/>
              <w:ind w:right="42"/>
              <w:spacing w:after="0" w:line="176" w:lineRule="exact"/>
              <w:rPr>
                <w:sz w:val="20"/>
                <w:szCs w:val="20"/>
                <w:color w:val="auto"/>
              </w:rPr>
            </w:pPr>
            <w:r>
              <w:rPr>
                <w:rFonts w:ascii="Arial" w:cs="Arial" w:eastAsia="Arial" w:hAnsi="Arial"/>
                <w:sz w:val="16"/>
                <w:szCs w:val="16"/>
                <w:color w:val="auto"/>
              </w:rPr>
              <w:t>3</w:t>
            </w:r>
          </w:p>
        </w:tc>
        <w:tc>
          <w:tcPr>
            <w:tcW w:w="300" w:type="dxa"/>
            <w:vAlign w:val="bottom"/>
          </w:tcPr>
          <w:p>
            <w:pPr>
              <w:spacing w:after="0"/>
              <w:rPr>
                <w:sz w:val="15"/>
                <w:szCs w:val="15"/>
                <w:color w:val="auto"/>
              </w:rPr>
            </w:pPr>
          </w:p>
        </w:tc>
        <w:tc>
          <w:tcPr>
            <w:tcW w:w="1240" w:type="dxa"/>
            <w:vAlign w:val="bottom"/>
          </w:tcPr>
          <w:p>
            <w:pPr>
              <w:jc w:val="right"/>
              <w:ind w:right="41"/>
              <w:spacing w:after="0" w:line="176" w:lineRule="exact"/>
              <w:rPr>
                <w:sz w:val="20"/>
                <w:szCs w:val="20"/>
                <w:color w:val="auto"/>
              </w:rPr>
            </w:pPr>
            <w:r>
              <w:rPr>
                <w:rFonts w:ascii="Arial" w:cs="Arial" w:eastAsia="Arial" w:hAnsi="Arial"/>
                <w:sz w:val="16"/>
                <w:szCs w:val="16"/>
                <w:color w:val="auto"/>
              </w:rPr>
              <w:t>―</w:t>
            </w:r>
          </w:p>
        </w:tc>
        <w:tc>
          <w:tcPr>
            <w:tcW w:w="280" w:type="dxa"/>
            <w:vAlign w:val="bottom"/>
          </w:tcPr>
          <w:p>
            <w:pPr>
              <w:spacing w:after="0"/>
              <w:rPr>
                <w:sz w:val="15"/>
                <w:szCs w:val="15"/>
                <w:color w:val="auto"/>
              </w:rPr>
            </w:pPr>
          </w:p>
        </w:tc>
        <w:tc>
          <w:tcPr>
            <w:tcW w:w="1280" w:type="dxa"/>
            <w:vAlign w:val="bottom"/>
          </w:tcPr>
          <w:p>
            <w:pPr>
              <w:jc w:val="right"/>
              <w:ind w:right="2"/>
              <w:spacing w:after="0" w:line="176" w:lineRule="exact"/>
              <w:rPr>
                <w:sz w:val="20"/>
                <w:szCs w:val="20"/>
                <w:color w:val="auto"/>
              </w:rPr>
            </w:pPr>
            <w:r>
              <w:rPr>
                <w:rFonts w:ascii="Arial" w:cs="Arial" w:eastAsia="Arial" w:hAnsi="Arial"/>
                <w:sz w:val="16"/>
                <w:szCs w:val="16"/>
                <w:color w:val="auto"/>
              </w:rPr>
              <w:t>(3)</w:t>
            </w:r>
          </w:p>
        </w:tc>
        <w:tc>
          <w:tcPr>
            <w:tcW w:w="320" w:type="dxa"/>
            <w:vAlign w:val="bottom"/>
          </w:tcPr>
          <w:p>
            <w:pPr>
              <w:spacing w:after="0"/>
              <w:rPr>
                <w:sz w:val="15"/>
                <w:szCs w:val="15"/>
                <w:color w:val="auto"/>
              </w:rPr>
            </w:pPr>
          </w:p>
        </w:tc>
        <w:tc>
          <w:tcPr>
            <w:tcW w:w="1200" w:type="dxa"/>
            <w:vAlign w:val="bottom"/>
            <w:gridSpan w:val="2"/>
          </w:tcPr>
          <w:p>
            <w:pPr>
              <w:jc w:val="right"/>
              <w:ind w:right="60"/>
              <w:spacing w:after="0" w:line="176" w:lineRule="exact"/>
              <w:rPr>
                <w:sz w:val="20"/>
                <w:szCs w:val="20"/>
                <w:color w:val="auto"/>
              </w:rPr>
            </w:pPr>
            <w:r>
              <w:rPr>
                <w:rFonts w:ascii="Arial" w:cs="Arial" w:eastAsia="Arial" w:hAnsi="Arial"/>
                <w:sz w:val="16"/>
                <w:szCs w:val="16"/>
                <w:color w:val="auto"/>
              </w:rPr>
              <w:t>―</w:t>
            </w:r>
          </w:p>
        </w:tc>
      </w:tr>
      <w:tr>
        <w:trPr>
          <w:trHeight w:val="194"/>
        </w:trPr>
        <w:tc>
          <w:tcPr>
            <w:tcW w:w="20" w:type="dxa"/>
            <w:vAlign w:val="bottom"/>
          </w:tcPr>
          <w:p>
            <w:pPr>
              <w:spacing w:after="0"/>
              <w:rPr>
                <w:sz w:val="16"/>
                <w:szCs w:val="16"/>
                <w:color w:val="auto"/>
              </w:rPr>
            </w:pPr>
          </w:p>
        </w:tc>
        <w:tc>
          <w:tcPr>
            <w:tcW w:w="5180" w:type="dxa"/>
            <w:vAlign w:val="bottom"/>
          </w:tcPr>
          <w:p>
            <w:pPr>
              <w:ind w:left="340"/>
              <w:spacing w:after="0"/>
              <w:rPr>
                <w:sz w:val="20"/>
                <w:szCs w:val="20"/>
                <w:color w:val="auto"/>
              </w:rPr>
            </w:pPr>
            <w:r>
              <w:rPr>
                <w:rFonts w:ascii="Arial" w:cs="Arial" w:eastAsia="Arial" w:hAnsi="Arial"/>
                <w:sz w:val="16"/>
                <w:szCs w:val="16"/>
                <w:color w:val="auto"/>
              </w:rPr>
              <w:t>Associated offsetting commodity contracts</w:t>
            </w:r>
          </w:p>
        </w:tc>
        <w:tc>
          <w:tcPr>
            <w:tcW w:w="360" w:type="dxa"/>
            <w:vAlign w:val="bottom"/>
          </w:tcPr>
          <w:p>
            <w:pPr>
              <w:spacing w:after="0"/>
              <w:rPr>
                <w:sz w:val="16"/>
                <w:szCs w:val="16"/>
                <w:color w:val="auto"/>
              </w:rPr>
            </w:pPr>
          </w:p>
        </w:tc>
        <w:tc>
          <w:tcPr>
            <w:tcW w:w="1260" w:type="dxa"/>
            <w:vAlign w:val="bottom"/>
          </w:tcPr>
          <w:p>
            <w:pPr>
              <w:jc w:val="right"/>
              <w:ind w:right="2"/>
              <w:spacing w:after="0"/>
              <w:rPr>
                <w:sz w:val="20"/>
                <w:szCs w:val="20"/>
                <w:color w:val="auto"/>
              </w:rPr>
            </w:pPr>
            <w:r>
              <w:rPr>
                <w:rFonts w:ascii="Arial" w:cs="Arial" w:eastAsia="Arial" w:hAnsi="Arial"/>
                <w:sz w:val="16"/>
                <w:szCs w:val="16"/>
                <w:color w:val="auto"/>
              </w:rPr>
              <w:t>(3)</w:t>
            </w:r>
          </w:p>
        </w:tc>
        <w:tc>
          <w:tcPr>
            <w:tcW w:w="300" w:type="dxa"/>
            <w:vAlign w:val="bottom"/>
          </w:tcPr>
          <w:p>
            <w:pPr>
              <w:spacing w:after="0"/>
              <w:rPr>
                <w:sz w:val="16"/>
                <w:szCs w:val="16"/>
                <w:color w:val="auto"/>
              </w:rPr>
            </w:pPr>
          </w:p>
        </w:tc>
        <w:tc>
          <w:tcPr>
            <w:tcW w:w="1240" w:type="dxa"/>
            <w:vAlign w:val="bottom"/>
          </w:tcPr>
          <w:p>
            <w:pPr>
              <w:jc w:val="right"/>
              <w:ind w:right="41"/>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6"/>
                <w:szCs w:val="16"/>
                <w:color w:val="auto"/>
              </w:rPr>
            </w:pPr>
          </w:p>
        </w:tc>
        <w:tc>
          <w:tcPr>
            <w:tcW w:w="1280" w:type="dxa"/>
            <w:vAlign w:val="bottom"/>
          </w:tcPr>
          <w:p>
            <w:pPr>
              <w:jc w:val="right"/>
              <w:ind w:right="42"/>
              <w:spacing w:after="0"/>
              <w:rPr>
                <w:sz w:val="20"/>
                <w:szCs w:val="20"/>
                <w:color w:val="auto"/>
              </w:rPr>
            </w:pPr>
            <w:r>
              <w:rPr>
                <w:rFonts w:ascii="Arial" w:cs="Arial" w:eastAsia="Arial" w:hAnsi="Arial"/>
                <w:sz w:val="16"/>
                <w:szCs w:val="16"/>
                <w:color w:val="auto"/>
              </w:rPr>
              <w:t>3</w:t>
            </w:r>
          </w:p>
        </w:tc>
        <w:tc>
          <w:tcPr>
            <w:tcW w:w="320" w:type="dxa"/>
            <w:vAlign w:val="bottom"/>
          </w:tcPr>
          <w:p>
            <w:pPr>
              <w:spacing w:after="0"/>
              <w:rPr>
                <w:sz w:val="16"/>
                <w:szCs w:val="16"/>
                <w:color w:val="auto"/>
              </w:rPr>
            </w:pPr>
          </w:p>
        </w:tc>
        <w:tc>
          <w:tcPr>
            <w:tcW w:w="120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r>
      <w:tr>
        <w:trPr>
          <w:trHeight w:val="195"/>
        </w:trPr>
        <w:tc>
          <w:tcPr>
            <w:tcW w:w="20" w:type="dxa"/>
            <w:vAlign w:val="bottom"/>
          </w:tcPr>
          <w:p>
            <w:pPr>
              <w:spacing w:after="0"/>
              <w:rPr>
                <w:sz w:val="16"/>
                <w:szCs w:val="16"/>
                <w:color w:val="auto"/>
              </w:rPr>
            </w:pPr>
          </w:p>
        </w:tc>
        <w:tc>
          <w:tcPr>
            <w:tcW w:w="5180" w:type="dxa"/>
            <w:vAlign w:val="bottom"/>
          </w:tcPr>
          <w:p>
            <w:pPr>
              <w:ind w:left="160"/>
              <w:spacing w:after="0"/>
              <w:rPr>
                <w:sz w:val="20"/>
                <w:szCs w:val="20"/>
                <w:color w:val="auto"/>
              </w:rPr>
            </w:pPr>
            <w:r>
              <w:rPr>
                <w:rFonts w:ascii="Arial" w:cs="Arial" w:eastAsia="Arial" w:hAnsi="Arial"/>
                <w:sz w:val="16"/>
                <w:szCs w:val="16"/>
                <w:color w:val="auto"/>
              </w:rPr>
              <w:t>Total</w:t>
            </w:r>
          </w:p>
        </w:tc>
        <w:tc>
          <w:tcPr>
            <w:tcW w:w="3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260" w:type="dxa"/>
            <w:vAlign w:val="bottom"/>
            <w:tcBorders>
              <w:top w:val="single" w:sz="8" w:color="auto"/>
            </w:tcBorders>
          </w:tcPr>
          <w:p>
            <w:pPr>
              <w:jc w:val="right"/>
              <w:ind w:right="42"/>
              <w:spacing w:after="0"/>
              <w:rPr>
                <w:sz w:val="20"/>
                <w:szCs w:val="20"/>
                <w:color w:val="auto"/>
              </w:rPr>
            </w:pPr>
            <w:r>
              <w:rPr>
                <w:rFonts w:ascii="Arial" w:cs="Arial" w:eastAsia="Arial" w:hAnsi="Arial"/>
                <w:sz w:val="16"/>
                <w:szCs w:val="16"/>
                <w:color w:val="auto"/>
              </w:rPr>
              <w:t>1</w:t>
            </w:r>
          </w:p>
        </w:tc>
        <w:tc>
          <w:tcPr>
            <w:tcW w:w="3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240" w:type="dxa"/>
            <w:vAlign w:val="bottom"/>
            <w:tcBorders>
              <w:top w:val="single" w:sz="8" w:color="auto"/>
            </w:tcBorders>
          </w:tcPr>
          <w:p>
            <w:pPr>
              <w:jc w:val="right"/>
              <w:ind w:right="41"/>
              <w:spacing w:after="0"/>
              <w:rPr>
                <w:sz w:val="20"/>
                <w:szCs w:val="20"/>
                <w:color w:val="auto"/>
              </w:rPr>
            </w:pPr>
            <w:r>
              <w:rPr>
                <w:rFonts w:ascii="Arial" w:cs="Arial" w:eastAsia="Arial" w:hAnsi="Arial"/>
                <w:sz w:val="16"/>
                <w:szCs w:val="16"/>
                <w:color w:val="auto"/>
              </w:rPr>
              <w:t>―</w:t>
            </w:r>
          </w:p>
        </w:tc>
        <w:tc>
          <w:tcPr>
            <w:tcW w:w="2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280" w:type="dxa"/>
            <w:vAlign w:val="bottom"/>
            <w:tcBorders>
              <w:top w:val="single" w:sz="8" w:color="auto"/>
            </w:tcBorders>
          </w:tcPr>
          <w:p>
            <w:pPr>
              <w:jc w:val="right"/>
              <w:ind w:right="42"/>
              <w:spacing w:after="0"/>
              <w:rPr>
                <w:sz w:val="20"/>
                <w:szCs w:val="20"/>
                <w:color w:val="auto"/>
              </w:rPr>
            </w:pPr>
            <w:r>
              <w:rPr>
                <w:rFonts w:ascii="Arial" w:cs="Arial" w:eastAsia="Arial" w:hAnsi="Arial"/>
                <w:sz w:val="16"/>
                <w:szCs w:val="16"/>
                <w:color w:val="auto"/>
              </w:rPr>
              <w:t>―</w:t>
            </w:r>
          </w:p>
        </w:tc>
        <w:tc>
          <w:tcPr>
            <w:tcW w:w="32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6"/>
                <w:szCs w:val="1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2466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ind w:left="500" w:hanging="492"/>
        <w:spacing w:after="0"/>
        <w:tabs>
          <w:tab w:leader="none" w:pos="500" w:val="left"/>
        </w:tabs>
        <w:numPr>
          <w:ilvl w:val="0"/>
          <w:numId w:val="26"/>
        </w:numPr>
        <w:rPr>
          <w:rFonts w:ascii="Arial" w:cs="Arial" w:eastAsia="Arial" w:hAnsi="Arial"/>
          <w:sz w:val="14"/>
          <w:szCs w:val="14"/>
          <w:i w:val="1"/>
          <w:iCs w:val="1"/>
          <w:color w:val="auto"/>
        </w:rPr>
      </w:pPr>
      <w:r>
        <w:rPr>
          <w:rFonts w:ascii="Arial" w:cs="Arial" w:eastAsia="Arial" w:hAnsi="Arial"/>
          <w:sz w:val="14"/>
          <w:szCs w:val="14"/>
          <w:i w:val="1"/>
          <w:iCs w:val="1"/>
          <w:color w:val="auto"/>
        </w:rPr>
        <w:t>Included in Current Assets: Other for SoCalGas.</w:t>
      </w:r>
    </w:p>
    <w:p>
      <w:pPr>
        <w:spacing w:after="0" w:line="13" w:lineRule="exact"/>
        <w:rPr>
          <w:rFonts w:ascii="Arial" w:cs="Arial" w:eastAsia="Arial" w:hAnsi="Arial"/>
          <w:sz w:val="14"/>
          <w:szCs w:val="14"/>
          <w:i w:val="1"/>
          <w:iCs w:val="1"/>
          <w:color w:val="auto"/>
        </w:rPr>
      </w:pPr>
    </w:p>
    <w:p>
      <w:pPr>
        <w:ind w:left="500" w:hanging="492"/>
        <w:spacing w:after="0"/>
        <w:tabs>
          <w:tab w:leader="none" w:pos="500" w:val="left"/>
        </w:tabs>
        <w:numPr>
          <w:ilvl w:val="0"/>
          <w:numId w:val="26"/>
        </w:numPr>
        <w:rPr>
          <w:rFonts w:ascii="Arial" w:cs="Arial" w:eastAsia="Arial" w:hAnsi="Arial"/>
          <w:sz w:val="14"/>
          <w:szCs w:val="14"/>
          <w:i w:val="1"/>
          <w:iCs w:val="1"/>
          <w:color w:val="auto"/>
        </w:rPr>
      </w:pPr>
      <w:r>
        <w:rPr>
          <w:rFonts w:ascii="Arial" w:cs="Arial" w:eastAsia="Arial" w:hAnsi="Arial"/>
          <w:sz w:val="14"/>
          <w:szCs w:val="14"/>
          <w:i w:val="1"/>
          <w:iCs w:val="1"/>
          <w:color w:val="auto"/>
        </w:rPr>
        <w:t>Included in Current Liabilities: Other for SoCalGas.</w:t>
      </w:r>
    </w:p>
    <w:p>
      <w:pPr>
        <w:spacing w:after="0" w:line="1" w:lineRule="exact"/>
        <w:rPr>
          <w:rFonts w:ascii="Arial" w:cs="Arial" w:eastAsia="Arial" w:hAnsi="Arial"/>
          <w:sz w:val="14"/>
          <w:szCs w:val="14"/>
          <w:i w:val="1"/>
          <w:iCs w:val="1"/>
          <w:color w:val="auto"/>
        </w:rPr>
      </w:pPr>
    </w:p>
    <w:p>
      <w:pPr>
        <w:ind w:left="500" w:hanging="492"/>
        <w:spacing w:after="0"/>
        <w:tabs>
          <w:tab w:leader="none" w:pos="500" w:val="left"/>
        </w:tabs>
        <w:numPr>
          <w:ilvl w:val="0"/>
          <w:numId w:val="26"/>
        </w:numPr>
        <w:rPr>
          <w:rFonts w:ascii="Arial" w:cs="Arial" w:eastAsia="Arial" w:hAnsi="Arial"/>
          <w:sz w:val="14"/>
          <w:szCs w:val="14"/>
          <w:i w:val="1"/>
          <w:iCs w:val="1"/>
          <w:color w:val="auto"/>
        </w:rPr>
      </w:pPr>
      <w:r>
        <w:rPr>
          <w:rFonts w:ascii="Arial" w:cs="Arial" w:eastAsia="Arial" w:hAnsi="Arial"/>
          <w:sz w:val="14"/>
          <w:szCs w:val="14"/>
          <w:i w:val="1"/>
          <w:iCs w:val="1"/>
          <w:color w:val="auto"/>
        </w:rPr>
        <w:t>Includes Otay Mesa VIE. All of SDG&amp;E's amounts relate to Otay Mesa VIE.</w:t>
      </w:r>
    </w:p>
    <w:p>
      <w:pPr>
        <w:sectPr>
          <w:pgSz w:w="11900" w:h="16838" w:orient="portrait"/>
          <w:cols w:equalWidth="0" w:num="1">
            <w:col w:w="11420"/>
          </w:cols>
          <w:pgMar w:left="240" w:top="576" w:right="239" w:bottom="127" w:gutter="0" w:footer="0" w:header="0"/>
        </w:sectPr>
      </w:pPr>
    </w:p>
    <w:bookmarkStart w:id="37" w:name="page38"/>
    <w:bookmarkEnd w:id="37"/>
    <w:p>
      <w:pPr>
        <w:spacing w:after="0" w:line="53" w:lineRule="exact"/>
        <w:rPr>
          <w:sz w:val="20"/>
          <w:szCs w:val="20"/>
          <w:color w:val="auto"/>
        </w:rPr>
      </w:pPr>
    </w:p>
    <w:p>
      <w:pPr>
        <w:ind w:right="280"/>
        <w:spacing w:after="0" w:line="342" w:lineRule="auto"/>
        <w:rPr>
          <w:sz w:val="20"/>
          <w:szCs w:val="20"/>
          <w:color w:val="auto"/>
        </w:rPr>
      </w:pPr>
      <w:r>
        <w:rPr>
          <w:rFonts w:ascii="Arial" w:cs="Arial" w:eastAsia="Arial" w:hAnsi="Arial"/>
          <w:sz w:val="16"/>
          <w:szCs w:val="16"/>
          <w:color w:val="auto"/>
        </w:rPr>
        <w:t>The effects of derivative instruments designated as hedges on the Condensed Consolidated Statements of Operations and on Other Comprehensive Income (OCI) and Accumulated Other Comprehensive Income (AOCI) for the three months and six months ended June 30, 2011 and 2010 were: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87630</wp:posOffset>
            </wp:positionV>
            <wp:extent cx="6886575" cy="27432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886575" cy="274320"/>
                    </a:xfrm>
                    <a:prstGeom prst="rect">
                      <a:avLst/>
                    </a:prstGeom>
                    <a:noFill/>
                  </pic:spPr>
                </pic:pic>
              </a:graphicData>
            </a:graphic>
          </wp:anchor>
        </w:drawing>
      </w:r>
    </w:p>
    <w:p>
      <w:pPr>
        <w:spacing w:after="0" w:line="12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FAIR VALUE HEDGE IMPACT ON THE CONDENSED CONSOLIDATED STATEMENTS OF OPERATIONS</w:t>
      </w:r>
    </w:p>
    <w:p>
      <w:pPr>
        <w:spacing w:after="0" w:line="6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420" w:type="dxa"/>
            <w:vAlign w:val="bottom"/>
          </w:tcPr>
          <w:p>
            <w:pPr>
              <w:spacing w:after="0"/>
              <w:rPr>
                <w:sz w:val="20"/>
                <w:szCs w:val="20"/>
                <w:color w:val="auto"/>
              </w:rPr>
            </w:pPr>
            <w:r>
              <w:rPr>
                <w:rFonts w:ascii="Arial" w:cs="Arial" w:eastAsia="Arial" w:hAnsi="Arial"/>
                <w:sz w:val="14"/>
                <w:szCs w:val="14"/>
                <w:i w:val="1"/>
                <w:iCs w:val="1"/>
                <w:color w:val="auto"/>
              </w:rPr>
              <w:t>(Dollars in millions)</w:t>
            </w:r>
          </w:p>
        </w:tc>
        <w:tc>
          <w:tcPr>
            <w:tcW w:w="178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181"/>
        </w:trPr>
        <w:tc>
          <w:tcPr>
            <w:tcW w:w="242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1400" w:type="dxa"/>
            <w:vAlign w:val="bottom"/>
            <w:tcBorders>
              <w:bottom w:val="single" w:sz="8" w:color="auto"/>
            </w:tcBorders>
          </w:tcPr>
          <w:p>
            <w:pPr>
              <w:spacing w:after="0"/>
              <w:rPr>
                <w:sz w:val="15"/>
                <w:szCs w:val="15"/>
                <w:color w:val="auto"/>
              </w:rPr>
            </w:pPr>
          </w:p>
        </w:tc>
        <w:tc>
          <w:tcPr>
            <w:tcW w:w="3800" w:type="dxa"/>
            <w:vAlign w:val="bottom"/>
            <w:tcBorders>
              <w:bottom w:val="single" w:sz="8" w:color="auto"/>
            </w:tcBorders>
            <w:gridSpan w:val="5"/>
          </w:tcPr>
          <w:p>
            <w:pPr>
              <w:jc w:val="right"/>
              <w:ind w:right="241"/>
              <w:spacing w:after="0"/>
              <w:rPr>
                <w:sz w:val="20"/>
                <w:szCs w:val="20"/>
                <w:color w:val="auto"/>
              </w:rPr>
            </w:pPr>
            <w:r>
              <w:rPr>
                <w:rFonts w:ascii="Arial" w:cs="Arial" w:eastAsia="Arial" w:hAnsi="Arial"/>
                <w:sz w:val="14"/>
                <w:szCs w:val="14"/>
                <w:color w:val="auto"/>
              </w:rPr>
              <w:t>Gain (loss) on derivatives recognized in earnings</w:t>
            </w:r>
          </w:p>
        </w:tc>
        <w:tc>
          <w:tcPr>
            <w:tcW w:w="36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spacing w:after="0"/>
              <w:rPr>
                <w:sz w:val="15"/>
                <w:szCs w:val="15"/>
                <w:color w:val="auto"/>
              </w:rPr>
            </w:pPr>
          </w:p>
        </w:tc>
      </w:tr>
      <w:tr>
        <w:trPr>
          <w:trHeight w:val="196"/>
        </w:trPr>
        <w:tc>
          <w:tcPr>
            <w:tcW w:w="242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3080" w:type="dxa"/>
            <w:vAlign w:val="bottom"/>
            <w:tcBorders>
              <w:bottom w:val="single" w:sz="8" w:color="auto"/>
            </w:tcBorders>
            <w:gridSpan w:val="3"/>
          </w:tcPr>
          <w:p>
            <w:pPr>
              <w:jc w:val="right"/>
              <w:ind w:right="281"/>
              <w:spacing w:after="0"/>
              <w:rPr>
                <w:sz w:val="20"/>
                <w:szCs w:val="20"/>
                <w:color w:val="auto"/>
              </w:rPr>
            </w:pPr>
            <w:r>
              <w:rPr>
                <w:rFonts w:ascii="Arial" w:cs="Arial" w:eastAsia="Arial" w:hAnsi="Arial"/>
                <w:sz w:val="14"/>
                <w:szCs w:val="14"/>
                <w:color w:val="auto"/>
              </w:rPr>
              <w:t>Three months ended June 30,</w:t>
            </w:r>
          </w:p>
        </w:tc>
        <w:tc>
          <w:tcPr>
            <w:tcW w:w="56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2660" w:type="dxa"/>
            <w:vAlign w:val="bottom"/>
            <w:tcBorders>
              <w:bottom w:val="single" w:sz="8" w:color="auto"/>
            </w:tcBorders>
            <w:gridSpan w:val="3"/>
          </w:tcPr>
          <w:p>
            <w:pPr>
              <w:jc w:val="right"/>
              <w:ind w:right="620"/>
              <w:spacing w:after="0"/>
              <w:rPr>
                <w:sz w:val="20"/>
                <w:szCs w:val="20"/>
                <w:color w:val="auto"/>
              </w:rPr>
            </w:pPr>
            <w:r>
              <w:rPr>
                <w:rFonts w:ascii="Arial" w:cs="Arial" w:eastAsia="Arial" w:hAnsi="Arial"/>
                <w:sz w:val="14"/>
                <w:szCs w:val="14"/>
                <w:color w:val="auto"/>
              </w:rPr>
              <w:t>Six months ended June 30,</w:t>
            </w:r>
          </w:p>
        </w:tc>
      </w:tr>
      <w:tr>
        <w:trPr>
          <w:trHeight w:val="196"/>
        </w:trPr>
        <w:tc>
          <w:tcPr>
            <w:tcW w:w="2420" w:type="dxa"/>
            <w:vAlign w:val="bottom"/>
            <w:tcBorders>
              <w:bottom w:val="single" w:sz="8" w:color="auto"/>
            </w:tcBorders>
          </w:tcPr>
          <w:p>
            <w:pPr>
              <w:spacing w:after="0"/>
              <w:rPr>
                <w:sz w:val="17"/>
                <w:szCs w:val="17"/>
                <w:color w:val="auto"/>
              </w:rPr>
            </w:pPr>
          </w:p>
        </w:tc>
        <w:tc>
          <w:tcPr>
            <w:tcW w:w="1780" w:type="dxa"/>
            <w:vAlign w:val="bottom"/>
            <w:tcBorders>
              <w:bottom w:val="single" w:sz="8" w:color="auto"/>
            </w:tcBorders>
          </w:tcPr>
          <w:p>
            <w:pPr>
              <w:ind w:left="680"/>
              <w:spacing w:after="0"/>
              <w:rPr>
                <w:sz w:val="20"/>
                <w:szCs w:val="20"/>
                <w:color w:val="auto"/>
              </w:rPr>
            </w:pPr>
            <w:r>
              <w:rPr>
                <w:rFonts w:ascii="Arial" w:cs="Arial" w:eastAsia="Arial" w:hAnsi="Arial"/>
                <w:sz w:val="14"/>
                <w:szCs w:val="14"/>
                <w:color w:val="auto"/>
              </w:rPr>
              <w:t>Location</w:t>
            </w:r>
          </w:p>
        </w:tc>
        <w:tc>
          <w:tcPr>
            <w:tcW w:w="1400" w:type="dxa"/>
            <w:vAlign w:val="bottom"/>
            <w:tcBorders>
              <w:bottom w:val="single" w:sz="8" w:color="auto"/>
            </w:tcBorders>
          </w:tcPr>
          <w:p>
            <w:pPr>
              <w:jc w:val="right"/>
              <w:ind w:right="222"/>
              <w:spacing w:after="0"/>
              <w:rPr>
                <w:sz w:val="20"/>
                <w:szCs w:val="20"/>
                <w:color w:val="auto"/>
              </w:rPr>
            </w:pPr>
            <w:r>
              <w:rPr>
                <w:rFonts w:ascii="Arial" w:cs="Arial" w:eastAsia="Arial" w:hAnsi="Arial"/>
                <w:sz w:val="14"/>
                <w:szCs w:val="14"/>
                <w:color w:val="auto"/>
              </w:rPr>
              <w:t>2011</w:t>
            </w:r>
          </w:p>
        </w:tc>
        <w:tc>
          <w:tcPr>
            <w:tcW w:w="6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141"/>
              <w:spacing w:after="0"/>
              <w:rPr>
                <w:sz w:val="20"/>
                <w:szCs w:val="20"/>
                <w:color w:val="auto"/>
              </w:rPr>
            </w:pPr>
            <w:r>
              <w:rPr>
                <w:rFonts w:ascii="Arial" w:cs="Arial" w:eastAsia="Arial" w:hAnsi="Arial"/>
                <w:sz w:val="14"/>
                <w:szCs w:val="14"/>
                <w:color w:val="auto"/>
              </w:rPr>
              <w:t>2010</w:t>
            </w:r>
          </w:p>
        </w:tc>
        <w:tc>
          <w:tcPr>
            <w:tcW w:w="56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681"/>
              <w:spacing w:after="0"/>
              <w:rPr>
                <w:sz w:val="20"/>
                <w:szCs w:val="20"/>
                <w:color w:val="auto"/>
              </w:rPr>
            </w:pPr>
            <w:r>
              <w:rPr>
                <w:rFonts w:ascii="Arial" w:cs="Arial" w:eastAsia="Arial" w:hAnsi="Arial"/>
                <w:sz w:val="14"/>
                <w:szCs w:val="14"/>
                <w:color w:val="auto"/>
              </w:rPr>
              <w:t>2011</w:t>
            </w:r>
          </w:p>
        </w:tc>
        <w:tc>
          <w:tcPr>
            <w:tcW w:w="36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580"/>
              <w:spacing w:after="0"/>
              <w:rPr>
                <w:sz w:val="20"/>
                <w:szCs w:val="20"/>
                <w:color w:val="auto"/>
              </w:rPr>
            </w:pPr>
            <w:r>
              <w:rPr>
                <w:rFonts w:ascii="Arial" w:cs="Arial" w:eastAsia="Arial" w:hAnsi="Arial"/>
                <w:sz w:val="14"/>
                <w:szCs w:val="14"/>
                <w:color w:val="auto"/>
              </w:rPr>
              <w:t>2010</w:t>
            </w:r>
          </w:p>
        </w:tc>
      </w:tr>
      <w:tr>
        <w:trPr>
          <w:trHeight w:val="224"/>
        </w:trPr>
        <w:tc>
          <w:tcPr>
            <w:tcW w:w="2420" w:type="dxa"/>
            <w:vAlign w:val="bottom"/>
          </w:tcPr>
          <w:p>
            <w:pPr>
              <w:spacing w:after="0"/>
              <w:rPr>
                <w:sz w:val="20"/>
                <w:szCs w:val="20"/>
                <w:color w:val="auto"/>
              </w:rPr>
            </w:pPr>
            <w:r>
              <w:rPr>
                <w:rFonts w:ascii="Arial" w:cs="Arial" w:eastAsia="Arial" w:hAnsi="Arial"/>
                <w:sz w:val="16"/>
                <w:szCs w:val="16"/>
                <w:b w:val="1"/>
                <w:bCs w:val="1"/>
                <w:color w:val="auto"/>
              </w:rPr>
              <w:t>Sempra Energy Consolidated:</w:t>
            </w:r>
          </w:p>
        </w:tc>
        <w:tc>
          <w:tcPr>
            <w:tcW w:w="178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10"/>
        </w:trPr>
        <w:tc>
          <w:tcPr>
            <w:tcW w:w="2420" w:type="dxa"/>
            <w:vAlign w:val="bottom"/>
          </w:tcPr>
          <w:p>
            <w:pPr>
              <w:ind w:left="180"/>
              <w:spacing w:after="0"/>
              <w:rPr>
                <w:sz w:val="20"/>
                <w:szCs w:val="20"/>
                <w:color w:val="auto"/>
              </w:rPr>
            </w:pPr>
            <w:r>
              <w:rPr>
                <w:rFonts w:ascii="Arial" w:cs="Arial" w:eastAsia="Arial" w:hAnsi="Arial"/>
                <w:sz w:val="16"/>
                <w:szCs w:val="16"/>
                <w:color w:val="auto"/>
              </w:rPr>
              <w:t>Interest rate instruments</w:t>
            </w:r>
          </w:p>
        </w:tc>
        <w:tc>
          <w:tcPr>
            <w:tcW w:w="1780" w:type="dxa"/>
            <w:vAlign w:val="bottom"/>
          </w:tcPr>
          <w:p>
            <w:pPr>
              <w:ind w:left="120"/>
              <w:spacing w:after="0"/>
              <w:rPr>
                <w:sz w:val="20"/>
                <w:szCs w:val="20"/>
                <w:color w:val="auto"/>
              </w:rPr>
            </w:pPr>
            <w:r>
              <w:rPr>
                <w:rFonts w:ascii="Arial" w:cs="Arial" w:eastAsia="Arial" w:hAnsi="Arial"/>
                <w:sz w:val="16"/>
                <w:szCs w:val="16"/>
                <w:color w:val="auto"/>
              </w:rPr>
              <w:t>Interest Expense</w:t>
            </w:r>
          </w:p>
        </w:tc>
        <w:tc>
          <w:tcPr>
            <w:tcW w:w="1400" w:type="dxa"/>
            <w:vAlign w:val="bottom"/>
          </w:tcPr>
          <w:p>
            <w:pPr>
              <w:jc w:val="right"/>
              <w:ind w:right="682"/>
              <w:spacing w:after="0"/>
              <w:rPr>
                <w:sz w:val="20"/>
                <w:szCs w:val="20"/>
                <w:color w:val="auto"/>
              </w:rPr>
            </w:pPr>
            <w:r>
              <w:rPr>
                <w:rFonts w:ascii="Arial" w:cs="Arial" w:eastAsia="Arial" w:hAnsi="Arial"/>
                <w:sz w:val="16"/>
                <w:szCs w:val="16"/>
                <w:color w:val="auto"/>
              </w:rPr>
              <w:t>$</w:t>
            </w:r>
          </w:p>
        </w:tc>
        <w:tc>
          <w:tcPr>
            <w:tcW w:w="620" w:type="dxa"/>
            <w:vAlign w:val="bottom"/>
          </w:tcPr>
          <w:p>
            <w:pPr>
              <w:jc w:val="right"/>
              <w:ind w:right="80"/>
              <w:spacing w:after="0"/>
              <w:rPr>
                <w:sz w:val="20"/>
                <w:szCs w:val="20"/>
                <w:color w:val="auto"/>
              </w:rPr>
            </w:pPr>
            <w:r>
              <w:rPr>
                <w:rFonts w:ascii="Arial" w:cs="Arial" w:eastAsia="Arial" w:hAnsi="Arial"/>
                <w:sz w:val="16"/>
                <w:szCs w:val="16"/>
                <w:color w:val="auto"/>
              </w:rPr>
              <w:t>2</w:t>
            </w:r>
          </w:p>
        </w:tc>
        <w:tc>
          <w:tcPr>
            <w:tcW w:w="1060" w:type="dxa"/>
            <w:vAlign w:val="bottom"/>
          </w:tcPr>
          <w:p>
            <w:pPr>
              <w:jc w:val="right"/>
              <w:ind w:right="741"/>
              <w:spacing w:after="0"/>
              <w:rPr>
                <w:sz w:val="20"/>
                <w:szCs w:val="20"/>
                <w:color w:val="auto"/>
              </w:rPr>
            </w:pPr>
            <w:r>
              <w:rPr>
                <w:rFonts w:ascii="Arial" w:cs="Arial" w:eastAsia="Arial" w:hAnsi="Arial"/>
                <w:sz w:val="16"/>
                <w:szCs w:val="16"/>
                <w:color w:val="auto"/>
              </w:rPr>
              <w:t>$</w:t>
            </w:r>
          </w:p>
        </w:tc>
        <w:tc>
          <w:tcPr>
            <w:tcW w:w="560" w:type="dxa"/>
            <w:vAlign w:val="bottom"/>
          </w:tcPr>
          <w:p>
            <w:pPr>
              <w:jc w:val="right"/>
              <w:ind w:right="79"/>
              <w:spacing w:after="0"/>
              <w:rPr>
                <w:sz w:val="20"/>
                <w:szCs w:val="20"/>
                <w:color w:val="auto"/>
              </w:rPr>
            </w:pPr>
            <w:r>
              <w:rPr>
                <w:rFonts w:ascii="Arial" w:cs="Arial" w:eastAsia="Arial" w:hAnsi="Arial"/>
                <w:sz w:val="16"/>
                <w:szCs w:val="16"/>
                <w:color w:val="auto"/>
              </w:rPr>
              <w:t>5</w:t>
            </w:r>
          </w:p>
        </w:tc>
        <w:tc>
          <w:tcPr>
            <w:tcW w:w="3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200" w:type="dxa"/>
            <w:vAlign w:val="bottom"/>
          </w:tcPr>
          <w:p>
            <w:pPr>
              <w:jc w:val="center"/>
              <w:ind w:left="721"/>
              <w:spacing w:after="0"/>
              <w:rPr>
                <w:sz w:val="20"/>
                <w:szCs w:val="20"/>
                <w:color w:val="auto"/>
              </w:rPr>
            </w:pPr>
            <w:r>
              <w:rPr>
                <w:rFonts w:ascii="Arial" w:cs="Arial" w:eastAsia="Arial" w:hAnsi="Arial"/>
                <w:sz w:val="16"/>
                <w:szCs w:val="16"/>
                <w:color w:val="auto"/>
                <w:w w:val="89"/>
              </w:rPr>
              <w:t>5</w:t>
            </w:r>
          </w:p>
        </w:tc>
        <w:tc>
          <w:tcPr>
            <w:tcW w:w="3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100" w:type="dxa"/>
            <w:vAlign w:val="bottom"/>
          </w:tcPr>
          <w:p>
            <w:pPr>
              <w:jc w:val="center"/>
              <w:ind w:left="820"/>
              <w:spacing w:after="0"/>
              <w:rPr>
                <w:sz w:val="20"/>
                <w:szCs w:val="20"/>
                <w:color w:val="auto"/>
              </w:rPr>
            </w:pPr>
            <w:r>
              <w:rPr>
                <w:rFonts w:ascii="Arial" w:cs="Arial" w:eastAsia="Arial" w:hAnsi="Arial"/>
                <w:sz w:val="16"/>
                <w:szCs w:val="16"/>
                <w:color w:val="auto"/>
                <w:w w:val="89"/>
              </w:rPr>
              <w:t>7</w:t>
            </w:r>
          </w:p>
        </w:tc>
      </w:tr>
      <w:tr>
        <w:trPr>
          <w:trHeight w:val="194"/>
        </w:trPr>
        <w:tc>
          <w:tcPr>
            <w:tcW w:w="2420" w:type="dxa"/>
            <w:vAlign w:val="bottom"/>
          </w:tcPr>
          <w:p>
            <w:pPr>
              <w:ind w:left="180"/>
              <w:spacing w:after="0"/>
              <w:rPr>
                <w:sz w:val="20"/>
                <w:szCs w:val="20"/>
                <w:color w:val="auto"/>
              </w:rPr>
            </w:pPr>
            <w:r>
              <w:rPr>
                <w:rFonts w:ascii="Arial" w:cs="Arial" w:eastAsia="Arial" w:hAnsi="Arial"/>
                <w:sz w:val="16"/>
                <w:szCs w:val="16"/>
                <w:color w:val="auto"/>
              </w:rPr>
              <w:t>Interest rate instruments</w:t>
            </w:r>
          </w:p>
        </w:tc>
        <w:tc>
          <w:tcPr>
            <w:tcW w:w="1780" w:type="dxa"/>
            <w:vAlign w:val="bottom"/>
          </w:tcPr>
          <w:p>
            <w:pPr>
              <w:ind w:left="120"/>
              <w:spacing w:after="0"/>
              <w:rPr>
                <w:sz w:val="20"/>
                <w:szCs w:val="20"/>
                <w:color w:val="auto"/>
              </w:rPr>
            </w:pPr>
            <w:r>
              <w:rPr>
                <w:rFonts w:ascii="Arial" w:cs="Arial" w:eastAsia="Arial" w:hAnsi="Arial"/>
                <w:sz w:val="16"/>
                <w:szCs w:val="16"/>
                <w:color w:val="auto"/>
              </w:rPr>
              <w:t>Other Income, Net</w:t>
            </w:r>
          </w:p>
        </w:tc>
        <w:tc>
          <w:tcPr>
            <w:tcW w:w="140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color w:val="auto"/>
              </w:rPr>
              <w:t>8</w:t>
            </w:r>
          </w:p>
        </w:tc>
        <w:tc>
          <w:tcPr>
            <w:tcW w:w="106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(7)</w:t>
            </w: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center"/>
              <w:ind w:left="721"/>
              <w:spacing w:after="0"/>
              <w:rPr>
                <w:sz w:val="20"/>
                <w:szCs w:val="20"/>
                <w:color w:val="auto"/>
              </w:rPr>
            </w:pPr>
            <w:r>
              <w:rPr>
                <w:rFonts w:ascii="Arial" w:cs="Arial" w:eastAsia="Arial" w:hAnsi="Arial"/>
                <w:sz w:val="16"/>
                <w:szCs w:val="16"/>
                <w:color w:val="auto"/>
                <w:w w:val="89"/>
              </w:rPr>
              <w:t>3</w:t>
            </w:r>
          </w:p>
        </w:tc>
        <w:tc>
          <w:tcPr>
            <w:tcW w:w="3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center"/>
              <w:ind w:left="820"/>
              <w:spacing w:after="0"/>
              <w:rPr>
                <w:sz w:val="20"/>
                <w:szCs w:val="20"/>
                <w:color w:val="auto"/>
              </w:rPr>
            </w:pPr>
            <w:r>
              <w:rPr>
                <w:rFonts w:ascii="Arial" w:cs="Arial" w:eastAsia="Arial" w:hAnsi="Arial"/>
                <w:sz w:val="16"/>
                <w:szCs w:val="16"/>
                <w:color w:val="auto"/>
              </w:rPr>
              <w:t>(9)</w:t>
            </w:r>
          </w:p>
        </w:tc>
      </w:tr>
      <w:tr>
        <w:trPr>
          <w:trHeight w:val="196"/>
        </w:trPr>
        <w:tc>
          <w:tcPr>
            <w:tcW w:w="2420" w:type="dxa"/>
            <w:vAlign w:val="bottom"/>
            <w:tcBorders>
              <w:bottom w:val="single" w:sz="8" w:color="auto"/>
            </w:tcBorders>
          </w:tcPr>
          <w:p>
            <w:pPr>
              <w:ind w:left="180"/>
              <w:spacing w:after="0"/>
              <w:rPr>
                <w:sz w:val="20"/>
                <w:szCs w:val="20"/>
                <w:color w:val="auto"/>
              </w:rPr>
            </w:pPr>
            <w:r>
              <w:rPr>
                <w:rFonts w:ascii="Arial" w:cs="Arial" w:eastAsia="Arial" w:hAnsi="Arial"/>
                <w:sz w:val="16"/>
                <w:szCs w:val="16"/>
                <w:color w:val="auto"/>
              </w:rPr>
              <w:t>Total(1)</w:t>
            </w:r>
          </w:p>
        </w:tc>
        <w:tc>
          <w:tcPr>
            <w:tcW w:w="178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ind w:right="682"/>
              <w:spacing w:after="0"/>
              <w:rPr>
                <w:sz w:val="20"/>
                <w:szCs w:val="20"/>
                <w:color w:val="auto"/>
              </w:rPr>
            </w:pPr>
            <w:r>
              <w:rPr>
                <w:rFonts w:ascii="Arial" w:cs="Arial" w:eastAsia="Arial" w:hAnsi="Arial"/>
                <w:sz w:val="16"/>
                <w:szCs w:val="16"/>
                <w:color w:val="auto"/>
              </w:rPr>
              <w:t>$</w:t>
            </w:r>
          </w:p>
        </w:tc>
        <w:tc>
          <w:tcPr>
            <w:tcW w:w="62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color w:val="auto"/>
              </w:rPr>
              <w:t>10</w:t>
            </w:r>
          </w:p>
        </w:tc>
        <w:tc>
          <w:tcPr>
            <w:tcW w:w="1060" w:type="dxa"/>
            <w:vAlign w:val="bottom"/>
            <w:tcBorders>
              <w:bottom w:val="single" w:sz="8" w:color="auto"/>
            </w:tcBorders>
          </w:tcPr>
          <w:p>
            <w:pPr>
              <w:jc w:val="right"/>
              <w:ind w:right="741"/>
              <w:spacing w:after="0"/>
              <w:rPr>
                <w:sz w:val="20"/>
                <w:szCs w:val="20"/>
                <w:color w:val="auto"/>
              </w:rPr>
            </w:pPr>
            <w:r>
              <w:rPr>
                <w:rFonts w:ascii="Arial" w:cs="Arial" w:eastAsia="Arial" w:hAnsi="Arial"/>
                <w:sz w:val="16"/>
                <w:szCs w:val="16"/>
                <w:color w:val="auto"/>
              </w:rPr>
              <w:t>$</w:t>
            </w:r>
          </w:p>
        </w:tc>
        <w:tc>
          <w:tcPr>
            <w:tcW w:w="5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w:t>
            </w:r>
          </w:p>
        </w:tc>
        <w:tc>
          <w:tcPr>
            <w:tcW w:w="3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tcPr>
          <w:p>
            <w:pPr>
              <w:jc w:val="center"/>
              <w:ind w:left="721"/>
              <w:spacing w:after="0"/>
              <w:rPr>
                <w:sz w:val="20"/>
                <w:szCs w:val="20"/>
                <w:color w:val="auto"/>
              </w:rPr>
            </w:pPr>
            <w:r>
              <w:rPr>
                <w:rFonts w:ascii="Arial" w:cs="Arial" w:eastAsia="Arial" w:hAnsi="Arial"/>
                <w:sz w:val="16"/>
                <w:szCs w:val="16"/>
                <w:color w:val="auto"/>
                <w:w w:val="89"/>
              </w:rPr>
              <w:t>8</w:t>
            </w:r>
          </w:p>
        </w:tc>
        <w:tc>
          <w:tcPr>
            <w:tcW w:w="3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tcPr>
          <w:p>
            <w:pPr>
              <w:jc w:val="center"/>
              <w:ind w:left="820"/>
              <w:spacing w:after="0"/>
              <w:rPr>
                <w:sz w:val="20"/>
                <w:szCs w:val="20"/>
                <w:color w:val="auto"/>
              </w:rPr>
            </w:pPr>
            <w:r>
              <w:rPr>
                <w:rFonts w:ascii="Arial" w:cs="Arial" w:eastAsia="Arial" w:hAnsi="Arial"/>
                <w:sz w:val="16"/>
                <w:szCs w:val="16"/>
                <w:color w:val="auto"/>
              </w:rPr>
              <w:t>(2)</w:t>
            </w:r>
          </w:p>
        </w:tc>
      </w:tr>
      <w:tr>
        <w:trPr>
          <w:trHeight w:val="224"/>
        </w:trPr>
        <w:tc>
          <w:tcPr>
            <w:tcW w:w="2420" w:type="dxa"/>
            <w:vAlign w:val="bottom"/>
          </w:tcPr>
          <w:p>
            <w:pPr>
              <w:spacing w:after="0"/>
              <w:rPr>
                <w:sz w:val="20"/>
                <w:szCs w:val="20"/>
                <w:color w:val="auto"/>
              </w:rPr>
            </w:pPr>
            <w:r>
              <w:rPr>
                <w:rFonts w:ascii="Arial" w:cs="Arial" w:eastAsia="Arial" w:hAnsi="Arial"/>
                <w:sz w:val="16"/>
                <w:szCs w:val="16"/>
                <w:b w:val="1"/>
                <w:bCs w:val="1"/>
                <w:color w:val="auto"/>
              </w:rPr>
              <w:t>SoCalGas:</w:t>
            </w:r>
          </w:p>
        </w:tc>
        <w:tc>
          <w:tcPr>
            <w:tcW w:w="178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10"/>
        </w:trPr>
        <w:tc>
          <w:tcPr>
            <w:tcW w:w="2420" w:type="dxa"/>
            <w:vAlign w:val="bottom"/>
          </w:tcPr>
          <w:p>
            <w:pPr>
              <w:ind w:left="180"/>
              <w:spacing w:after="0"/>
              <w:rPr>
                <w:sz w:val="20"/>
                <w:szCs w:val="20"/>
                <w:color w:val="auto"/>
              </w:rPr>
            </w:pPr>
            <w:r>
              <w:rPr>
                <w:rFonts w:ascii="Arial" w:cs="Arial" w:eastAsia="Arial" w:hAnsi="Arial"/>
                <w:sz w:val="16"/>
                <w:szCs w:val="16"/>
                <w:color w:val="auto"/>
              </w:rPr>
              <w:t>Interest rate instrument</w:t>
            </w:r>
          </w:p>
        </w:tc>
        <w:tc>
          <w:tcPr>
            <w:tcW w:w="1780" w:type="dxa"/>
            <w:vAlign w:val="bottom"/>
          </w:tcPr>
          <w:p>
            <w:pPr>
              <w:ind w:left="120"/>
              <w:spacing w:after="0"/>
              <w:rPr>
                <w:sz w:val="20"/>
                <w:szCs w:val="20"/>
                <w:color w:val="auto"/>
              </w:rPr>
            </w:pPr>
            <w:r>
              <w:rPr>
                <w:rFonts w:ascii="Arial" w:cs="Arial" w:eastAsia="Arial" w:hAnsi="Arial"/>
                <w:sz w:val="16"/>
                <w:szCs w:val="16"/>
                <w:color w:val="auto"/>
              </w:rPr>
              <w:t>Interest Expense</w:t>
            </w:r>
          </w:p>
        </w:tc>
        <w:tc>
          <w:tcPr>
            <w:tcW w:w="1400" w:type="dxa"/>
            <w:vAlign w:val="bottom"/>
          </w:tcPr>
          <w:p>
            <w:pPr>
              <w:jc w:val="right"/>
              <w:ind w:right="682"/>
              <w:spacing w:after="0"/>
              <w:rPr>
                <w:sz w:val="20"/>
                <w:szCs w:val="20"/>
                <w:color w:val="auto"/>
              </w:rPr>
            </w:pPr>
            <w:r>
              <w:rPr>
                <w:rFonts w:ascii="Arial" w:cs="Arial" w:eastAsia="Arial" w:hAnsi="Arial"/>
                <w:sz w:val="16"/>
                <w:szCs w:val="16"/>
                <w:color w:val="auto"/>
              </w:rPr>
              <w:t>$</w:t>
            </w:r>
          </w:p>
        </w:tc>
        <w:tc>
          <w:tcPr>
            <w:tcW w:w="620" w:type="dxa"/>
            <w:vAlign w:val="bottom"/>
          </w:tcPr>
          <w:p>
            <w:pPr>
              <w:jc w:val="right"/>
              <w:ind w:right="80"/>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741"/>
              <w:spacing w:after="0"/>
              <w:rPr>
                <w:sz w:val="20"/>
                <w:szCs w:val="20"/>
                <w:color w:val="auto"/>
              </w:rPr>
            </w:pPr>
            <w:r>
              <w:rPr>
                <w:rFonts w:ascii="Arial" w:cs="Arial" w:eastAsia="Arial" w:hAnsi="Arial"/>
                <w:sz w:val="16"/>
                <w:szCs w:val="16"/>
                <w:color w:val="auto"/>
              </w:rPr>
              <w:t>$</w:t>
            </w:r>
          </w:p>
        </w:tc>
        <w:tc>
          <w:tcPr>
            <w:tcW w:w="560" w:type="dxa"/>
            <w:vAlign w:val="bottom"/>
          </w:tcPr>
          <w:p>
            <w:pPr>
              <w:jc w:val="right"/>
              <w:ind w:right="79"/>
              <w:spacing w:after="0"/>
              <w:rPr>
                <w:sz w:val="20"/>
                <w:szCs w:val="20"/>
                <w:color w:val="auto"/>
              </w:rPr>
            </w:pPr>
            <w:r>
              <w:rPr>
                <w:rFonts w:ascii="Arial" w:cs="Arial" w:eastAsia="Arial" w:hAnsi="Arial"/>
                <w:sz w:val="16"/>
                <w:szCs w:val="16"/>
                <w:color w:val="auto"/>
              </w:rPr>
              <w:t>1</w:t>
            </w:r>
          </w:p>
        </w:tc>
        <w:tc>
          <w:tcPr>
            <w:tcW w:w="3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200" w:type="dxa"/>
            <w:vAlign w:val="bottom"/>
          </w:tcPr>
          <w:p>
            <w:pPr>
              <w:jc w:val="center"/>
              <w:ind w:left="721"/>
              <w:spacing w:after="0"/>
              <w:rPr>
                <w:sz w:val="20"/>
                <w:szCs w:val="20"/>
                <w:color w:val="auto"/>
              </w:rPr>
            </w:pPr>
            <w:r>
              <w:rPr>
                <w:rFonts w:ascii="Arial" w:cs="Arial" w:eastAsia="Arial" w:hAnsi="Arial"/>
                <w:sz w:val="16"/>
                <w:szCs w:val="16"/>
                <w:color w:val="auto"/>
                <w:w w:val="89"/>
              </w:rPr>
              <w:t>1</w:t>
            </w:r>
          </w:p>
        </w:tc>
        <w:tc>
          <w:tcPr>
            <w:tcW w:w="3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100" w:type="dxa"/>
            <w:vAlign w:val="bottom"/>
          </w:tcPr>
          <w:p>
            <w:pPr>
              <w:jc w:val="center"/>
              <w:ind w:left="820"/>
              <w:spacing w:after="0"/>
              <w:rPr>
                <w:sz w:val="20"/>
                <w:szCs w:val="20"/>
                <w:color w:val="auto"/>
              </w:rPr>
            </w:pPr>
            <w:r>
              <w:rPr>
                <w:rFonts w:ascii="Arial" w:cs="Arial" w:eastAsia="Arial" w:hAnsi="Arial"/>
                <w:sz w:val="16"/>
                <w:szCs w:val="16"/>
                <w:color w:val="auto"/>
                <w:w w:val="89"/>
              </w:rPr>
              <w:t>3</w:t>
            </w:r>
          </w:p>
        </w:tc>
      </w:tr>
      <w:tr>
        <w:trPr>
          <w:trHeight w:val="194"/>
        </w:trPr>
        <w:tc>
          <w:tcPr>
            <w:tcW w:w="2420" w:type="dxa"/>
            <w:vAlign w:val="bottom"/>
          </w:tcPr>
          <w:p>
            <w:pPr>
              <w:ind w:left="180"/>
              <w:spacing w:after="0"/>
              <w:rPr>
                <w:sz w:val="20"/>
                <w:szCs w:val="20"/>
                <w:color w:val="auto"/>
              </w:rPr>
            </w:pPr>
            <w:r>
              <w:rPr>
                <w:rFonts w:ascii="Arial" w:cs="Arial" w:eastAsia="Arial" w:hAnsi="Arial"/>
                <w:sz w:val="16"/>
                <w:szCs w:val="16"/>
                <w:color w:val="auto"/>
              </w:rPr>
              <w:t>Interest rate instrument</w:t>
            </w:r>
          </w:p>
        </w:tc>
        <w:tc>
          <w:tcPr>
            <w:tcW w:w="1780" w:type="dxa"/>
            <w:vAlign w:val="bottom"/>
          </w:tcPr>
          <w:p>
            <w:pPr>
              <w:ind w:left="120"/>
              <w:spacing w:after="0"/>
              <w:rPr>
                <w:sz w:val="20"/>
                <w:szCs w:val="20"/>
                <w:color w:val="auto"/>
              </w:rPr>
            </w:pPr>
            <w:r>
              <w:rPr>
                <w:rFonts w:ascii="Arial" w:cs="Arial" w:eastAsia="Arial" w:hAnsi="Arial"/>
                <w:sz w:val="16"/>
                <w:szCs w:val="16"/>
                <w:color w:val="auto"/>
              </w:rPr>
              <w:t>Other Income, Net</w:t>
            </w:r>
          </w:p>
        </w:tc>
        <w:tc>
          <w:tcPr>
            <w:tcW w:w="140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center"/>
              <w:ind w:left="681"/>
              <w:spacing w:after="0"/>
              <w:rPr>
                <w:sz w:val="20"/>
                <w:szCs w:val="20"/>
                <w:color w:val="auto"/>
              </w:rPr>
            </w:pPr>
            <w:r>
              <w:rPr>
                <w:rFonts w:ascii="Arial" w:cs="Arial" w:eastAsia="Arial" w:hAnsi="Arial"/>
                <w:sz w:val="16"/>
                <w:szCs w:val="16"/>
                <w:color w:val="auto"/>
              </w:rPr>
              <w:t>(3)</w:t>
            </w:r>
          </w:p>
        </w:tc>
        <w:tc>
          <w:tcPr>
            <w:tcW w:w="3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center"/>
              <w:ind w:left="820"/>
              <w:spacing w:after="0"/>
              <w:rPr>
                <w:sz w:val="20"/>
                <w:szCs w:val="20"/>
                <w:color w:val="auto"/>
              </w:rPr>
            </w:pPr>
            <w:r>
              <w:rPr>
                <w:rFonts w:ascii="Arial" w:cs="Arial" w:eastAsia="Arial" w:hAnsi="Arial"/>
                <w:sz w:val="16"/>
                <w:szCs w:val="16"/>
                <w:color w:val="auto"/>
              </w:rPr>
              <w:t>(2)</w:t>
            </w:r>
          </w:p>
        </w:tc>
      </w:tr>
      <w:tr>
        <w:trPr>
          <w:trHeight w:val="197"/>
        </w:trPr>
        <w:tc>
          <w:tcPr>
            <w:tcW w:w="2420" w:type="dxa"/>
            <w:vAlign w:val="bottom"/>
          </w:tcPr>
          <w:p>
            <w:pPr>
              <w:ind w:left="180"/>
              <w:spacing w:after="0"/>
              <w:rPr>
                <w:sz w:val="20"/>
                <w:szCs w:val="20"/>
                <w:color w:val="auto"/>
              </w:rPr>
            </w:pPr>
            <w:r>
              <w:rPr>
                <w:rFonts w:ascii="Arial" w:cs="Arial" w:eastAsia="Arial" w:hAnsi="Arial"/>
                <w:sz w:val="16"/>
                <w:szCs w:val="16"/>
                <w:color w:val="auto"/>
              </w:rPr>
              <w:t>Total(1)</w:t>
            </w:r>
          </w:p>
        </w:tc>
        <w:tc>
          <w:tcPr>
            <w:tcW w:w="1780" w:type="dxa"/>
            <w:vAlign w:val="bottom"/>
          </w:tcPr>
          <w:p>
            <w:pPr>
              <w:spacing w:after="0"/>
              <w:rPr>
                <w:sz w:val="17"/>
                <w:szCs w:val="17"/>
                <w:color w:val="auto"/>
              </w:rPr>
            </w:pPr>
          </w:p>
        </w:tc>
        <w:tc>
          <w:tcPr>
            <w:tcW w:w="1400" w:type="dxa"/>
            <w:vAlign w:val="bottom"/>
          </w:tcPr>
          <w:p>
            <w:pPr>
              <w:jc w:val="right"/>
              <w:ind w:right="682"/>
              <w:spacing w:after="0"/>
              <w:rPr>
                <w:sz w:val="20"/>
                <w:szCs w:val="20"/>
                <w:color w:val="auto"/>
              </w:rPr>
            </w:pPr>
            <w:r>
              <w:rPr>
                <w:rFonts w:ascii="Arial" w:cs="Arial" w:eastAsia="Arial" w:hAnsi="Arial"/>
                <w:sz w:val="16"/>
                <w:szCs w:val="16"/>
                <w:color w:val="auto"/>
              </w:rPr>
              <w:t>$</w:t>
            </w:r>
          </w:p>
        </w:tc>
        <w:tc>
          <w:tcPr>
            <w:tcW w:w="620" w:type="dxa"/>
            <w:vAlign w:val="bottom"/>
          </w:tcPr>
          <w:p>
            <w:pPr>
              <w:jc w:val="right"/>
              <w:ind w:right="80"/>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741"/>
              <w:spacing w:after="0"/>
              <w:rPr>
                <w:sz w:val="20"/>
                <w:szCs w:val="20"/>
                <w:color w:val="auto"/>
              </w:rPr>
            </w:pPr>
            <w:r>
              <w:rPr>
                <w:rFonts w:ascii="Arial" w:cs="Arial" w:eastAsia="Arial" w:hAnsi="Arial"/>
                <w:sz w:val="16"/>
                <w:szCs w:val="16"/>
                <w:color w:val="auto"/>
              </w:rPr>
              <w:t>$</w:t>
            </w:r>
          </w:p>
        </w:tc>
        <w:tc>
          <w:tcPr>
            <w:tcW w:w="560" w:type="dxa"/>
            <w:vAlign w:val="bottom"/>
          </w:tcPr>
          <w:p>
            <w:pPr>
              <w:jc w:val="right"/>
              <w:ind w:right="79"/>
              <w:spacing w:after="0"/>
              <w:rPr>
                <w:sz w:val="20"/>
                <w:szCs w:val="20"/>
                <w:color w:val="auto"/>
              </w:rPr>
            </w:pPr>
            <w:r>
              <w:rPr>
                <w:rFonts w:ascii="Arial" w:cs="Arial" w:eastAsia="Arial" w:hAnsi="Arial"/>
                <w:sz w:val="16"/>
                <w:szCs w:val="16"/>
                <w:color w:val="auto"/>
              </w:rPr>
              <w:t>1</w:t>
            </w:r>
          </w:p>
        </w:tc>
        <w:tc>
          <w:tcPr>
            <w:tcW w:w="3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200" w:type="dxa"/>
            <w:vAlign w:val="bottom"/>
          </w:tcPr>
          <w:p>
            <w:pPr>
              <w:jc w:val="center"/>
              <w:ind w:left="681"/>
              <w:spacing w:after="0"/>
              <w:rPr>
                <w:sz w:val="20"/>
                <w:szCs w:val="20"/>
                <w:color w:val="auto"/>
              </w:rPr>
            </w:pPr>
            <w:r>
              <w:rPr>
                <w:rFonts w:ascii="Arial" w:cs="Arial" w:eastAsia="Arial" w:hAnsi="Arial"/>
                <w:sz w:val="16"/>
                <w:szCs w:val="16"/>
                <w:color w:val="auto"/>
              </w:rPr>
              <w:t>(2)</w:t>
            </w:r>
          </w:p>
        </w:tc>
        <w:tc>
          <w:tcPr>
            <w:tcW w:w="3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100" w:type="dxa"/>
            <w:vAlign w:val="bottom"/>
          </w:tcPr>
          <w:p>
            <w:pPr>
              <w:jc w:val="center"/>
              <w:ind w:left="820"/>
              <w:spacing w:after="0"/>
              <w:rPr>
                <w:sz w:val="20"/>
                <w:szCs w:val="20"/>
                <w:color w:val="auto"/>
              </w:rPr>
            </w:pPr>
            <w:r>
              <w:rPr>
                <w:rFonts w:ascii="Arial" w:cs="Arial" w:eastAsia="Arial" w:hAnsi="Arial"/>
                <w:sz w:val="16"/>
                <w:szCs w:val="16"/>
                <w:color w:val="auto"/>
                <w:w w:val="89"/>
              </w:rPr>
              <w:t>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wp:posOffset>
            </wp:positionV>
            <wp:extent cx="6886575"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886575" cy="17145"/>
                    </a:xfrm>
                    <a:prstGeom prst="rect">
                      <a:avLst/>
                    </a:prstGeom>
                    <a:noFill/>
                  </pic:spPr>
                </pic:pic>
              </a:graphicData>
            </a:graphic>
          </wp:anchor>
        </w:drawing>
      </w:r>
    </w:p>
    <w:p>
      <w:pPr>
        <w:ind w:left="460" w:right="620" w:hanging="452"/>
        <w:spacing w:after="0" w:line="279" w:lineRule="auto"/>
        <w:tabs>
          <w:tab w:leader="none" w:pos="460" w:val="left"/>
        </w:tabs>
        <w:numPr>
          <w:ilvl w:val="0"/>
          <w:numId w:val="27"/>
        </w:numPr>
        <w:rPr>
          <w:rFonts w:ascii="Arial" w:cs="Arial" w:eastAsia="Arial" w:hAnsi="Arial"/>
          <w:sz w:val="14"/>
          <w:szCs w:val="14"/>
          <w:i w:val="1"/>
          <w:iCs w:val="1"/>
          <w:color w:val="auto"/>
        </w:rPr>
      </w:pPr>
      <w:r>
        <w:rPr>
          <w:rFonts w:ascii="Arial" w:cs="Arial" w:eastAsia="Arial" w:hAnsi="Arial"/>
          <w:sz w:val="14"/>
          <w:szCs w:val="14"/>
          <w:i w:val="1"/>
          <w:iCs w:val="1"/>
          <w:color w:val="auto"/>
        </w:rPr>
        <w:t>There has been no hedge ineffectiveness on these swaps. Changes in the fair values of the interest rate swap agreements are exactly offset by changes in the fair value of the underlying long-term debt.</w:t>
      </w:r>
    </w:p>
    <w:p>
      <w:pPr>
        <w:spacing w:after="0" w:line="30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CASH FLOW HEDGE IMPACT ON THE CONDENSED CONSOLIDATED STATEMENTS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-95885</wp:posOffset>
            </wp:positionV>
            <wp:extent cx="7246620" cy="21463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46620" cy="214630"/>
                    </a:xfrm>
                    <a:prstGeom prst="rect">
                      <a:avLst/>
                    </a:prstGeom>
                    <a:noFill/>
                  </pic:spPr>
                </pic:pic>
              </a:graphicData>
            </a:graphic>
          </wp:anchor>
        </w:drawing>
      </w: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760" w:type="dxa"/>
            <w:vAlign w:val="bottom"/>
            <w:gridSpan w:val="2"/>
          </w:tcPr>
          <w:p>
            <w:pPr>
              <w:spacing w:after="0"/>
              <w:rPr>
                <w:sz w:val="20"/>
                <w:szCs w:val="20"/>
                <w:color w:val="auto"/>
              </w:rPr>
            </w:pPr>
            <w:r>
              <w:rPr>
                <w:rFonts w:ascii="Arial" w:cs="Arial" w:eastAsia="Arial" w:hAnsi="Arial"/>
                <w:sz w:val="14"/>
                <w:szCs w:val="14"/>
                <w:i w:val="1"/>
                <w:iCs w:val="1"/>
                <w:color w:val="auto"/>
              </w:rPr>
              <w:t>(Dollars in millions)</w:t>
            </w:r>
          </w:p>
        </w:tc>
        <w:tc>
          <w:tcPr>
            <w:tcW w:w="2300" w:type="dxa"/>
            <w:vAlign w:val="bottom"/>
            <w:gridSpan w:val="3"/>
            <w:vMerge w:val="restart"/>
          </w:tcPr>
          <w:p>
            <w:pPr>
              <w:jc w:val="center"/>
              <w:ind w:left="168"/>
              <w:spacing w:after="0"/>
              <w:rPr>
                <w:sz w:val="20"/>
                <w:szCs w:val="20"/>
                <w:color w:val="auto"/>
              </w:rPr>
            </w:pPr>
            <w:r>
              <w:rPr>
                <w:rFonts w:ascii="Arial" w:cs="Arial" w:eastAsia="Arial" w:hAnsi="Arial"/>
                <w:sz w:val="14"/>
                <w:szCs w:val="14"/>
                <w:color w:val="auto"/>
              </w:rPr>
              <w:t>Pretax gain (loss) recognized</w:t>
            </w:r>
          </w:p>
        </w:tc>
        <w:tc>
          <w:tcPr>
            <w:tcW w:w="240" w:type="dxa"/>
            <w:vAlign w:val="bottom"/>
          </w:tcPr>
          <w:p>
            <w:pPr>
              <w:spacing w:after="0"/>
              <w:rPr>
                <w:sz w:val="14"/>
                <w:szCs w:val="14"/>
                <w:color w:val="auto"/>
              </w:rPr>
            </w:pPr>
          </w:p>
        </w:tc>
        <w:tc>
          <w:tcPr>
            <w:tcW w:w="34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20" w:type="dxa"/>
            <w:vAlign w:val="bottom"/>
            <w:shd w:val="clear" w:color="auto" w:fill="C0C0C0"/>
          </w:tcPr>
          <w:p>
            <w:pPr>
              <w:spacing w:after="0"/>
              <w:rPr>
                <w:sz w:val="14"/>
                <w:szCs w:val="14"/>
                <w:color w:val="auto"/>
              </w:rPr>
            </w:pPr>
          </w:p>
        </w:tc>
        <w:tc>
          <w:tcPr>
            <w:tcW w:w="940" w:type="dxa"/>
            <w:vAlign w:val="bottom"/>
            <w:shd w:val="clear" w:color="auto" w:fill="C0C0C0"/>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740" w:type="dxa"/>
            <w:vAlign w:val="bottom"/>
          </w:tcPr>
          <w:p>
            <w:pPr>
              <w:spacing w:after="0"/>
              <w:rPr>
                <w:sz w:val="14"/>
                <w:szCs w:val="14"/>
                <w:color w:val="auto"/>
              </w:rPr>
            </w:pPr>
          </w:p>
        </w:tc>
        <w:tc>
          <w:tcPr>
            <w:tcW w:w="2300" w:type="dxa"/>
            <w:vAlign w:val="bottom"/>
            <w:gridSpan w:val="3"/>
            <w:vMerge w:val="continue"/>
          </w:tcPr>
          <w:p>
            <w:pPr>
              <w:spacing w:after="0"/>
              <w:rPr>
                <w:sz w:val="14"/>
                <w:szCs w:val="14"/>
                <w:color w:val="auto"/>
              </w:rPr>
            </w:pPr>
          </w:p>
        </w:tc>
        <w:tc>
          <w:tcPr>
            <w:tcW w:w="240" w:type="dxa"/>
            <w:vAlign w:val="bottom"/>
          </w:tcPr>
          <w:p>
            <w:pPr>
              <w:spacing w:after="0"/>
              <w:rPr>
                <w:sz w:val="14"/>
                <w:szCs w:val="14"/>
                <w:color w:val="auto"/>
              </w:rPr>
            </w:pPr>
          </w:p>
        </w:tc>
        <w:tc>
          <w:tcPr>
            <w:tcW w:w="3440" w:type="dxa"/>
            <w:vAlign w:val="bottom"/>
          </w:tcPr>
          <w:p>
            <w:pPr>
              <w:spacing w:after="0"/>
              <w:rPr>
                <w:sz w:val="14"/>
                <w:szCs w:val="14"/>
                <w:color w:val="auto"/>
              </w:rPr>
            </w:pPr>
          </w:p>
        </w:tc>
        <w:tc>
          <w:tcPr>
            <w:tcW w:w="2680" w:type="dxa"/>
            <w:vAlign w:val="bottom"/>
            <w:gridSpan w:val="4"/>
          </w:tcPr>
          <w:p>
            <w:pPr>
              <w:ind w:left="240"/>
              <w:spacing w:after="0"/>
              <w:rPr>
                <w:sz w:val="20"/>
                <w:szCs w:val="20"/>
                <w:color w:val="auto"/>
              </w:rPr>
            </w:pPr>
            <w:r>
              <w:rPr>
                <w:rFonts w:ascii="Arial" w:cs="Arial" w:eastAsia="Arial" w:hAnsi="Arial"/>
                <w:sz w:val="14"/>
                <w:szCs w:val="14"/>
                <w:color w:val="auto"/>
              </w:rPr>
              <w:t>Gain (loss) reclassified from AOCI</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2740" w:type="dxa"/>
            <w:vAlign w:val="bottom"/>
          </w:tcPr>
          <w:p>
            <w:pPr>
              <w:spacing w:after="0"/>
              <w:rPr>
                <w:sz w:val="14"/>
                <w:szCs w:val="14"/>
                <w:color w:val="auto"/>
              </w:rPr>
            </w:pPr>
          </w:p>
        </w:tc>
        <w:tc>
          <w:tcPr>
            <w:tcW w:w="2300" w:type="dxa"/>
            <w:vAlign w:val="bottom"/>
            <w:tcBorders>
              <w:bottom w:val="single" w:sz="8" w:color="auto"/>
            </w:tcBorders>
            <w:gridSpan w:val="3"/>
          </w:tcPr>
          <w:p>
            <w:pPr>
              <w:jc w:val="center"/>
              <w:ind w:left="188"/>
              <w:spacing w:after="0" w:line="157" w:lineRule="exact"/>
              <w:rPr>
                <w:sz w:val="20"/>
                <w:szCs w:val="20"/>
                <w:color w:val="auto"/>
              </w:rPr>
            </w:pPr>
            <w:r>
              <w:rPr>
                <w:rFonts w:ascii="Arial" w:cs="Arial" w:eastAsia="Arial" w:hAnsi="Arial"/>
                <w:sz w:val="14"/>
                <w:szCs w:val="14"/>
                <w:color w:val="auto"/>
              </w:rPr>
              <w:t>in OCI (effective portion)</w:t>
            </w:r>
          </w:p>
        </w:tc>
        <w:tc>
          <w:tcPr>
            <w:tcW w:w="240" w:type="dxa"/>
            <w:vAlign w:val="bottom"/>
            <w:tcBorders>
              <w:bottom w:val="single" w:sz="8" w:color="auto"/>
            </w:tcBorders>
          </w:tcPr>
          <w:p>
            <w:pPr>
              <w:spacing w:after="0"/>
              <w:rPr>
                <w:sz w:val="14"/>
                <w:szCs w:val="14"/>
                <w:color w:val="auto"/>
              </w:rPr>
            </w:pPr>
          </w:p>
        </w:tc>
        <w:tc>
          <w:tcPr>
            <w:tcW w:w="344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2340" w:type="dxa"/>
            <w:vAlign w:val="bottom"/>
            <w:tcBorders>
              <w:bottom w:val="single" w:sz="8" w:color="auto"/>
            </w:tcBorders>
            <w:gridSpan w:val="3"/>
          </w:tcPr>
          <w:p>
            <w:pPr>
              <w:jc w:val="center"/>
              <w:ind w:right="288"/>
              <w:spacing w:after="0" w:line="157" w:lineRule="exact"/>
              <w:rPr>
                <w:sz w:val="20"/>
                <w:szCs w:val="20"/>
                <w:color w:val="auto"/>
              </w:rPr>
            </w:pPr>
            <w:r>
              <w:rPr>
                <w:rFonts w:ascii="Arial" w:cs="Arial" w:eastAsia="Arial" w:hAnsi="Arial"/>
                <w:sz w:val="14"/>
                <w:szCs w:val="14"/>
                <w:color w:val="auto"/>
              </w:rPr>
              <w:t>into earnings (effective portion)</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740" w:type="dxa"/>
            <w:vAlign w:val="bottom"/>
          </w:tcPr>
          <w:p>
            <w:pPr>
              <w:spacing w:after="0"/>
              <w:rPr>
                <w:sz w:val="14"/>
                <w:szCs w:val="14"/>
                <w:color w:val="auto"/>
              </w:rPr>
            </w:pPr>
          </w:p>
        </w:tc>
        <w:tc>
          <w:tcPr>
            <w:tcW w:w="2300" w:type="dxa"/>
            <w:vAlign w:val="bottom"/>
            <w:tcBorders>
              <w:bottom w:val="single" w:sz="8" w:color="auto"/>
            </w:tcBorders>
            <w:gridSpan w:val="3"/>
          </w:tcPr>
          <w:p>
            <w:pPr>
              <w:jc w:val="center"/>
              <w:ind w:left="188"/>
              <w:spacing w:after="0"/>
              <w:rPr>
                <w:sz w:val="20"/>
                <w:szCs w:val="20"/>
                <w:color w:val="auto"/>
              </w:rPr>
            </w:pPr>
            <w:r>
              <w:rPr>
                <w:rFonts w:ascii="Arial" w:cs="Arial" w:eastAsia="Arial" w:hAnsi="Arial"/>
                <w:sz w:val="14"/>
                <w:szCs w:val="14"/>
                <w:color w:val="auto"/>
              </w:rPr>
              <w:t>Three months ended June 30,</w:t>
            </w:r>
          </w:p>
        </w:tc>
        <w:tc>
          <w:tcPr>
            <w:tcW w:w="240" w:type="dxa"/>
            <w:vAlign w:val="bottom"/>
            <w:tcBorders>
              <w:bottom w:val="single" w:sz="8" w:color="auto"/>
            </w:tcBorders>
          </w:tcPr>
          <w:p>
            <w:pPr>
              <w:spacing w:after="0"/>
              <w:rPr>
                <w:sz w:val="14"/>
                <w:szCs w:val="14"/>
                <w:color w:val="auto"/>
              </w:rPr>
            </w:pPr>
          </w:p>
        </w:tc>
        <w:tc>
          <w:tcPr>
            <w:tcW w:w="344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2340" w:type="dxa"/>
            <w:vAlign w:val="bottom"/>
            <w:tcBorders>
              <w:bottom w:val="single" w:sz="8" w:color="auto"/>
            </w:tcBorders>
            <w:gridSpan w:val="3"/>
          </w:tcPr>
          <w:p>
            <w:pPr>
              <w:jc w:val="center"/>
              <w:ind w:right="268"/>
              <w:spacing w:after="0"/>
              <w:rPr>
                <w:sz w:val="20"/>
                <w:szCs w:val="20"/>
                <w:color w:val="auto"/>
              </w:rPr>
            </w:pPr>
            <w:r>
              <w:rPr>
                <w:rFonts w:ascii="Arial" w:cs="Arial" w:eastAsia="Arial" w:hAnsi="Arial"/>
                <w:sz w:val="14"/>
                <w:szCs w:val="14"/>
                <w:color w:val="auto"/>
              </w:rPr>
              <w:t>Three months ended June 30,</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7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2011</w:t>
            </w:r>
          </w:p>
        </w:tc>
        <w:tc>
          <w:tcPr>
            <w:tcW w:w="5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2010</w:t>
            </w:r>
          </w:p>
        </w:tc>
        <w:tc>
          <w:tcPr>
            <w:tcW w:w="240" w:type="dxa"/>
            <w:vAlign w:val="bottom"/>
            <w:tcBorders>
              <w:bottom w:val="single" w:sz="8" w:color="auto"/>
            </w:tcBorders>
          </w:tcPr>
          <w:p>
            <w:pPr>
              <w:spacing w:after="0"/>
              <w:rPr>
                <w:sz w:val="14"/>
                <w:szCs w:val="14"/>
                <w:color w:val="auto"/>
              </w:rPr>
            </w:pPr>
          </w:p>
        </w:tc>
        <w:tc>
          <w:tcPr>
            <w:tcW w:w="3440" w:type="dxa"/>
            <w:vAlign w:val="bottom"/>
            <w:tcBorders>
              <w:bottom w:val="single" w:sz="8" w:color="auto"/>
            </w:tcBorders>
          </w:tcPr>
          <w:p>
            <w:pPr>
              <w:ind w:left="1560"/>
              <w:spacing w:after="0"/>
              <w:rPr>
                <w:sz w:val="20"/>
                <w:szCs w:val="20"/>
                <w:color w:val="auto"/>
              </w:rPr>
            </w:pPr>
            <w:r>
              <w:rPr>
                <w:rFonts w:ascii="Arial" w:cs="Arial" w:eastAsia="Arial" w:hAnsi="Arial"/>
                <w:sz w:val="14"/>
                <w:szCs w:val="14"/>
                <w:color w:val="auto"/>
              </w:rPr>
              <w:t>Location</w:t>
            </w:r>
          </w:p>
        </w:tc>
        <w:tc>
          <w:tcPr>
            <w:tcW w:w="34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ind w:left="140"/>
              <w:spacing w:after="0"/>
              <w:rPr>
                <w:sz w:val="20"/>
                <w:szCs w:val="20"/>
                <w:color w:val="auto"/>
              </w:rPr>
            </w:pPr>
            <w:r>
              <w:rPr>
                <w:rFonts w:ascii="Arial" w:cs="Arial" w:eastAsia="Arial" w:hAnsi="Arial"/>
                <w:sz w:val="14"/>
                <w:szCs w:val="14"/>
                <w:color w:val="auto"/>
              </w:rPr>
              <w:t>2011</w:t>
            </w:r>
          </w:p>
        </w:tc>
        <w:tc>
          <w:tcPr>
            <w:tcW w:w="42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color w:val="auto"/>
              </w:rPr>
              <w:t>2010</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740" w:type="dxa"/>
            <w:vAlign w:val="bottom"/>
          </w:tcPr>
          <w:p>
            <w:pPr>
              <w:spacing w:after="0"/>
              <w:rPr>
                <w:sz w:val="20"/>
                <w:szCs w:val="20"/>
                <w:color w:val="auto"/>
              </w:rPr>
            </w:pPr>
            <w:r>
              <w:rPr>
                <w:rFonts w:ascii="Arial" w:cs="Arial" w:eastAsia="Arial" w:hAnsi="Arial"/>
                <w:sz w:val="14"/>
                <w:szCs w:val="14"/>
                <w:b w:val="1"/>
                <w:bCs w:val="1"/>
                <w:color w:val="auto"/>
              </w:rPr>
              <w:t>Sempra Energy Consolidated:</w:t>
            </w:r>
          </w:p>
        </w:tc>
        <w:tc>
          <w:tcPr>
            <w:tcW w:w="9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4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740" w:type="dxa"/>
            <w:vAlign w:val="bottom"/>
          </w:tcPr>
          <w:p>
            <w:pPr>
              <w:ind w:left="140"/>
              <w:spacing w:after="0"/>
              <w:rPr>
                <w:sz w:val="20"/>
                <w:szCs w:val="20"/>
                <w:color w:val="auto"/>
              </w:rPr>
            </w:pPr>
            <w:r>
              <w:rPr>
                <w:rFonts w:ascii="Arial" w:cs="Arial" w:eastAsia="Arial" w:hAnsi="Arial"/>
                <w:sz w:val="14"/>
                <w:szCs w:val="14"/>
                <w:color w:val="auto"/>
              </w:rPr>
              <w:t>Interest rate instruments(1)</w:t>
            </w:r>
          </w:p>
        </w:tc>
        <w:tc>
          <w:tcPr>
            <w:tcW w:w="900" w:type="dxa"/>
            <w:vAlign w:val="bottom"/>
          </w:tcPr>
          <w:p>
            <w:pPr>
              <w:jc w:val="right"/>
              <w:ind w:right="468"/>
              <w:spacing w:after="0"/>
              <w:rPr>
                <w:sz w:val="20"/>
                <w:szCs w:val="20"/>
                <w:color w:val="auto"/>
              </w:rPr>
            </w:pPr>
            <w:r>
              <w:rPr>
                <w:rFonts w:ascii="Arial" w:cs="Arial" w:eastAsia="Arial" w:hAnsi="Arial"/>
                <w:sz w:val="14"/>
                <w:szCs w:val="14"/>
                <w:color w:val="auto"/>
              </w:rPr>
              <w:t>$</w:t>
            </w:r>
          </w:p>
        </w:tc>
        <w:tc>
          <w:tcPr>
            <w:tcW w:w="500" w:type="dxa"/>
            <w:vAlign w:val="bottom"/>
          </w:tcPr>
          <w:p>
            <w:pPr>
              <w:jc w:val="right"/>
              <w:ind w:right="48"/>
              <w:spacing w:after="0"/>
              <w:rPr>
                <w:sz w:val="20"/>
                <w:szCs w:val="20"/>
                <w:color w:val="auto"/>
              </w:rPr>
            </w:pPr>
            <w:r>
              <w:rPr>
                <w:rFonts w:ascii="Arial" w:cs="Arial" w:eastAsia="Arial" w:hAnsi="Arial"/>
                <w:sz w:val="14"/>
                <w:szCs w:val="14"/>
                <w:color w:val="auto"/>
              </w:rPr>
              <w:t>(11)</w:t>
            </w:r>
          </w:p>
        </w:tc>
        <w:tc>
          <w:tcPr>
            <w:tcW w:w="900" w:type="dxa"/>
            <w:vAlign w:val="bottom"/>
          </w:tcPr>
          <w:p>
            <w:pPr>
              <w:jc w:val="right"/>
              <w:ind w:right="608"/>
              <w:spacing w:after="0"/>
              <w:rPr>
                <w:sz w:val="20"/>
                <w:szCs w:val="20"/>
                <w:color w:val="auto"/>
              </w:rPr>
            </w:pPr>
            <w:r>
              <w:rPr>
                <w:rFonts w:ascii="Arial" w:cs="Arial" w:eastAsia="Arial" w:hAnsi="Arial"/>
                <w:sz w:val="14"/>
                <w:szCs w:val="14"/>
                <w:color w:val="auto"/>
              </w:rPr>
              <w:t>$</w:t>
            </w:r>
          </w:p>
        </w:tc>
        <w:tc>
          <w:tcPr>
            <w:tcW w:w="240" w:type="dxa"/>
            <w:vAlign w:val="bottom"/>
          </w:tcPr>
          <w:p>
            <w:pPr>
              <w:ind w:left="60"/>
              <w:spacing w:after="0"/>
              <w:rPr>
                <w:sz w:val="20"/>
                <w:szCs w:val="20"/>
                <w:color w:val="auto"/>
              </w:rPr>
            </w:pPr>
            <w:r>
              <w:rPr>
                <w:rFonts w:ascii="Arial" w:cs="Arial" w:eastAsia="Arial" w:hAnsi="Arial"/>
                <w:sz w:val="14"/>
                <w:szCs w:val="14"/>
                <w:color w:val="auto"/>
              </w:rPr>
              <w:t>―</w:t>
            </w:r>
          </w:p>
        </w:tc>
        <w:tc>
          <w:tcPr>
            <w:tcW w:w="3440" w:type="dxa"/>
            <w:vAlign w:val="bottom"/>
          </w:tcPr>
          <w:p>
            <w:pPr>
              <w:ind w:left="240"/>
              <w:spacing w:after="0"/>
              <w:rPr>
                <w:sz w:val="20"/>
                <w:szCs w:val="20"/>
                <w:color w:val="auto"/>
              </w:rPr>
            </w:pPr>
            <w:r>
              <w:rPr>
                <w:rFonts w:ascii="Arial" w:cs="Arial" w:eastAsia="Arial" w:hAnsi="Arial"/>
                <w:sz w:val="14"/>
                <w:szCs w:val="14"/>
                <w:color w:val="auto"/>
              </w:rPr>
              <w:t>Interest Expense</w:t>
            </w:r>
          </w:p>
        </w:tc>
        <w:tc>
          <w:tcPr>
            <w:tcW w:w="340" w:type="dxa"/>
            <w:vAlign w:val="bottom"/>
          </w:tcPr>
          <w:p>
            <w:pPr>
              <w:ind w:left="260"/>
              <w:spacing w:after="0"/>
              <w:rPr>
                <w:sz w:val="20"/>
                <w:szCs w:val="20"/>
                <w:color w:val="auto"/>
              </w:rPr>
            </w:pPr>
            <w:r>
              <w:rPr>
                <w:rFonts w:ascii="Arial" w:cs="Arial" w:eastAsia="Arial" w:hAnsi="Arial"/>
                <w:sz w:val="14"/>
                <w:szCs w:val="14"/>
                <w:color w:val="auto"/>
                <w:w w:val="76"/>
              </w:rPr>
              <w:t>$</w:t>
            </w:r>
          </w:p>
        </w:tc>
        <w:tc>
          <w:tcPr>
            <w:tcW w:w="980" w:type="dxa"/>
            <w:vAlign w:val="bottom"/>
          </w:tcPr>
          <w:p>
            <w:pPr>
              <w:ind w:left="820"/>
              <w:spacing w:after="0"/>
              <w:rPr>
                <w:sz w:val="20"/>
                <w:szCs w:val="20"/>
                <w:color w:val="auto"/>
              </w:rPr>
            </w:pPr>
            <w:r>
              <w:rPr>
                <w:rFonts w:ascii="Arial" w:cs="Arial" w:eastAsia="Arial" w:hAnsi="Arial"/>
                <w:sz w:val="14"/>
                <w:szCs w:val="14"/>
                <w:color w:val="auto"/>
                <w:w w:val="81"/>
              </w:rPr>
              <w:t>(2)</w:t>
            </w:r>
          </w:p>
        </w:tc>
        <w:tc>
          <w:tcPr>
            <w:tcW w:w="42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(4)</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740" w:type="dxa"/>
            <w:vAlign w:val="bottom"/>
          </w:tcPr>
          <w:p>
            <w:pPr>
              <w:ind w:left="140"/>
              <w:spacing w:after="0"/>
              <w:rPr>
                <w:sz w:val="20"/>
                <w:szCs w:val="20"/>
                <w:color w:val="auto"/>
              </w:rPr>
            </w:pPr>
            <w:r>
              <w:rPr>
                <w:rFonts w:ascii="Arial" w:cs="Arial" w:eastAsia="Arial" w:hAnsi="Arial"/>
                <w:sz w:val="14"/>
                <w:szCs w:val="14"/>
                <w:color w:val="auto"/>
              </w:rPr>
              <w:t>Interest rate instruments</w:t>
            </w:r>
          </w:p>
        </w:tc>
        <w:tc>
          <w:tcPr>
            <w:tcW w:w="900" w:type="dxa"/>
            <w:vAlign w:val="bottom"/>
          </w:tcPr>
          <w:p>
            <w:pPr>
              <w:spacing w:after="0"/>
              <w:rPr>
                <w:sz w:val="14"/>
                <w:szCs w:val="14"/>
                <w:color w:val="auto"/>
              </w:rPr>
            </w:pPr>
          </w:p>
        </w:tc>
        <w:tc>
          <w:tcPr>
            <w:tcW w:w="50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900" w:type="dxa"/>
            <w:vAlign w:val="bottom"/>
          </w:tcPr>
          <w:p>
            <w:pPr>
              <w:spacing w:after="0"/>
              <w:rPr>
                <w:sz w:val="14"/>
                <w:szCs w:val="14"/>
                <w:color w:val="auto"/>
              </w:rPr>
            </w:pPr>
          </w:p>
        </w:tc>
        <w:tc>
          <w:tcPr>
            <w:tcW w:w="240" w:type="dxa"/>
            <w:vAlign w:val="bottom"/>
          </w:tcPr>
          <w:p>
            <w:pPr>
              <w:ind w:left="60"/>
              <w:spacing w:after="0"/>
              <w:rPr>
                <w:sz w:val="20"/>
                <w:szCs w:val="20"/>
                <w:color w:val="auto"/>
              </w:rPr>
            </w:pPr>
            <w:r>
              <w:rPr>
                <w:rFonts w:ascii="Arial" w:cs="Arial" w:eastAsia="Arial" w:hAnsi="Arial"/>
                <w:sz w:val="14"/>
                <w:szCs w:val="14"/>
                <w:color w:val="auto"/>
              </w:rPr>
              <w:t>―</w:t>
            </w:r>
          </w:p>
        </w:tc>
        <w:tc>
          <w:tcPr>
            <w:tcW w:w="3440" w:type="dxa"/>
            <w:vAlign w:val="bottom"/>
          </w:tcPr>
          <w:p>
            <w:pPr>
              <w:ind w:left="240"/>
              <w:spacing w:after="0"/>
              <w:rPr>
                <w:sz w:val="20"/>
                <w:szCs w:val="20"/>
                <w:color w:val="auto"/>
              </w:rPr>
            </w:pPr>
            <w:r>
              <w:rPr>
                <w:rFonts w:ascii="Arial" w:cs="Arial" w:eastAsia="Arial" w:hAnsi="Arial"/>
                <w:sz w:val="14"/>
                <w:szCs w:val="14"/>
                <w:color w:val="auto"/>
              </w:rPr>
              <w:t>Other Income, Net(2)</w:t>
            </w:r>
          </w:p>
        </w:tc>
        <w:tc>
          <w:tcPr>
            <w:tcW w:w="340" w:type="dxa"/>
            <w:vAlign w:val="bottom"/>
          </w:tcPr>
          <w:p>
            <w:pPr>
              <w:spacing w:after="0"/>
              <w:rPr>
                <w:sz w:val="14"/>
                <w:szCs w:val="14"/>
                <w:color w:val="auto"/>
              </w:rPr>
            </w:pPr>
          </w:p>
        </w:tc>
        <w:tc>
          <w:tcPr>
            <w:tcW w:w="980" w:type="dxa"/>
            <w:vAlign w:val="bottom"/>
          </w:tcPr>
          <w:p>
            <w:pPr>
              <w:ind w:left="800"/>
              <w:spacing w:after="0"/>
              <w:rPr>
                <w:sz w:val="20"/>
                <w:szCs w:val="20"/>
                <w:color w:val="auto"/>
              </w:rPr>
            </w:pPr>
            <w:r>
              <w:rPr>
                <w:rFonts w:ascii="Arial" w:cs="Arial" w:eastAsia="Arial" w:hAnsi="Arial"/>
                <w:sz w:val="14"/>
                <w:szCs w:val="14"/>
                <w:color w:val="auto"/>
              </w:rPr>
              <w:t>―</w:t>
            </w:r>
          </w:p>
        </w:tc>
        <w:tc>
          <w:tcPr>
            <w:tcW w:w="42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10</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740" w:type="dxa"/>
            <w:vAlign w:val="bottom"/>
          </w:tcPr>
          <w:p>
            <w:pPr>
              <w:ind w:left="140"/>
              <w:spacing w:after="0"/>
              <w:rPr>
                <w:sz w:val="20"/>
                <w:szCs w:val="20"/>
                <w:color w:val="auto"/>
              </w:rPr>
            </w:pPr>
            <w:r>
              <w:rPr>
                <w:rFonts w:ascii="Arial" w:cs="Arial" w:eastAsia="Arial" w:hAnsi="Arial"/>
                <w:sz w:val="14"/>
                <w:szCs w:val="14"/>
                <w:color w:val="auto"/>
              </w:rPr>
              <w:t>Interest rate instruments</w:t>
            </w:r>
          </w:p>
        </w:tc>
        <w:tc>
          <w:tcPr>
            <w:tcW w:w="900" w:type="dxa"/>
            <w:vAlign w:val="bottom"/>
          </w:tcPr>
          <w:p>
            <w:pPr>
              <w:spacing w:after="0"/>
              <w:rPr>
                <w:sz w:val="14"/>
                <w:szCs w:val="14"/>
                <w:color w:val="auto"/>
              </w:rPr>
            </w:pPr>
          </w:p>
        </w:tc>
        <w:tc>
          <w:tcPr>
            <w:tcW w:w="500" w:type="dxa"/>
            <w:vAlign w:val="bottom"/>
          </w:tcPr>
          <w:p>
            <w:pPr>
              <w:jc w:val="right"/>
              <w:ind w:right="48"/>
              <w:spacing w:after="0"/>
              <w:rPr>
                <w:sz w:val="20"/>
                <w:szCs w:val="20"/>
                <w:color w:val="auto"/>
              </w:rPr>
            </w:pPr>
            <w:r>
              <w:rPr>
                <w:rFonts w:ascii="Arial" w:cs="Arial" w:eastAsia="Arial" w:hAnsi="Arial"/>
                <w:sz w:val="14"/>
                <w:szCs w:val="14"/>
                <w:color w:val="auto"/>
              </w:rPr>
              <w:t>(8)</w:t>
            </w:r>
          </w:p>
        </w:tc>
        <w:tc>
          <w:tcPr>
            <w:tcW w:w="900" w:type="dxa"/>
            <w:vAlign w:val="bottom"/>
          </w:tcPr>
          <w:p>
            <w:pPr>
              <w:spacing w:after="0"/>
              <w:rPr>
                <w:sz w:val="14"/>
                <w:szCs w:val="14"/>
                <w:color w:val="auto"/>
              </w:rPr>
            </w:pPr>
          </w:p>
        </w:tc>
        <w:tc>
          <w:tcPr>
            <w:tcW w:w="240" w:type="dxa"/>
            <w:vAlign w:val="bottom"/>
          </w:tcPr>
          <w:p>
            <w:pPr>
              <w:ind w:left="60"/>
              <w:spacing w:after="0"/>
              <w:rPr>
                <w:sz w:val="20"/>
                <w:szCs w:val="20"/>
                <w:color w:val="auto"/>
              </w:rPr>
            </w:pPr>
            <w:r>
              <w:rPr>
                <w:rFonts w:ascii="Arial" w:cs="Arial" w:eastAsia="Arial" w:hAnsi="Arial"/>
                <w:sz w:val="14"/>
                <w:szCs w:val="14"/>
                <w:color w:val="auto"/>
              </w:rPr>
              <w:t>―</w:t>
            </w:r>
          </w:p>
        </w:tc>
        <w:tc>
          <w:tcPr>
            <w:tcW w:w="3440" w:type="dxa"/>
            <w:vAlign w:val="bottom"/>
          </w:tcPr>
          <w:p>
            <w:pPr>
              <w:ind w:left="240"/>
              <w:spacing w:after="0"/>
              <w:rPr>
                <w:sz w:val="20"/>
                <w:szCs w:val="20"/>
                <w:color w:val="auto"/>
              </w:rPr>
            </w:pPr>
            <w:r>
              <w:rPr>
                <w:rFonts w:ascii="Arial" w:cs="Arial" w:eastAsia="Arial" w:hAnsi="Arial"/>
                <w:sz w:val="14"/>
                <w:szCs w:val="14"/>
                <w:color w:val="auto"/>
              </w:rPr>
              <w:t>Equity Earnings, Net of Income Tax</w:t>
            </w:r>
          </w:p>
        </w:tc>
        <w:tc>
          <w:tcPr>
            <w:tcW w:w="340" w:type="dxa"/>
            <w:vAlign w:val="bottom"/>
          </w:tcPr>
          <w:p>
            <w:pPr>
              <w:spacing w:after="0"/>
              <w:rPr>
                <w:sz w:val="14"/>
                <w:szCs w:val="14"/>
                <w:color w:val="auto"/>
              </w:rPr>
            </w:pPr>
          </w:p>
        </w:tc>
        <w:tc>
          <w:tcPr>
            <w:tcW w:w="980" w:type="dxa"/>
            <w:vAlign w:val="bottom"/>
          </w:tcPr>
          <w:p>
            <w:pPr>
              <w:ind w:left="800"/>
              <w:spacing w:after="0"/>
              <w:rPr>
                <w:sz w:val="20"/>
                <w:szCs w:val="20"/>
                <w:color w:val="auto"/>
              </w:rPr>
            </w:pPr>
            <w:r>
              <w:rPr>
                <w:rFonts w:ascii="Arial" w:cs="Arial" w:eastAsia="Arial" w:hAnsi="Arial"/>
                <w:sz w:val="14"/>
                <w:szCs w:val="14"/>
                <w:color w:val="auto"/>
              </w:rPr>
              <w:t>―</w:t>
            </w:r>
          </w:p>
        </w:tc>
        <w:tc>
          <w:tcPr>
            <w:tcW w:w="42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2740" w:type="dxa"/>
            <w:vAlign w:val="bottom"/>
          </w:tcPr>
          <w:p>
            <w:pPr>
              <w:ind w:left="140"/>
              <w:spacing w:after="0"/>
              <w:rPr>
                <w:sz w:val="20"/>
                <w:szCs w:val="20"/>
                <w:color w:val="auto"/>
              </w:rPr>
            </w:pPr>
            <w:r>
              <w:rPr>
                <w:rFonts w:ascii="Arial" w:cs="Arial" w:eastAsia="Arial" w:hAnsi="Arial"/>
                <w:sz w:val="14"/>
                <w:szCs w:val="14"/>
                <w:color w:val="auto"/>
              </w:rPr>
              <w:t>Commodity contracts not subject</w:t>
            </w:r>
          </w:p>
        </w:tc>
        <w:tc>
          <w:tcPr>
            <w:tcW w:w="900" w:type="dxa"/>
            <w:vAlign w:val="bottom"/>
          </w:tcPr>
          <w:p>
            <w:pPr>
              <w:spacing w:after="0"/>
              <w:rPr>
                <w:sz w:val="14"/>
                <w:szCs w:val="14"/>
                <w:color w:val="auto"/>
              </w:rPr>
            </w:pPr>
          </w:p>
        </w:tc>
        <w:tc>
          <w:tcPr>
            <w:tcW w:w="500" w:type="dxa"/>
            <w:vAlign w:val="bottom"/>
            <w:vMerge w:val="restart"/>
          </w:tcPr>
          <w:p>
            <w:pPr>
              <w:jc w:val="right"/>
              <w:ind w:right="88"/>
              <w:spacing w:after="0"/>
              <w:rPr>
                <w:sz w:val="20"/>
                <w:szCs w:val="20"/>
                <w:color w:val="auto"/>
              </w:rPr>
            </w:pPr>
            <w:r>
              <w:rPr>
                <w:rFonts w:ascii="Arial" w:cs="Arial" w:eastAsia="Arial" w:hAnsi="Arial"/>
                <w:sz w:val="14"/>
                <w:szCs w:val="14"/>
                <w:color w:val="auto"/>
              </w:rPr>
              <w:t>―</w:t>
            </w:r>
          </w:p>
        </w:tc>
        <w:tc>
          <w:tcPr>
            <w:tcW w:w="900" w:type="dxa"/>
            <w:vAlign w:val="bottom"/>
          </w:tcPr>
          <w:p>
            <w:pPr>
              <w:spacing w:after="0"/>
              <w:rPr>
                <w:sz w:val="14"/>
                <w:szCs w:val="14"/>
                <w:color w:val="auto"/>
              </w:rPr>
            </w:pPr>
          </w:p>
        </w:tc>
        <w:tc>
          <w:tcPr>
            <w:tcW w:w="240" w:type="dxa"/>
            <w:vAlign w:val="bottom"/>
            <w:vMerge w:val="restart"/>
          </w:tcPr>
          <w:p>
            <w:pPr>
              <w:ind w:left="60"/>
              <w:spacing w:after="0"/>
              <w:rPr>
                <w:sz w:val="20"/>
                <w:szCs w:val="20"/>
                <w:color w:val="auto"/>
              </w:rPr>
            </w:pPr>
            <w:r>
              <w:rPr>
                <w:rFonts w:ascii="Arial" w:cs="Arial" w:eastAsia="Arial" w:hAnsi="Arial"/>
                <w:sz w:val="14"/>
                <w:szCs w:val="14"/>
                <w:color w:val="auto"/>
                <w:w w:val="93"/>
              </w:rPr>
              <w:t>(1)</w:t>
            </w:r>
          </w:p>
        </w:tc>
        <w:tc>
          <w:tcPr>
            <w:tcW w:w="34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80" w:type="dxa"/>
            <w:vAlign w:val="bottom"/>
            <w:vMerge w:val="restart"/>
          </w:tcPr>
          <w:p>
            <w:pPr>
              <w:ind w:left="800"/>
              <w:spacing w:after="0"/>
              <w:rPr>
                <w:sz w:val="20"/>
                <w:szCs w:val="20"/>
                <w:color w:val="auto"/>
              </w:rPr>
            </w:pPr>
            <w:r>
              <w:rPr>
                <w:rFonts w:ascii="Arial" w:cs="Arial" w:eastAsia="Arial" w:hAnsi="Arial"/>
                <w:sz w:val="14"/>
                <w:szCs w:val="14"/>
                <w:color w:val="auto"/>
              </w:rPr>
              <w:t>―</w:t>
            </w:r>
          </w:p>
        </w:tc>
        <w:tc>
          <w:tcPr>
            <w:tcW w:w="420" w:type="dxa"/>
            <w:vAlign w:val="bottom"/>
          </w:tcPr>
          <w:p>
            <w:pPr>
              <w:spacing w:after="0"/>
              <w:rPr>
                <w:sz w:val="14"/>
                <w:szCs w:val="14"/>
                <w:color w:val="auto"/>
              </w:rPr>
            </w:pPr>
          </w:p>
        </w:tc>
        <w:tc>
          <w:tcPr>
            <w:tcW w:w="940" w:type="dxa"/>
            <w:vAlign w:val="bottom"/>
            <w:vMerge w:val="restart"/>
          </w:tcPr>
          <w:p>
            <w:pPr>
              <w:jc w:val="right"/>
              <w:spacing w:after="0"/>
              <w:rPr>
                <w:sz w:val="20"/>
                <w:szCs w:val="20"/>
                <w:color w:val="auto"/>
              </w:rPr>
            </w:pPr>
            <w:r>
              <w:rPr>
                <w:rFonts w:ascii="Arial" w:cs="Arial" w:eastAsia="Arial" w:hAnsi="Arial"/>
                <w:sz w:val="14"/>
                <w:szCs w:val="14"/>
                <w:color w:val="auto"/>
              </w:rPr>
              <w:t>5</w:t>
            </w: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2740" w:type="dxa"/>
            <w:vAlign w:val="bottom"/>
          </w:tcPr>
          <w:p>
            <w:pPr>
              <w:ind w:left="300"/>
              <w:spacing w:after="0" w:line="127" w:lineRule="exact"/>
              <w:rPr>
                <w:sz w:val="20"/>
                <w:szCs w:val="20"/>
                <w:color w:val="auto"/>
              </w:rPr>
            </w:pPr>
            <w:r>
              <w:rPr>
                <w:rFonts w:ascii="Arial" w:cs="Arial" w:eastAsia="Arial" w:hAnsi="Arial"/>
                <w:sz w:val="14"/>
                <w:szCs w:val="14"/>
                <w:color w:val="auto"/>
              </w:rPr>
              <w:t>to rate recovery</w:t>
            </w:r>
          </w:p>
        </w:tc>
        <w:tc>
          <w:tcPr>
            <w:tcW w:w="90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vMerge w:val="continue"/>
          </w:tcPr>
          <w:p>
            <w:pPr>
              <w:spacing w:after="0"/>
              <w:rPr>
                <w:sz w:val="13"/>
                <w:szCs w:val="13"/>
                <w:color w:val="auto"/>
              </w:rPr>
            </w:pPr>
          </w:p>
        </w:tc>
        <w:tc>
          <w:tcPr>
            <w:tcW w:w="90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vMerge w:val="continue"/>
          </w:tcPr>
          <w:p>
            <w:pPr>
              <w:spacing w:after="0"/>
              <w:rPr>
                <w:sz w:val="13"/>
                <w:szCs w:val="13"/>
                <w:color w:val="auto"/>
              </w:rPr>
            </w:pPr>
          </w:p>
        </w:tc>
        <w:tc>
          <w:tcPr>
            <w:tcW w:w="3440" w:type="dxa"/>
            <w:vAlign w:val="bottom"/>
          </w:tcPr>
          <w:p>
            <w:pPr>
              <w:ind w:left="240"/>
              <w:spacing w:after="0" w:line="127" w:lineRule="exact"/>
              <w:rPr>
                <w:sz w:val="20"/>
                <w:szCs w:val="20"/>
                <w:color w:val="auto"/>
              </w:rPr>
            </w:pPr>
            <w:r>
              <w:rPr>
                <w:rFonts w:ascii="Arial" w:cs="Arial" w:eastAsia="Arial" w:hAnsi="Arial"/>
                <w:sz w:val="14"/>
                <w:szCs w:val="14"/>
                <w:color w:val="auto"/>
              </w:rPr>
              <w:t>Equity Earnings, Before Income Tax</w:t>
            </w:r>
          </w:p>
        </w:tc>
        <w:tc>
          <w:tcPr>
            <w:tcW w:w="34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vMerge w:val="continue"/>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740" w:type="dxa"/>
            <w:vAlign w:val="bottom"/>
            <w:tcBorders>
              <w:bottom w:val="single" w:sz="8" w:color="auto"/>
            </w:tcBorders>
          </w:tcPr>
          <w:p>
            <w:pPr>
              <w:ind w:left="140"/>
              <w:spacing w:after="0"/>
              <w:rPr>
                <w:sz w:val="20"/>
                <w:szCs w:val="20"/>
                <w:color w:val="auto"/>
              </w:rPr>
            </w:pPr>
            <w:r>
              <w:rPr>
                <w:rFonts w:ascii="Arial" w:cs="Arial" w:eastAsia="Arial" w:hAnsi="Arial"/>
                <w:sz w:val="14"/>
                <w:szCs w:val="14"/>
                <w:color w:val="auto"/>
              </w:rPr>
              <w:t>Total</w:t>
            </w:r>
          </w:p>
        </w:tc>
        <w:tc>
          <w:tcPr>
            <w:tcW w:w="90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color w:val="auto"/>
              </w:rPr>
              <w:t>$</w:t>
            </w:r>
          </w:p>
        </w:tc>
        <w:tc>
          <w:tcPr>
            <w:tcW w:w="5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(19)</w:t>
            </w:r>
          </w:p>
        </w:tc>
        <w:tc>
          <w:tcPr>
            <w:tcW w:w="900" w:type="dxa"/>
            <w:vAlign w:val="bottom"/>
            <w:tcBorders>
              <w:bottom w:val="single" w:sz="8" w:color="auto"/>
            </w:tcBorders>
          </w:tcPr>
          <w:p>
            <w:pPr>
              <w:jc w:val="right"/>
              <w:ind w:right="608"/>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auto"/>
            </w:tcBorders>
          </w:tcPr>
          <w:p>
            <w:pPr>
              <w:ind w:left="60"/>
              <w:spacing w:after="0"/>
              <w:rPr>
                <w:sz w:val="20"/>
                <w:szCs w:val="20"/>
                <w:color w:val="auto"/>
              </w:rPr>
            </w:pPr>
            <w:r>
              <w:rPr>
                <w:rFonts w:ascii="Arial" w:cs="Arial" w:eastAsia="Arial" w:hAnsi="Arial"/>
                <w:sz w:val="14"/>
                <w:szCs w:val="14"/>
                <w:color w:val="auto"/>
                <w:w w:val="93"/>
              </w:rPr>
              <w:t>(1)</w:t>
            </w:r>
          </w:p>
        </w:tc>
        <w:tc>
          <w:tcPr>
            <w:tcW w:w="344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ind w:left="260"/>
              <w:spacing w:after="0"/>
              <w:rPr>
                <w:sz w:val="20"/>
                <w:szCs w:val="20"/>
                <w:color w:val="auto"/>
              </w:rPr>
            </w:pPr>
            <w:r>
              <w:rPr>
                <w:rFonts w:ascii="Arial" w:cs="Arial" w:eastAsia="Arial" w:hAnsi="Arial"/>
                <w:sz w:val="14"/>
                <w:szCs w:val="14"/>
                <w:color w:val="auto"/>
                <w:w w:val="76"/>
              </w:rPr>
              <w:t>$</w:t>
            </w:r>
          </w:p>
        </w:tc>
        <w:tc>
          <w:tcPr>
            <w:tcW w:w="980" w:type="dxa"/>
            <w:vAlign w:val="bottom"/>
            <w:tcBorders>
              <w:bottom w:val="single" w:sz="8" w:color="auto"/>
            </w:tcBorders>
          </w:tcPr>
          <w:p>
            <w:pPr>
              <w:ind w:left="820"/>
              <w:spacing w:after="0"/>
              <w:rPr>
                <w:sz w:val="20"/>
                <w:szCs w:val="20"/>
                <w:color w:val="auto"/>
              </w:rPr>
            </w:pPr>
            <w:r>
              <w:rPr>
                <w:rFonts w:ascii="Arial" w:cs="Arial" w:eastAsia="Arial" w:hAnsi="Arial"/>
                <w:sz w:val="14"/>
                <w:szCs w:val="14"/>
                <w:color w:val="auto"/>
                <w:w w:val="81"/>
              </w:rPr>
              <w:t>(2)</w:t>
            </w:r>
          </w:p>
        </w:tc>
        <w:tc>
          <w:tcPr>
            <w:tcW w:w="4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740" w:type="dxa"/>
            <w:vAlign w:val="bottom"/>
          </w:tcPr>
          <w:p>
            <w:pPr>
              <w:spacing w:after="0"/>
              <w:rPr>
                <w:sz w:val="20"/>
                <w:szCs w:val="20"/>
                <w:color w:val="auto"/>
              </w:rPr>
            </w:pPr>
            <w:r>
              <w:rPr>
                <w:rFonts w:ascii="Arial" w:cs="Arial" w:eastAsia="Arial" w:hAnsi="Arial"/>
                <w:sz w:val="14"/>
                <w:szCs w:val="14"/>
                <w:b w:val="1"/>
                <w:bCs w:val="1"/>
                <w:color w:val="auto"/>
              </w:rPr>
              <w:t>SDG&amp;E:</w:t>
            </w:r>
          </w:p>
        </w:tc>
        <w:tc>
          <w:tcPr>
            <w:tcW w:w="9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4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2740" w:type="dxa"/>
            <w:vAlign w:val="bottom"/>
            <w:tcBorders>
              <w:bottom w:val="single" w:sz="8" w:color="auto"/>
            </w:tcBorders>
          </w:tcPr>
          <w:p>
            <w:pPr>
              <w:ind w:left="140"/>
              <w:spacing w:after="0" w:line="157" w:lineRule="exact"/>
              <w:rPr>
                <w:sz w:val="20"/>
                <w:szCs w:val="20"/>
                <w:color w:val="auto"/>
              </w:rPr>
            </w:pPr>
            <w:r>
              <w:rPr>
                <w:rFonts w:ascii="Arial" w:cs="Arial" w:eastAsia="Arial" w:hAnsi="Arial"/>
                <w:sz w:val="14"/>
                <w:szCs w:val="14"/>
                <w:color w:val="auto"/>
              </w:rPr>
              <w:t>Interest rate instruments(1)</w:t>
            </w:r>
          </w:p>
        </w:tc>
        <w:tc>
          <w:tcPr>
            <w:tcW w:w="900" w:type="dxa"/>
            <w:vAlign w:val="bottom"/>
            <w:tcBorders>
              <w:bottom w:val="single" w:sz="8" w:color="auto"/>
            </w:tcBorders>
          </w:tcPr>
          <w:p>
            <w:pPr>
              <w:jc w:val="right"/>
              <w:ind w:right="468"/>
              <w:spacing w:after="0" w:line="157" w:lineRule="exact"/>
              <w:rPr>
                <w:sz w:val="20"/>
                <w:szCs w:val="20"/>
                <w:color w:val="auto"/>
              </w:rPr>
            </w:pPr>
            <w:r>
              <w:rPr>
                <w:rFonts w:ascii="Arial" w:cs="Arial" w:eastAsia="Arial" w:hAnsi="Arial"/>
                <w:sz w:val="14"/>
                <w:szCs w:val="14"/>
                <w:color w:val="auto"/>
              </w:rPr>
              <w:t>$</w:t>
            </w:r>
          </w:p>
        </w:tc>
        <w:tc>
          <w:tcPr>
            <w:tcW w:w="500" w:type="dxa"/>
            <w:vAlign w:val="bottom"/>
            <w:tcBorders>
              <w:bottom w:val="single" w:sz="8" w:color="auto"/>
            </w:tcBorders>
          </w:tcPr>
          <w:p>
            <w:pPr>
              <w:jc w:val="right"/>
              <w:ind w:right="48"/>
              <w:spacing w:after="0" w:line="157" w:lineRule="exact"/>
              <w:rPr>
                <w:sz w:val="20"/>
                <w:szCs w:val="20"/>
                <w:color w:val="auto"/>
              </w:rPr>
            </w:pPr>
            <w:r>
              <w:rPr>
                <w:rFonts w:ascii="Arial" w:cs="Arial" w:eastAsia="Arial" w:hAnsi="Arial"/>
                <w:sz w:val="14"/>
                <w:szCs w:val="14"/>
                <w:color w:val="auto"/>
              </w:rPr>
              <w:t>(11)</w:t>
            </w:r>
          </w:p>
        </w:tc>
        <w:tc>
          <w:tcPr>
            <w:tcW w:w="900" w:type="dxa"/>
            <w:vAlign w:val="bottom"/>
            <w:tcBorders>
              <w:bottom w:val="single" w:sz="8" w:color="auto"/>
            </w:tcBorders>
          </w:tcPr>
          <w:p>
            <w:pPr>
              <w:jc w:val="right"/>
              <w:ind w:right="608"/>
              <w:spacing w:after="0" w:line="157" w:lineRule="exact"/>
              <w:rPr>
                <w:sz w:val="20"/>
                <w:szCs w:val="20"/>
                <w:color w:val="auto"/>
              </w:rPr>
            </w:pPr>
            <w:r>
              <w:rPr>
                <w:rFonts w:ascii="Arial" w:cs="Arial" w:eastAsia="Arial" w:hAnsi="Arial"/>
                <w:sz w:val="14"/>
                <w:szCs w:val="14"/>
                <w:color w:val="auto"/>
              </w:rPr>
              <w:t>$</w:t>
            </w:r>
          </w:p>
        </w:tc>
        <w:tc>
          <w:tcPr>
            <w:tcW w:w="240" w:type="dxa"/>
            <w:vAlign w:val="bottom"/>
            <w:tcBorders>
              <w:bottom w:val="single" w:sz="8" w:color="auto"/>
            </w:tcBorders>
          </w:tcPr>
          <w:p>
            <w:pPr>
              <w:ind w:left="60"/>
              <w:spacing w:after="0" w:line="157" w:lineRule="exact"/>
              <w:rPr>
                <w:sz w:val="20"/>
                <w:szCs w:val="20"/>
                <w:color w:val="auto"/>
              </w:rPr>
            </w:pPr>
            <w:r>
              <w:rPr>
                <w:rFonts w:ascii="Arial" w:cs="Arial" w:eastAsia="Arial" w:hAnsi="Arial"/>
                <w:sz w:val="14"/>
                <w:szCs w:val="14"/>
                <w:color w:val="auto"/>
              </w:rPr>
              <w:t>―</w:t>
            </w:r>
          </w:p>
        </w:tc>
        <w:tc>
          <w:tcPr>
            <w:tcW w:w="3440" w:type="dxa"/>
            <w:vAlign w:val="bottom"/>
            <w:tcBorders>
              <w:bottom w:val="single" w:sz="8" w:color="auto"/>
            </w:tcBorders>
          </w:tcPr>
          <w:p>
            <w:pPr>
              <w:ind w:left="240"/>
              <w:spacing w:after="0" w:line="157" w:lineRule="exact"/>
              <w:rPr>
                <w:sz w:val="20"/>
                <w:szCs w:val="20"/>
                <w:color w:val="auto"/>
              </w:rPr>
            </w:pPr>
            <w:r>
              <w:rPr>
                <w:rFonts w:ascii="Arial" w:cs="Arial" w:eastAsia="Arial" w:hAnsi="Arial"/>
                <w:sz w:val="14"/>
                <w:szCs w:val="14"/>
                <w:color w:val="auto"/>
              </w:rPr>
              <w:t>Interest Expense</w:t>
            </w:r>
          </w:p>
        </w:tc>
        <w:tc>
          <w:tcPr>
            <w:tcW w:w="340" w:type="dxa"/>
            <w:vAlign w:val="bottom"/>
            <w:tcBorders>
              <w:bottom w:val="single" w:sz="8" w:color="auto"/>
            </w:tcBorders>
          </w:tcPr>
          <w:p>
            <w:pPr>
              <w:ind w:left="260"/>
              <w:spacing w:after="0" w:line="157" w:lineRule="exact"/>
              <w:rPr>
                <w:sz w:val="20"/>
                <w:szCs w:val="20"/>
                <w:color w:val="auto"/>
              </w:rPr>
            </w:pPr>
            <w:r>
              <w:rPr>
                <w:rFonts w:ascii="Arial" w:cs="Arial" w:eastAsia="Arial" w:hAnsi="Arial"/>
                <w:sz w:val="14"/>
                <w:szCs w:val="14"/>
                <w:color w:val="auto"/>
                <w:w w:val="76"/>
              </w:rPr>
              <w:t>$</w:t>
            </w:r>
          </w:p>
        </w:tc>
        <w:tc>
          <w:tcPr>
            <w:tcW w:w="980" w:type="dxa"/>
            <w:vAlign w:val="bottom"/>
            <w:tcBorders>
              <w:bottom w:val="single" w:sz="8" w:color="auto"/>
            </w:tcBorders>
          </w:tcPr>
          <w:p>
            <w:pPr>
              <w:ind w:left="820"/>
              <w:spacing w:after="0" w:line="157" w:lineRule="exact"/>
              <w:rPr>
                <w:sz w:val="20"/>
                <w:szCs w:val="20"/>
                <w:color w:val="auto"/>
              </w:rPr>
            </w:pPr>
            <w:r>
              <w:rPr>
                <w:rFonts w:ascii="Arial" w:cs="Arial" w:eastAsia="Arial" w:hAnsi="Arial"/>
                <w:sz w:val="14"/>
                <w:szCs w:val="14"/>
                <w:color w:val="auto"/>
                <w:w w:val="81"/>
              </w:rPr>
              <w:t>(1)</w:t>
            </w:r>
          </w:p>
        </w:tc>
        <w:tc>
          <w:tcPr>
            <w:tcW w:w="420" w:type="dxa"/>
            <w:vAlign w:val="bottom"/>
            <w:tcBorders>
              <w:bottom w:val="single" w:sz="8" w:color="auto"/>
            </w:tcBorders>
          </w:tcPr>
          <w:p>
            <w:pPr>
              <w:jc w:val="right"/>
              <w:ind w:right="8"/>
              <w:spacing w:after="0" w:line="157" w:lineRule="exact"/>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tcPr>
          <w:p>
            <w:pPr>
              <w:jc w:val="right"/>
              <w:spacing w:after="0" w:line="157" w:lineRule="exact"/>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740" w:type="dxa"/>
            <w:vAlign w:val="bottom"/>
          </w:tcPr>
          <w:p>
            <w:pPr>
              <w:spacing w:after="0"/>
              <w:rPr>
                <w:sz w:val="20"/>
                <w:szCs w:val="20"/>
                <w:color w:val="auto"/>
              </w:rPr>
            </w:pPr>
            <w:r>
              <w:rPr>
                <w:rFonts w:ascii="Arial" w:cs="Arial" w:eastAsia="Arial" w:hAnsi="Arial"/>
                <w:sz w:val="14"/>
                <w:szCs w:val="14"/>
                <w:b w:val="1"/>
                <w:bCs w:val="1"/>
                <w:color w:val="auto"/>
              </w:rPr>
              <w:t>SoCalGas:</w:t>
            </w:r>
          </w:p>
        </w:tc>
        <w:tc>
          <w:tcPr>
            <w:tcW w:w="9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4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2740" w:type="dxa"/>
            <w:vAlign w:val="bottom"/>
            <w:tcBorders>
              <w:bottom w:val="single" w:sz="8" w:color="auto"/>
            </w:tcBorders>
          </w:tcPr>
          <w:p>
            <w:pPr>
              <w:ind w:left="140"/>
              <w:spacing w:after="0" w:line="157" w:lineRule="exact"/>
              <w:rPr>
                <w:sz w:val="20"/>
                <w:szCs w:val="20"/>
                <w:color w:val="auto"/>
              </w:rPr>
            </w:pPr>
            <w:r>
              <w:rPr>
                <w:rFonts w:ascii="Arial" w:cs="Arial" w:eastAsia="Arial" w:hAnsi="Arial"/>
                <w:sz w:val="14"/>
                <w:szCs w:val="14"/>
                <w:color w:val="auto"/>
              </w:rPr>
              <w:t>Interest rate instruments</w:t>
            </w:r>
          </w:p>
        </w:tc>
        <w:tc>
          <w:tcPr>
            <w:tcW w:w="900" w:type="dxa"/>
            <w:vAlign w:val="bottom"/>
            <w:tcBorders>
              <w:bottom w:val="single" w:sz="8" w:color="auto"/>
            </w:tcBorders>
          </w:tcPr>
          <w:p>
            <w:pPr>
              <w:jc w:val="right"/>
              <w:ind w:right="468"/>
              <w:spacing w:after="0" w:line="157" w:lineRule="exact"/>
              <w:rPr>
                <w:sz w:val="20"/>
                <w:szCs w:val="20"/>
                <w:color w:val="auto"/>
              </w:rPr>
            </w:pPr>
            <w:r>
              <w:rPr>
                <w:rFonts w:ascii="Arial" w:cs="Arial" w:eastAsia="Arial" w:hAnsi="Arial"/>
                <w:sz w:val="14"/>
                <w:szCs w:val="14"/>
                <w:color w:val="auto"/>
              </w:rPr>
              <w:t>$</w:t>
            </w:r>
          </w:p>
        </w:tc>
        <w:tc>
          <w:tcPr>
            <w:tcW w:w="500" w:type="dxa"/>
            <w:vAlign w:val="bottom"/>
            <w:tcBorders>
              <w:bottom w:val="single" w:sz="8" w:color="auto"/>
            </w:tcBorders>
          </w:tcPr>
          <w:p>
            <w:pPr>
              <w:jc w:val="right"/>
              <w:ind w:right="88"/>
              <w:spacing w:after="0" w:line="157" w:lineRule="exact"/>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tcPr>
          <w:p>
            <w:pPr>
              <w:jc w:val="right"/>
              <w:ind w:right="608"/>
              <w:spacing w:after="0" w:line="157" w:lineRule="exact"/>
              <w:rPr>
                <w:sz w:val="20"/>
                <w:szCs w:val="20"/>
                <w:color w:val="auto"/>
              </w:rPr>
            </w:pPr>
            <w:r>
              <w:rPr>
                <w:rFonts w:ascii="Arial" w:cs="Arial" w:eastAsia="Arial" w:hAnsi="Arial"/>
                <w:sz w:val="14"/>
                <w:szCs w:val="14"/>
                <w:color w:val="auto"/>
              </w:rPr>
              <w:t>$</w:t>
            </w:r>
          </w:p>
        </w:tc>
        <w:tc>
          <w:tcPr>
            <w:tcW w:w="240" w:type="dxa"/>
            <w:vAlign w:val="bottom"/>
            <w:tcBorders>
              <w:bottom w:val="single" w:sz="8" w:color="auto"/>
            </w:tcBorders>
          </w:tcPr>
          <w:p>
            <w:pPr>
              <w:ind w:left="60"/>
              <w:spacing w:after="0" w:line="157" w:lineRule="exact"/>
              <w:rPr>
                <w:sz w:val="20"/>
                <w:szCs w:val="20"/>
                <w:color w:val="auto"/>
              </w:rPr>
            </w:pPr>
            <w:r>
              <w:rPr>
                <w:rFonts w:ascii="Arial" w:cs="Arial" w:eastAsia="Arial" w:hAnsi="Arial"/>
                <w:sz w:val="14"/>
                <w:szCs w:val="14"/>
                <w:color w:val="auto"/>
              </w:rPr>
              <w:t>―</w:t>
            </w:r>
          </w:p>
        </w:tc>
        <w:tc>
          <w:tcPr>
            <w:tcW w:w="3440" w:type="dxa"/>
            <w:vAlign w:val="bottom"/>
            <w:tcBorders>
              <w:bottom w:val="single" w:sz="8" w:color="auto"/>
            </w:tcBorders>
          </w:tcPr>
          <w:p>
            <w:pPr>
              <w:ind w:left="240"/>
              <w:spacing w:after="0" w:line="157" w:lineRule="exact"/>
              <w:rPr>
                <w:sz w:val="20"/>
                <w:szCs w:val="20"/>
                <w:color w:val="auto"/>
              </w:rPr>
            </w:pPr>
            <w:r>
              <w:rPr>
                <w:rFonts w:ascii="Arial" w:cs="Arial" w:eastAsia="Arial" w:hAnsi="Arial"/>
                <w:sz w:val="14"/>
                <w:szCs w:val="14"/>
                <w:color w:val="auto"/>
              </w:rPr>
              <w:t>Interest Expense</w:t>
            </w:r>
          </w:p>
        </w:tc>
        <w:tc>
          <w:tcPr>
            <w:tcW w:w="340" w:type="dxa"/>
            <w:vAlign w:val="bottom"/>
            <w:tcBorders>
              <w:bottom w:val="single" w:sz="8" w:color="auto"/>
            </w:tcBorders>
          </w:tcPr>
          <w:p>
            <w:pPr>
              <w:ind w:left="260"/>
              <w:spacing w:after="0" w:line="157" w:lineRule="exact"/>
              <w:rPr>
                <w:sz w:val="20"/>
                <w:szCs w:val="20"/>
                <w:color w:val="auto"/>
              </w:rPr>
            </w:pPr>
            <w:r>
              <w:rPr>
                <w:rFonts w:ascii="Arial" w:cs="Arial" w:eastAsia="Arial" w:hAnsi="Arial"/>
                <w:sz w:val="14"/>
                <w:szCs w:val="14"/>
                <w:color w:val="auto"/>
                <w:w w:val="76"/>
              </w:rPr>
              <w:t>$</w:t>
            </w:r>
          </w:p>
        </w:tc>
        <w:tc>
          <w:tcPr>
            <w:tcW w:w="980" w:type="dxa"/>
            <w:vAlign w:val="bottom"/>
            <w:tcBorders>
              <w:bottom w:val="single" w:sz="8" w:color="auto"/>
            </w:tcBorders>
          </w:tcPr>
          <w:p>
            <w:pPr>
              <w:ind w:left="820"/>
              <w:spacing w:after="0" w:line="157" w:lineRule="exact"/>
              <w:rPr>
                <w:sz w:val="20"/>
                <w:szCs w:val="20"/>
                <w:color w:val="auto"/>
              </w:rPr>
            </w:pPr>
            <w:r>
              <w:rPr>
                <w:rFonts w:ascii="Arial" w:cs="Arial" w:eastAsia="Arial" w:hAnsi="Arial"/>
                <w:sz w:val="14"/>
                <w:szCs w:val="14"/>
                <w:color w:val="auto"/>
                <w:w w:val="81"/>
              </w:rPr>
              <w:t>(1)</w:t>
            </w:r>
          </w:p>
        </w:tc>
        <w:tc>
          <w:tcPr>
            <w:tcW w:w="420" w:type="dxa"/>
            <w:vAlign w:val="bottom"/>
            <w:tcBorders>
              <w:bottom w:val="single" w:sz="8" w:color="auto"/>
            </w:tcBorders>
          </w:tcPr>
          <w:p>
            <w:pPr>
              <w:jc w:val="right"/>
              <w:ind w:right="8"/>
              <w:spacing w:after="0" w:line="157" w:lineRule="exact"/>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tcPr>
          <w:p>
            <w:pPr>
              <w:jc w:val="right"/>
              <w:spacing w:after="0" w:line="157" w:lineRule="exact"/>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740" w:type="dxa"/>
            <w:vAlign w:val="bottom"/>
          </w:tcPr>
          <w:p>
            <w:pPr>
              <w:spacing w:after="0"/>
              <w:rPr>
                <w:sz w:val="14"/>
                <w:szCs w:val="14"/>
                <w:color w:val="auto"/>
              </w:rPr>
            </w:pPr>
          </w:p>
        </w:tc>
        <w:tc>
          <w:tcPr>
            <w:tcW w:w="2300" w:type="dxa"/>
            <w:vAlign w:val="bottom"/>
            <w:tcBorders>
              <w:bottom w:val="single" w:sz="8" w:color="auto"/>
            </w:tcBorders>
            <w:gridSpan w:val="3"/>
          </w:tcPr>
          <w:p>
            <w:pPr>
              <w:jc w:val="center"/>
              <w:ind w:left="168"/>
              <w:spacing w:after="0"/>
              <w:rPr>
                <w:sz w:val="20"/>
                <w:szCs w:val="20"/>
                <w:color w:val="auto"/>
              </w:rPr>
            </w:pPr>
            <w:r>
              <w:rPr>
                <w:rFonts w:ascii="Arial" w:cs="Arial" w:eastAsia="Arial" w:hAnsi="Arial"/>
                <w:sz w:val="14"/>
                <w:szCs w:val="14"/>
                <w:color w:val="auto"/>
              </w:rPr>
              <w:t>Six months ended June 30,</w:t>
            </w:r>
          </w:p>
        </w:tc>
        <w:tc>
          <w:tcPr>
            <w:tcW w:w="240" w:type="dxa"/>
            <w:vAlign w:val="bottom"/>
            <w:tcBorders>
              <w:bottom w:val="single" w:sz="8" w:color="auto"/>
            </w:tcBorders>
          </w:tcPr>
          <w:p>
            <w:pPr>
              <w:spacing w:after="0"/>
              <w:rPr>
                <w:sz w:val="14"/>
                <w:szCs w:val="14"/>
                <w:color w:val="auto"/>
              </w:rPr>
            </w:pPr>
          </w:p>
        </w:tc>
        <w:tc>
          <w:tcPr>
            <w:tcW w:w="344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2340" w:type="dxa"/>
            <w:vAlign w:val="bottom"/>
            <w:tcBorders>
              <w:bottom w:val="single" w:sz="8" w:color="auto"/>
            </w:tcBorders>
            <w:gridSpan w:val="3"/>
          </w:tcPr>
          <w:p>
            <w:pPr>
              <w:jc w:val="center"/>
              <w:ind w:right="288"/>
              <w:spacing w:after="0"/>
              <w:rPr>
                <w:sz w:val="20"/>
                <w:szCs w:val="20"/>
                <w:color w:val="auto"/>
              </w:rPr>
            </w:pPr>
            <w:r>
              <w:rPr>
                <w:rFonts w:ascii="Arial" w:cs="Arial" w:eastAsia="Arial" w:hAnsi="Arial"/>
                <w:sz w:val="14"/>
                <w:szCs w:val="14"/>
                <w:color w:val="auto"/>
              </w:rPr>
              <w:t>Six months ended June 30,</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7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2011</w:t>
            </w:r>
          </w:p>
        </w:tc>
        <w:tc>
          <w:tcPr>
            <w:tcW w:w="5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2010</w:t>
            </w:r>
          </w:p>
        </w:tc>
        <w:tc>
          <w:tcPr>
            <w:tcW w:w="240" w:type="dxa"/>
            <w:vAlign w:val="bottom"/>
            <w:tcBorders>
              <w:bottom w:val="single" w:sz="8" w:color="auto"/>
            </w:tcBorders>
          </w:tcPr>
          <w:p>
            <w:pPr>
              <w:spacing w:after="0"/>
              <w:rPr>
                <w:sz w:val="14"/>
                <w:szCs w:val="14"/>
                <w:color w:val="auto"/>
              </w:rPr>
            </w:pPr>
          </w:p>
        </w:tc>
        <w:tc>
          <w:tcPr>
            <w:tcW w:w="3440" w:type="dxa"/>
            <w:vAlign w:val="bottom"/>
            <w:tcBorders>
              <w:bottom w:val="single" w:sz="8" w:color="auto"/>
            </w:tcBorders>
          </w:tcPr>
          <w:p>
            <w:pPr>
              <w:ind w:left="1560"/>
              <w:spacing w:after="0"/>
              <w:rPr>
                <w:sz w:val="20"/>
                <w:szCs w:val="20"/>
                <w:color w:val="auto"/>
              </w:rPr>
            </w:pPr>
            <w:r>
              <w:rPr>
                <w:rFonts w:ascii="Arial" w:cs="Arial" w:eastAsia="Arial" w:hAnsi="Arial"/>
                <w:sz w:val="14"/>
                <w:szCs w:val="14"/>
                <w:color w:val="auto"/>
              </w:rPr>
              <w:t>Location</w:t>
            </w:r>
          </w:p>
        </w:tc>
        <w:tc>
          <w:tcPr>
            <w:tcW w:w="34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ind w:left="140"/>
              <w:spacing w:after="0"/>
              <w:rPr>
                <w:sz w:val="20"/>
                <w:szCs w:val="20"/>
                <w:color w:val="auto"/>
              </w:rPr>
            </w:pPr>
            <w:r>
              <w:rPr>
                <w:rFonts w:ascii="Arial" w:cs="Arial" w:eastAsia="Arial" w:hAnsi="Arial"/>
                <w:sz w:val="14"/>
                <w:szCs w:val="14"/>
                <w:color w:val="auto"/>
              </w:rPr>
              <w:t>2011</w:t>
            </w:r>
          </w:p>
        </w:tc>
        <w:tc>
          <w:tcPr>
            <w:tcW w:w="42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color w:val="auto"/>
              </w:rPr>
              <w:t>2010</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740" w:type="dxa"/>
            <w:vAlign w:val="bottom"/>
          </w:tcPr>
          <w:p>
            <w:pPr>
              <w:spacing w:after="0"/>
              <w:rPr>
                <w:sz w:val="20"/>
                <w:szCs w:val="20"/>
                <w:color w:val="auto"/>
              </w:rPr>
            </w:pPr>
            <w:r>
              <w:rPr>
                <w:rFonts w:ascii="Arial" w:cs="Arial" w:eastAsia="Arial" w:hAnsi="Arial"/>
                <w:sz w:val="14"/>
                <w:szCs w:val="14"/>
                <w:b w:val="1"/>
                <w:bCs w:val="1"/>
                <w:color w:val="auto"/>
              </w:rPr>
              <w:t>Sempra Energy Consolidated:</w:t>
            </w:r>
          </w:p>
        </w:tc>
        <w:tc>
          <w:tcPr>
            <w:tcW w:w="9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4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740" w:type="dxa"/>
            <w:vAlign w:val="bottom"/>
          </w:tcPr>
          <w:p>
            <w:pPr>
              <w:ind w:left="140"/>
              <w:spacing w:after="0"/>
              <w:rPr>
                <w:sz w:val="20"/>
                <w:szCs w:val="20"/>
                <w:color w:val="auto"/>
              </w:rPr>
            </w:pPr>
            <w:r>
              <w:rPr>
                <w:rFonts w:ascii="Arial" w:cs="Arial" w:eastAsia="Arial" w:hAnsi="Arial"/>
                <w:sz w:val="14"/>
                <w:szCs w:val="14"/>
                <w:color w:val="auto"/>
              </w:rPr>
              <w:t>Interest rate instruments(1)</w:t>
            </w:r>
          </w:p>
        </w:tc>
        <w:tc>
          <w:tcPr>
            <w:tcW w:w="900" w:type="dxa"/>
            <w:vAlign w:val="bottom"/>
          </w:tcPr>
          <w:p>
            <w:pPr>
              <w:jc w:val="right"/>
              <w:ind w:right="468"/>
              <w:spacing w:after="0"/>
              <w:rPr>
                <w:sz w:val="20"/>
                <w:szCs w:val="20"/>
                <w:color w:val="auto"/>
              </w:rPr>
            </w:pPr>
            <w:r>
              <w:rPr>
                <w:rFonts w:ascii="Arial" w:cs="Arial" w:eastAsia="Arial" w:hAnsi="Arial"/>
                <w:sz w:val="14"/>
                <w:szCs w:val="14"/>
                <w:color w:val="auto"/>
              </w:rPr>
              <w:t>$</w:t>
            </w:r>
          </w:p>
        </w:tc>
        <w:tc>
          <w:tcPr>
            <w:tcW w:w="500" w:type="dxa"/>
            <w:vAlign w:val="bottom"/>
          </w:tcPr>
          <w:p>
            <w:pPr>
              <w:jc w:val="right"/>
              <w:ind w:right="48"/>
              <w:spacing w:after="0"/>
              <w:rPr>
                <w:sz w:val="20"/>
                <w:szCs w:val="20"/>
                <w:color w:val="auto"/>
              </w:rPr>
            </w:pPr>
            <w:r>
              <w:rPr>
                <w:rFonts w:ascii="Arial" w:cs="Arial" w:eastAsia="Arial" w:hAnsi="Arial"/>
                <w:sz w:val="14"/>
                <w:szCs w:val="14"/>
                <w:color w:val="auto"/>
              </w:rPr>
              <w:t>(11)</w:t>
            </w:r>
          </w:p>
        </w:tc>
        <w:tc>
          <w:tcPr>
            <w:tcW w:w="900" w:type="dxa"/>
            <w:vAlign w:val="bottom"/>
          </w:tcPr>
          <w:p>
            <w:pPr>
              <w:jc w:val="right"/>
              <w:ind w:right="608"/>
              <w:spacing w:after="0"/>
              <w:rPr>
                <w:sz w:val="20"/>
                <w:szCs w:val="20"/>
                <w:color w:val="auto"/>
              </w:rPr>
            </w:pPr>
            <w:r>
              <w:rPr>
                <w:rFonts w:ascii="Arial" w:cs="Arial" w:eastAsia="Arial" w:hAnsi="Arial"/>
                <w:sz w:val="14"/>
                <w:szCs w:val="14"/>
                <w:color w:val="auto"/>
              </w:rPr>
              <w:t>$</w:t>
            </w:r>
          </w:p>
        </w:tc>
        <w:tc>
          <w:tcPr>
            <w:tcW w:w="240" w:type="dxa"/>
            <w:vAlign w:val="bottom"/>
          </w:tcPr>
          <w:p>
            <w:pPr>
              <w:ind w:left="60"/>
              <w:spacing w:after="0"/>
              <w:rPr>
                <w:sz w:val="20"/>
                <w:szCs w:val="20"/>
                <w:color w:val="auto"/>
              </w:rPr>
            </w:pPr>
            <w:r>
              <w:rPr>
                <w:rFonts w:ascii="Arial" w:cs="Arial" w:eastAsia="Arial" w:hAnsi="Arial"/>
                <w:sz w:val="14"/>
                <w:szCs w:val="14"/>
                <w:color w:val="auto"/>
              </w:rPr>
              <w:t>―</w:t>
            </w:r>
          </w:p>
        </w:tc>
        <w:tc>
          <w:tcPr>
            <w:tcW w:w="3440" w:type="dxa"/>
            <w:vAlign w:val="bottom"/>
          </w:tcPr>
          <w:p>
            <w:pPr>
              <w:ind w:left="240"/>
              <w:spacing w:after="0"/>
              <w:rPr>
                <w:sz w:val="20"/>
                <w:szCs w:val="20"/>
                <w:color w:val="auto"/>
              </w:rPr>
            </w:pPr>
            <w:r>
              <w:rPr>
                <w:rFonts w:ascii="Arial" w:cs="Arial" w:eastAsia="Arial" w:hAnsi="Arial"/>
                <w:sz w:val="14"/>
                <w:szCs w:val="14"/>
                <w:color w:val="auto"/>
              </w:rPr>
              <w:t>Interest Expense</w:t>
            </w:r>
          </w:p>
        </w:tc>
        <w:tc>
          <w:tcPr>
            <w:tcW w:w="340" w:type="dxa"/>
            <w:vAlign w:val="bottom"/>
          </w:tcPr>
          <w:p>
            <w:pPr>
              <w:ind w:left="260"/>
              <w:spacing w:after="0"/>
              <w:rPr>
                <w:sz w:val="20"/>
                <w:szCs w:val="20"/>
                <w:color w:val="auto"/>
              </w:rPr>
            </w:pPr>
            <w:r>
              <w:rPr>
                <w:rFonts w:ascii="Arial" w:cs="Arial" w:eastAsia="Arial" w:hAnsi="Arial"/>
                <w:sz w:val="14"/>
                <w:szCs w:val="14"/>
                <w:color w:val="auto"/>
                <w:w w:val="76"/>
              </w:rPr>
              <w:t>$</w:t>
            </w:r>
          </w:p>
        </w:tc>
        <w:tc>
          <w:tcPr>
            <w:tcW w:w="980" w:type="dxa"/>
            <w:vAlign w:val="bottom"/>
          </w:tcPr>
          <w:p>
            <w:pPr>
              <w:ind w:left="820"/>
              <w:spacing w:after="0"/>
              <w:rPr>
                <w:sz w:val="20"/>
                <w:szCs w:val="20"/>
                <w:color w:val="auto"/>
              </w:rPr>
            </w:pPr>
            <w:r>
              <w:rPr>
                <w:rFonts w:ascii="Arial" w:cs="Arial" w:eastAsia="Arial" w:hAnsi="Arial"/>
                <w:sz w:val="14"/>
                <w:szCs w:val="14"/>
                <w:color w:val="auto"/>
                <w:w w:val="81"/>
              </w:rPr>
              <w:t>(4)</w:t>
            </w:r>
          </w:p>
        </w:tc>
        <w:tc>
          <w:tcPr>
            <w:tcW w:w="42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(7)</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740" w:type="dxa"/>
            <w:vAlign w:val="bottom"/>
          </w:tcPr>
          <w:p>
            <w:pPr>
              <w:ind w:left="140"/>
              <w:spacing w:after="0"/>
              <w:rPr>
                <w:sz w:val="20"/>
                <w:szCs w:val="20"/>
                <w:color w:val="auto"/>
              </w:rPr>
            </w:pPr>
            <w:r>
              <w:rPr>
                <w:rFonts w:ascii="Arial" w:cs="Arial" w:eastAsia="Arial" w:hAnsi="Arial"/>
                <w:sz w:val="14"/>
                <w:szCs w:val="14"/>
                <w:color w:val="auto"/>
              </w:rPr>
              <w:t>Interest rate instruments</w:t>
            </w:r>
          </w:p>
        </w:tc>
        <w:tc>
          <w:tcPr>
            <w:tcW w:w="900" w:type="dxa"/>
            <w:vAlign w:val="bottom"/>
          </w:tcPr>
          <w:p>
            <w:pPr>
              <w:spacing w:after="0"/>
              <w:rPr>
                <w:sz w:val="14"/>
                <w:szCs w:val="14"/>
                <w:color w:val="auto"/>
              </w:rPr>
            </w:pPr>
          </w:p>
        </w:tc>
        <w:tc>
          <w:tcPr>
            <w:tcW w:w="50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900" w:type="dxa"/>
            <w:vAlign w:val="bottom"/>
          </w:tcPr>
          <w:p>
            <w:pPr>
              <w:spacing w:after="0"/>
              <w:rPr>
                <w:sz w:val="14"/>
                <w:szCs w:val="14"/>
                <w:color w:val="auto"/>
              </w:rPr>
            </w:pPr>
          </w:p>
        </w:tc>
        <w:tc>
          <w:tcPr>
            <w:tcW w:w="240" w:type="dxa"/>
            <w:vAlign w:val="bottom"/>
          </w:tcPr>
          <w:p>
            <w:pPr>
              <w:ind w:left="60"/>
              <w:spacing w:after="0"/>
              <w:rPr>
                <w:sz w:val="20"/>
                <w:szCs w:val="20"/>
                <w:color w:val="auto"/>
              </w:rPr>
            </w:pPr>
            <w:r>
              <w:rPr>
                <w:rFonts w:ascii="Arial" w:cs="Arial" w:eastAsia="Arial" w:hAnsi="Arial"/>
                <w:sz w:val="14"/>
                <w:szCs w:val="14"/>
                <w:color w:val="auto"/>
              </w:rPr>
              <w:t>―</w:t>
            </w:r>
          </w:p>
        </w:tc>
        <w:tc>
          <w:tcPr>
            <w:tcW w:w="3440" w:type="dxa"/>
            <w:vAlign w:val="bottom"/>
          </w:tcPr>
          <w:p>
            <w:pPr>
              <w:ind w:left="240"/>
              <w:spacing w:after="0"/>
              <w:rPr>
                <w:sz w:val="20"/>
                <w:szCs w:val="20"/>
                <w:color w:val="auto"/>
              </w:rPr>
            </w:pPr>
            <w:r>
              <w:rPr>
                <w:rFonts w:ascii="Arial" w:cs="Arial" w:eastAsia="Arial" w:hAnsi="Arial"/>
                <w:sz w:val="14"/>
                <w:szCs w:val="14"/>
                <w:color w:val="auto"/>
              </w:rPr>
              <w:t>Other Income, Net(2)</w:t>
            </w:r>
          </w:p>
        </w:tc>
        <w:tc>
          <w:tcPr>
            <w:tcW w:w="340" w:type="dxa"/>
            <w:vAlign w:val="bottom"/>
          </w:tcPr>
          <w:p>
            <w:pPr>
              <w:spacing w:after="0"/>
              <w:rPr>
                <w:sz w:val="14"/>
                <w:szCs w:val="14"/>
                <w:color w:val="auto"/>
              </w:rPr>
            </w:pPr>
          </w:p>
        </w:tc>
        <w:tc>
          <w:tcPr>
            <w:tcW w:w="980" w:type="dxa"/>
            <w:vAlign w:val="bottom"/>
          </w:tcPr>
          <w:p>
            <w:pPr>
              <w:ind w:left="800"/>
              <w:spacing w:after="0"/>
              <w:rPr>
                <w:sz w:val="20"/>
                <w:szCs w:val="20"/>
                <w:color w:val="auto"/>
              </w:rPr>
            </w:pPr>
            <w:r>
              <w:rPr>
                <w:rFonts w:ascii="Arial" w:cs="Arial" w:eastAsia="Arial" w:hAnsi="Arial"/>
                <w:sz w:val="14"/>
                <w:szCs w:val="14"/>
                <w:color w:val="auto"/>
              </w:rPr>
              <w:t>―</w:t>
            </w:r>
          </w:p>
        </w:tc>
        <w:tc>
          <w:tcPr>
            <w:tcW w:w="42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10</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2740" w:type="dxa"/>
            <w:vAlign w:val="bottom"/>
          </w:tcPr>
          <w:p>
            <w:pPr>
              <w:ind w:left="140"/>
              <w:spacing w:after="0"/>
              <w:rPr>
                <w:sz w:val="20"/>
                <w:szCs w:val="20"/>
                <w:color w:val="auto"/>
              </w:rPr>
            </w:pPr>
            <w:r>
              <w:rPr>
                <w:rFonts w:ascii="Arial" w:cs="Arial" w:eastAsia="Arial" w:hAnsi="Arial"/>
                <w:sz w:val="14"/>
                <w:szCs w:val="14"/>
                <w:color w:val="auto"/>
              </w:rPr>
              <w:t>Interest rate instruments</w:t>
            </w:r>
          </w:p>
        </w:tc>
        <w:tc>
          <w:tcPr>
            <w:tcW w:w="900" w:type="dxa"/>
            <w:vAlign w:val="bottom"/>
          </w:tcPr>
          <w:p>
            <w:pPr>
              <w:spacing w:after="0"/>
              <w:rPr>
                <w:sz w:val="14"/>
                <w:szCs w:val="14"/>
                <w:color w:val="auto"/>
              </w:rPr>
            </w:pPr>
          </w:p>
        </w:tc>
        <w:tc>
          <w:tcPr>
            <w:tcW w:w="500" w:type="dxa"/>
            <w:vAlign w:val="bottom"/>
          </w:tcPr>
          <w:p>
            <w:pPr>
              <w:jc w:val="right"/>
              <w:ind w:right="48"/>
              <w:spacing w:after="0"/>
              <w:rPr>
                <w:sz w:val="20"/>
                <w:szCs w:val="20"/>
                <w:color w:val="auto"/>
              </w:rPr>
            </w:pPr>
            <w:r>
              <w:rPr>
                <w:rFonts w:ascii="Arial" w:cs="Arial" w:eastAsia="Arial" w:hAnsi="Arial"/>
                <w:sz w:val="14"/>
                <w:szCs w:val="14"/>
                <w:color w:val="auto"/>
              </w:rPr>
              <w:t>(7)</w:t>
            </w:r>
          </w:p>
        </w:tc>
        <w:tc>
          <w:tcPr>
            <w:tcW w:w="900" w:type="dxa"/>
            <w:vAlign w:val="bottom"/>
          </w:tcPr>
          <w:p>
            <w:pPr>
              <w:spacing w:after="0"/>
              <w:rPr>
                <w:sz w:val="14"/>
                <w:szCs w:val="14"/>
                <w:color w:val="auto"/>
              </w:rPr>
            </w:pPr>
          </w:p>
        </w:tc>
        <w:tc>
          <w:tcPr>
            <w:tcW w:w="240" w:type="dxa"/>
            <w:vAlign w:val="bottom"/>
          </w:tcPr>
          <w:p>
            <w:pPr>
              <w:ind w:left="60"/>
              <w:spacing w:after="0"/>
              <w:rPr>
                <w:sz w:val="20"/>
                <w:szCs w:val="20"/>
                <w:color w:val="auto"/>
              </w:rPr>
            </w:pPr>
            <w:r>
              <w:rPr>
                <w:rFonts w:ascii="Arial" w:cs="Arial" w:eastAsia="Arial" w:hAnsi="Arial"/>
                <w:sz w:val="14"/>
                <w:szCs w:val="14"/>
                <w:color w:val="auto"/>
              </w:rPr>
              <w:t>―</w:t>
            </w:r>
          </w:p>
        </w:tc>
        <w:tc>
          <w:tcPr>
            <w:tcW w:w="3440" w:type="dxa"/>
            <w:vAlign w:val="bottom"/>
          </w:tcPr>
          <w:p>
            <w:pPr>
              <w:ind w:left="240"/>
              <w:spacing w:after="0"/>
              <w:rPr>
                <w:sz w:val="20"/>
                <w:szCs w:val="20"/>
                <w:color w:val="auto"/>
              </w:rPr>
            </w:pPr>
            <w:r>
              <w:rPr>
                <w:rFonts w:ascii="Arial" w:cs="Arial" w:eastAsia="Arial" w:hAnsi="Arial"/>
                <w:sz w:val="14"/>
                <w:szCs w:val="14"/>
                <w:color w:val="auto"/>
              </w:rPr>
              <w:t>Equity Earnings, Net of Income Tax</w:t>
            </w:r>
          </w:p>
        </w:tc>
        <w:tc>
          <w:tcPr>
            <w:tcW w:w="340" w:type="dxa"/>
            <w:vAlign w:val="bottom"/>
          </w:tcPr>
          <w:p>
            <w:pPr>
              <w:spacing w:after="0"/>
              <w:rPr>
                <w:sz w:val="14"/>
                <w:szCs w:val="14"/>
                <w:color w:val="auto"/>
              </w:rPr>
            </w:pPr>
          </w:p>
        </w:tc>
        <w:tc>
          <w:tcPr>
            <w:tcW w:w="980" w:type="dxa"/>
            <w:vAlign w:val="bottom"/>
          </w:tcPr>
          <w:p>
            <w:pPr>
              <w:ind w:left="820"/>
              <w:spacing w:after="0"/>
              <w:rPr>
                <w:sz w:val="20"/>
                <w:szCs w:val="20"/>
                <w:color w:val="auto"/>
              </w:rPr>
            </w:pPr>
            <w:r>
              <w:rPr>
                <w:rFonts w:ascii="Arial" w:cs="Arial" w:eastAsia="Arial" w:hAnsi="Arial"/>
                <w:sz w:val="14"/>
                <w:szCs w:val="14"/>
                <w:color w:val="auto"/>
                <w:w w:val="81"/>
              </w:rPr>
              <w:t>(1)</w:t>
            </w:r>
          </w:p>
        </w:tc>
        <w:tc>
          <w:tcPr>
            <w:tcW w:w="42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40" w:type="dxa"/>
            <w:vAlign w:val="bottom"/>
          </w:tcPr>
          <w:p>
            <w:pPr>
              <w:ind w:left="140"/>
              <w:spacing w:after="0"/>
              <w:rPr>
                <w:sz w:val="20"/>
                <w:szCs w:val="20"/>
                <w:color w:val="auto"/>
              </w:rPr>
            </w:pPr>
            <w:r>
              <w:rPr>
                <w:rFonts w:ascii="Arial" w:cs="Arial" w:eastAsia="Arial" w:hAnsi="Arial"/>
                <w:sz w:val="14"/>
                <w:szCs w:val="14"/>
                <w:color w:val="auto"/>
              </w:rPr>
              <w:t>Commodity contracts not subject</w:t>
            </w:r>
          </w:p>
        </w:tc>
        <w:tc>
          <w:tcPr>
            <w:tcW w:w="900" w:type="dxa"/>
            <w:vAlign w:val="bottom"/>
          </w:tcPr>
          <w:p>
            <w:pPr>
              <w:spacing w:after="0"/>
              <w:rPr>
                <w:sz w:val="18"/>
                <w:szCs w:val="18"/>
                <w:color w:val="auto"/>
              </w:rPr>
            </w:pPr>
          </w:p>
        </w:tc>
        <w:tc>
          <w:tcPr>
            <w:tcW w:w="500" w:type="dxa"/>
            <w:vAlign w:val="bottom"/>
            <w:vMerge w:val="restart"/>
          </w:tcPr>
          <w:p>
            <w:pPr>
              <w:jc w:val="right"/>
              <w:ind w:right="88"/>
              <w:spacing w:after="0"/>
              <w:rPr>
                <w:sz w:val="20"/>
                <w:szCs w:val="20"/>
                <w:color w:val="auto"/>
              </w:rPr>
            </w:pPr>
            <w:r>
              <w:rPr>
                <w:rFonts w:ascii="Arial" w:cs="Arial" w:eastAsia="Arial" w:hAnsi="Arial"/>
                <w:sz w:val="14"/>
                <w:szCs w:val="14"/>
                <w:color w:val="auto"/>
              </w:rPr>
              <w:t>―</w:t>
            </w:r>
          </w:p>
        </w:tc>
        <w:tc>
          <w:tcPr>
            <w:tcW w:w="900" w:type="dxa"/>
            <w:vAlign w:val="bottom"/>
          </w:tcPr>
          <w:p>
            <w:pPr>
              <w:spacing w:after="0"/>
              <w:rPr>
                <w:sz w:val="18"/>
                <w:szCs w:val="18"/>
                <w:color w:val="auto"/>
              </w:rPr>
            </w:pPr>
          </w:p>
        </w:tc>
        <w:tc>
          <w:tcPr>
            <w:tcW w:w="240" w:type="dxa"/>
            <w:vAlign w:val="bottom"/>
            <w:vMerge w:val="restart"/>
          </w:tcPr>
          <w:p>
            <w:pPr>
              <w:ind w:left="60"/>
              <w:spacing w:after="0"/>
              <w:rPr>
                <w:sz w:val="20"/>
                <w:szCs w:val="20"/>
                <w:color w:val="auto"/>
              </w:rPr>
            </w:pPr>
            <w:r>
              <w:rPr>
                <w:rFonts w:ascii="Arial" w:cs="Arial" w:eastAsia="Arial" w:hAnsi="Arial"/>
                <w:sz w:val="14"/>
                <w:szCs w:val="14"/>
                <w:color w:val="auto"/>
              </w:rPr>
              <w:t>―</w:t>
            </w:r>
          </w:p>
        </w:tc>
        <w:tc>
          <w:tcPr>
            <w:tcW w:w="34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80" w:type="dxa"/>
            <w:vAlign w:val="bottom"/>
            <w:vMerge w:val="restart"/>
          </w:tcPr>
          <w:p>
            <w:pPr>
              <w:ind w:left="800"/>
              <w:spacing w:after="0"/>
              <w:rPr>
                <w:sz w:val="20"/>
                <w:szCs w:val="20"/>
                <w:color w:val="auto"/>
              </w:rPr>
            </w:pPr>
            <w:r>
              <w:rPr>
                <w:rFonts w:ascii="Arial" w:cs="Arial" w:eastAsia="Arial" w:hAnsi="Arial"/>
                <w:sz w:val="14"/>
                <w:szCs w:val="14"/>
                <w:color w:val="auto"/>
              </w:rPr>
              <w:t>―</w:t>
            </w:r>
          </w:p>
        </w:tc>
        <w:tc>
          <w:tcPr>
            <w:tcW w:w="420" w:type="dxa"/>
            <w:vAlign w:val="bottom"/>
          </w:tcPr>
          <w:p>
            <w:pPr>
              <w:spacing w:after="0"/>
              <w:rPr>
                <w:sz w:val="18"/>
                <w:szCs w:val="18"/>
                <w:color w:val="auto"/>
              </w:rPr>
            </w:pPr>
          </w:p>
        </w:tc>
        <w:tc>
          <w:tcPr>
            <w:tcW w:w="940" w:type="dxa"/>
            <w:vAlign w:val="bottom"/>
            <w:vMerge w:val="restart"/>
          </w:tcPr>
          <w:p>
            <w:pPr>
              <w:jc w:val="right"/>
              <w:spacing w:after="0"/>
              <w:rPr>
                <w:sz w:val="20"/>
                <w:szCs w:val="20"/>
                <w:color w:val="auto"/>
              </w:rPr>
            </w:pPr>
            <w:r>
              <w:rPr>
                <w:rFonts w:ascii="Arial" w:cs="Arial" w:eastAsia="Arial" w:hAnsi="Arial"/>
                <w:sz w:val="14"/>
                <w:szCs w:val="14"/>
                <w:color w:val="auto"/>
              </w:rPr>
              <w:t>7</w:t>
            </w: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2740" w:type="dxa"/>
            <w:vAlign w:val="bottom"/>
          </w:tcPr>
          <w:p>
            <w:pPr>
              <w:ind w:left="300"/>
              <w:spacing w:after="0" w:line="127" w:lineRule="exact"/>
              <w:rPr>
                <w:sz w:val="20"/>
                <w:szCs w:val="20"/>
                <w:color w:val="auto"/>
              </w:rPr>
            </w:pPr>
            <w:r>
              <w:rPr>
                <w:rFonts w:ascii="Arial" w:cs="Arial" w:eastAsia="Arial" w:hAnsi="Arial"/>
                <w:sz w:val="14"/>
                <w:szCs w:val="14"/>
                <w:color w:val="auto"/>
              </w:rPr>
              <w:t>to rate recovery</w:t>
            </w:r>
          </w:p>
        </w:tc>
        <w:tc>
          <w:tcPr>
            <w:tcW w:w="90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vMerge w:val="continue"/>
          </w:tcPr>
          <w:p>
            <w:pPr>
              <w:spacing w:after="0"/>
              <w:rPr>
                <w:sz w:val="13"/>
                <w:szCs w:val="13"/>
                <w:color w:val="auto"/>
              </w:rPr>
            </w:pPr>
          </w:p>
        </w:tc>
        <w:tc>
          <w:tcPr>
            <w:tcW w:w="90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vMerge w:val="continue"/>
          </w:tcPr>
          <w:p>
            <w:pPr>
              <w:spacing w:after="0"/>
              <w:rPr>
                <w:sz w:val="13"/>
                <w:szCs w:val="13"/>
                <w:color w:val="auto"/>
              </w:rPr>
            </w:pPr>
          </w:p>
        </w:tc>
        <w:tc>
          <w:tcPr>
            <w:tcW w:w="3440" w:type="dxa"/>
            <w:vAlign w:val="bottom"/>
          </w:tcPr>
          <w:p>
            <w:pPr>
              <w:ind w:left="240"/>
              <w:spacing w:after="0" w:line="127" w:lineRule="exact"/>
              <w:rPr>
                <w:sz w:val="20"/>
                <w:szCs w:val="20"/>
                <w:color w:val="auto"/>
              </w:rPr>
            </w:pPr>
            <w:r>
              <w:rPr>
                <w:rFonts w:ascii="Arial" w:cs="Arial" w:eastAsia="Arial" w:hAnsi="Arial"/>
                <w:sz w:val="14"/>
                <w:szCs w:val="14"/>
                <w:color w:val="auto"/>
              </w:rPr>
              <w:t>Equity Earnings, Before Income Tax</w:t>
            </w:r>
          </w:p>
        </w:tc>
        <w:tc>
          <w:tcPr>
            <w:tcW w:w="34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vMerge w:val="continue"/>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740" w:type="dxa"/>
            <w:vAlign w:val="bottom"/>
            <w:tcBorders>
              <w:bottom w:val="single" w:sz="8" w:color="auto"/>
            </w:tcBorders>
          </w:tcPr>
          <w:p>
            <w:pPr>
              <w:ind w:left="140"/>
              <w:spacing w:after="0"/>
              <w:rPr>
                <w:sz w:val="20"/>
                <w:szCs w:val="20"/>
                <w:color w:val="auto"/>
              </w:rPr>
            </w:pPr>
            <w:r>
              <w:rPr>
                <w:rFonts w:ascii="Arial" w:cs="Arial" w:eastAsia="Arial" w:hAnsi="Arial"/>
                <w:sz w:val="14"/>
                <w:szCs w:val="14"/>
                <w:color w:val="auto"/>
              </w:rPr>
              <w:t>Total</w:t>
            </w:r>
          </w:p>
        </w:tc>
        <w:tc>
          <w:tcPr>
            <w:tcW w:w="90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color w:val="auto"/>
              </w:rPr>
              <w:t>$</w:t>
            </w:r>
          </w:p>
        </w:tc>
        <w:tc>
          <w:tcPr>
            <w:tcW w:w="5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(18)</w:t>
            </w:r>
          </w:p>
        </w:tc>
        <w:tc>
          <w:tcPr>
            <w:tcW w:w="900" w:type="dxa"/>
            <w:vAlign w:val="bottom"/>
            <w:tcBorders>
              <w:bottom w:val="single" w:sz="8" w:color="auto"/>
            </w:tcBorders>
          </w:tcPr>
          <w:p>
            <w:pPr>
              <w:jc w:val="right"/>
              <w:ind w:right="608"/>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auto"/>
            </w:tcBorders>
          </w:tcPr>
          <w:p>
            <w:pPr>
              <w:ind w:left="60"/>
              <w:spacing w:after="0"/>
              <w:rPr>
                <w:sz w:val="20"/>
                <w:szCs w:val="20"/>
                <w:color w:val="auto"/>
              </w:rPr>
            </w:pPr>
            <w:r>
              <w:rPr>
                <w:rFonts w:ascii="Arial" w:cs="Arial" w:eastAsia="Arial" w:hAnsi="Arial"/>
                <w:sz w:val="14"/>
                <w:szCs w:val="14"/>
                <w:color w:val="auto"/>
              </w:rPr>
              <w:t>―</w:t>
            </w:r>
          </w:p>
        </w:tc>
        <w:tc>
          <w:tcPr>
            <w:tcW w:w="344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ind w:left="260"/>
              <w:spacing w:after="0"/>
              <w:rPr>
                <w:sz w:val="20"/>
                <w:szCs w:val="20"/>
                <w:color w:val="auto"/>
              </w:rPr>
            </w:pPr>
            <w:r>
              <w:rPr>
                <w:rFonts w:ascii="Arial" w:cs="Arial" w:eastAsia="Arial" w:hAnsi="Arial"/>
                <w:sz w:val="14"/>
                <w:szCs w:val="14"/>
                <w:color w:val="auto"/>
                <w:w w:val="76"/>
              </w:rPr>
              <w:t>$</w:t>
            </w:r>
          </w:p>
        </w:tc>
        <w:tc>
          <w:tcPr>
            <w:tcW w:w="980" w:type="dxa"/>
            <w:vAlign w:val="bottom"/>
            <w:tcBorders>
              <w:bottom w:val="single" w:sz="8" w:color="auto"/>
            </w:tcBorders>
          </w:tcPr>
          <w:p>
            <w:pPr>
              <w:ind w:left="820"/>
              <w:spacing w:after="0"/>
              <w:rPr>
                <w:sz w:val="20"/>
                <w:szCs w:val="20"/>
                <w:color w:val="auto"/>
              </w:rPr>
            </w:pPr>
            <w:r>
              <w:rPr>
                <w:rFonts w:ascii="Arial" w:cs="Arial" w:eastAsia="Arial" w:hAnsi="Arial"/>
                <w:sz w:val="14"/>
                <w:szCs w:val="14"/>
                <w:color w:val="auto"/>
                <w:w w:val="81"/>
              </w:rPr>
              <w:t>(5)</w:t>
            </w:r>
          </w:p>
        </w:tc>
        <w:tc>
          <w:tcPr>
            <w:tcW w:w="4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740" w:type="dxa"/>
            <w:vAlign w:val="bottom"/>
          </w:tcPr>
          <w:p>
            <w:pPr>
              <w:spacing w:after="0"/>
              <w:rPr>
                <w:sz w:val="20"/>
                <w:szCs w:val="20"/>
                <w:color w:val="auto"/>
              </w:rPr>
            </w:pPr>
            <w:r>
              <w:rPr>
                <w:rFonts w:ascii="Arial" w:cs="Arial" w:eastAsia="Arial" w:hAnsi="Arial"/>
                <w:sz w:val="14"/>
                <w:szCs w:val="14"/>
                <w:b w:val="1"/>
                <w:bCs w:val="1"/>
                <w:color w:val="auto"/>
              </w:rPr>
              <w:t>SDG&amp;E:</w:t>
            </w:r>
          </w:p>
        </w:tc>
        <w:tc>
          <w:tcPr>
            <w:tcW w:w="9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4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2740" w:type="dxa"/>
            <w:vAlign w:val="bottom"/>
            <w:tcBorders>
              <w:bottom w:val="single" w:sz="8" w:color="auto"/>
            </w:tcBorders>
          </w:tcPr>
          <w:p>
            <w:pPr>
              <w:ind w:left="140"/>
              <w:spacing w:after="0" w:line="157" w:lineRule="exact"/>
              <w:rPr>
                <w:sz w:val="20"/>
                <w:szCs w:val="20"/>
                <w:color w:val="auto"/>
              </w:rPr>
            </w:pPr>
            <w:r>
              <w:rPr>
                <w:rFonts w:ascii="Arial" w:cs="Arial" w:eastAsia="Arial" w:hAnsi="Arial"/>
                <w:sz w:val="14"/>
                <w:szCs w:val="14"/>
                <w:color w:val="auto"/>
              </w:rPr>
              <w:t>Interest rate instruments(1)</w:t>
            </w:r>
          </w:p>
        </w:tc>
        <w:tc>
          <w:tcPr>
            <w:tcW w:w="900" w:type="dxa"/>
            <w:vAlign w:val="bottom"/>
            <w:tcBorders>
              <w:bottom w:val="single" w:sz="8" w:color="auto"/>
            </w:tcBorders>
          </w:tcPr>
          <w:p>
            <w:pPr>
              <w:jc w:val="right"/>
              <w:ind w:right="468"/>
              <w:spacing w:after="0" w:line="157" w:lineRule="exact"/>
              <w:rPr>
                <w:sz w:val="20"/>
                <w:szCs w:val="20"/>
                <w:color w:val="auto"/>
              </w:rPr>
            </w:pPr>
            <w:r>
              <w:rPr>
                <w:rFonts w:ascii="Arial" w:cs="Arial" w:eastAsia="Arial" w:hAnsi="Arial"/>
                <w:sz w:val="14"/>
                <w:szCs w:val="14"/>
                <w:color w:val="auto"/>
              </w:rPr>
              <w:t>$</w:t>
            </w:r>
          </w:p>
        </w:tc>
        <w:tc>
          <w:tcPr>
            <w:tcW w:w="500" w:type="dxa"/>
            <w:vAlign w:val="bottom"/>
            <w:tcBorders>
              <w:bottom w:val="single" w:sz="8" w:color="auto"/>
            </w:tcBorders>
          </w:tcPr>
          <w:p>
            <w:pPr>
              <w:jc w:val="right"/>
              <w:ind w:right="48"/>
              <w:spacing w:after="0" w:line="157" w:lineRule="exact"/>
              <w:rPr>
                <w:sz w:val="20"/>
                <w:szCs w:val="20"/>
                <w:color w:val="auto"/>
              </w:rPr>
            </w:pPr>
            <w:r>
              <w:rPr>
                <w:rFonts w:ascii="Arial" w:cs="Arial" w:eastAsia="Arial" w:hAnsi="Arial"/>
                <w:sz w:val="14"/>
                <w:szCs w:val="14"/>
                <w:color w:val="auto"/>
              </w:rPr>
              <w:t>(11)</w:t>
            </w:r>
          </w:p>
        </w:tc>
        <w:tc>
          <w:tcPr>
            <w:tcW w:w="900" w:type="dxa"/>
            <w:vAlign w:val="bottom"/>
            <w:tcBorders>
              <w:bottom w:val="single" w:sz="8" w:color="auto"/>
            </w:tcBorders>
          </w:tcPr>
          <w:p>
            <w:pPr>
              <w:jc w:val="right"/>
              <w:ind w:right="608"/>
              <w:spacing w:after="0" w:line="157" w:lineRule="exact"/>
              <w:rPr>
                <w:sz w:val="20"/>
                <w:szCs w:val="20"/>
                <w:color w:val="auto"/>
              </w:rPr>
            </w:pPr>
            <w:r>
              <w:rPr>
                <w:rFonts w:ascii="Arial" w:cs="Arial" w:eastAsia="Arial" w:hAnsi="Arial"/>
                <w:sz w:val="14"/>
                <w:szCs w:val="14"/>
                <w:color w:val="auto"/>
              </w:rPr>
              <w:t>$</w:t>
            </w:r>
          </w:p>
        </w:tc>
        <w:tc>
          <w:tcPr>
            <w:tcW w:w="240" w:type="dxa"/>
            <w:vAlign w:val="bottom"/>
            <w:tcBorders>
              <w:bottom w:val="single" w:sz="8" w:color="auto"/>
            </w:tcBorders>
          </w:tcPr>
          <w:p>
            <w:pPr>
              <w:ind w:left="60"/>
              <w:spacing w:after="0" w:line="157" w:lineRule="exact"/>
              <w:rPr>
                <w:sz w:val="20"/>
                <w:szCs w:val="20"/>
                <w:color w:val="auto"/>
              </w:rPr>
            </w:pPr>
            <w:r>
              <w:rPr>
                <w:rFonts w:ascii="Arial" w:cs="Arial" w:eastAsia="Arial" w:hAnsi="Arial"/>
                <w:sz w:val="14"/>
                <w:szCs w:val="14"/>
                <w:color w:val="auto"/>
              </w:rPr>
              <w:t>―</w:t>
            </w:r>
          </w:p>
        </w:tc>
        <w:tc>
          <w:tcPr>
            <w:tcW w:w="3440" w:type="dxa"/>
            <w:vAlign w:val="bottom"/>
            <w:tcBorders>
              <w:bottom w:val="single" w:sz="8" w:color="auto"/>
            </w:tcBorders>
          </w:tcPr>
          <w:p>
            <w:pPr>
              <w:ind w:left="240"/>
              <w:spacing w:after="0" w:line="157" w:lineRule="exact"/>
              <w:rPr>
                <w:sz w:val="20"/>
                <w:szCs w:val="20"/>
                <w:color w:val="auto"/>
              </w:rPr>
            </w:pPr>
            <w:r>
              <w:rPr>
                <w:rFonts w:ascii="Arial" w:cs="Arial" w:eastAsia="Arial" w:hAnsi="Arial"/>
                <w:sz w:val="14"/>
                <w:szCs w:val="14"/>
                <w:color w:val="auto"/>
              </w:rPr>
              <w:t>Interest Expense</w:t>
            </w:r>
          </w:p>
        </w:tc>
        <w:tc>
          <w:tcPr>
            <w:tcW w:w="340" w:type="dxa"/>
            <w:vAlign w:val="bottom"/>
            <w:tcBorders>
              <w:bottom w:val="single" w:sz="8" w:color="auto"/>
            </w:tcBorders>
          </w:tcPr>
          <w:p>
            <w:pPr>
              <w:ind w:left="260"/>
              <w:spacing w:after="0" w:line="157" w:lineRule="exact"/>
              <w:rPr>
                <w:sz w:val="20"/>
                <w:szCs w:val="20"/>
                <w:color w:val="auto"/>
              </w:rPr>
            </w:pPr>
            <w:r>
              <w:rPr>
                <w:rFonts w:ascii="Arial" w:cs="Arial" w:eastAsia="Arial" w:hAnsi="Arial"/>
                <w:sz w:val="14"/>
                <w:szCs w:val="14"/>
                <w:color w:val="auto"/>
                <w:w w:val="76"/>
              </w:rPr>
              <w:t>$</w:t>
            </w:r>
          </w:p>
        </w:tc>
        <w:tc>
          <w:tcPr>
            <w:tcW w:w="980" w:type="dxa"/>
            <w:vAlign w:val="bottom"/>
            <w:tcBorders>
              <w:bottom w:val="single" w:sz="8" w:color="auto"/>
            </w:tcBorders>
          </w:tcPr>
          <w:p>
            <w:pPr>
              <w:ind w:left="820"/>
              <w:spacing w:after="0" w:line="157" w:lineRule="exact"/>
              <w:rPr>
                <w:sz w:val="20"/>
                <w:szCs w:val="20"/>
                <w:color w:val="auto"/>
              </w:rPr>
            </w:pPr>
            <w:r>
              <w:rPr>
                <w:rFonts w:ascii="Arial" w:cs="Arial" w:eastAsia="Arial" w:hAnsi="Arial"/>
                <w:sz w:val="14"/>
                <w:szCs w:val="14"/>
                <w:color w:val="auto"/>
                <w:w w:val="81"/>
              </w:rPr>
              <w:t>(2)</w:t>
            </w:r>
          </w:p>
        </w:tc>
        <w:tc>
          <w:tcPr>
            <w:tcW w:w="420" w:type="dxa"/>
            <w:vAlign w:val="bottom"/>
            <w:tcBorders>
              <w:bottom w:val="single" w:sz="8" w:color="auto"/>
            </w:tcBorders>
          </w:tcPr>
          <w:p>
            <w:pPr>
              <w:jc w:val="right"/>
              <w:ind w:right="8"/>
              <w:spacing w:after="0" w:line="157" w:lineRule="exact"/>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tcPr>
          <w:p>
            <w:pPr>
              <w:jc w:val="right"/>
              <w:spacing w:after="0" w:line="157" w:lineRule="exact"/>
              <w:rPr>
                <w:sz w:val="20"/>
                <w:szCs w:val="20"/>
                <w:color w:val="auto"/>
              </w:rPr>
            </w:pPr>
            <w:r>
              <w:rPr>
                <w:rFonts w:ascii="Arial" w:cs="Arial" w:eastAsia="Arial" w:hAnsi="Arial"/>
                <w:sz w:val="14"/>
                <w:szCs w:val="14"/>
                <w:color w:val="auto"/>
              </w:rPr>
              <w:t>(4)</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740" w:type="dxa"/>
            <w:vAlign w:val="bottom"/>
          </w:tcPr>
          <w:p>
            <w:pPr>
              <w:spacing w:after="0"/>
              <w:rPr>
                <w:sz w:val="20"/>
                <w:szCs w:val="20"/>
                <w:color w:val="auto"/>
              </w:rPr>
            </w:pPr>
            <w:r>
              <w:rPr>
                <w:rFonts w:ascii="Arial" w:cs="Arial" w:eastAsia="Arial" w:hAnsi="Arial"/>
                <w:sz w:val="14"/>
                <w:szCs w:val="14"/>
                <w:b w:val="1"/>
                <w:bCs w:val="1"/>
                <w:color w:val="auto"/>
              </w:rPr>
              <w:t>SoCalGas:</w:t>
            </w:r>
          </w:p>
        </w:tc>
        <w:tc>
          <w:tcPr>
            <w:tcW w:w="9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4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2740" w:type="dxa"/>
            <w:vAlign w:val="bottom"/>
            <w:tcBorders>
              <w:bottom w:val="single" w:sz="8" w:color="auto"/>
            </w:tcBorders>
          </w:tcPr>
          <w:p>
            <w:pPr>
              <w:ind w:left="140"/>
              <w:spacing w:after="0" w:line="157" w:lineRule="exact"/>
              <w:rPr>
                <w:sz w:val="20"/>
                <w:szCs w:val="20"/>
                <w:color w:val="auto"/>
              </w:rPr>
            </w:pPr>
            <w:r>
              <w:rPr>
                <w:rFonts w:ascii="Arial" w:cs="Arial" w:eastAsia="Arial" w:hAnsi="Arial"/>
                <w:sz w:val="14"/>
                <w:szCs w:val="14"/>
                <w:color w:val="auto"/>
              </w:rPr>
              <w:t>Interest rate instruments</w:t>
            </w:r>
          </w:p>
        </w:tc>
        <w:tc>
          <w:tcPr>
            <w:tcW w:w="900" w:type="dxa"/>
            <w:vAlign w:val="bottom"/>
            <w:tcBorders>
              <w:bottom w:val="single" w:sz="8" w:color="auto"/>
            </w:tcBorders>
          </w:tcPr>
          <w:p>
            <w:pPr>
              <w:jc w:val="right"/>
              <w:ind w:right="468"/>
              <w:spacing w:after="0" w:line="157" w:lineRule="exact"/>
              <w:rPr>
                <w:sz w:val="20"/>
                <w:szCs w:val="20"/>
                <w:color w:val="auto"/>
              </w:rPr>
            </w:pPr>
            <w:r>
              <w:rPr>
                <w:rFonts w:ascii="Arial" w:cs="Arial" w:eastAsia="Arial" w:hAnsi="Arial"/>
                <w:sz w:val="14"/>
                <w:szCs w:val="14"/>
                <w:color w:val="auto"/>
              </w:rPr>
              <w:t>$</w:t>
            </w:r>
          </w:p>
        </w:tc>
        <w:tc>
          <w:tcPr>
            <w:tcW w:w="500" w:type="dxa"/>
            <w:vAlign w:val="bottom"/>
            <w:tcBorders>
              <w:bottom w:val="single" w:sz="8" w:color="auto"/>
            </w:tcBorders>
          </w:tcPr>
          <w:p>
            <w:pPr>
              <w:jc w:val="right"/>
              <w:ind w:right="88"/>
              <w:spacing w:after="0" w:line="157" w:lineRule="exact"/>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tcPr>
          <w:p>
            <w:pPr>
              <w:jc w:val="right"/>
              <w:ind w:right="608"/>
              <w:spacing w:after="0" w:line="157" w:lineRule="exact"/>
              <w:rPr>
                <w:sz w:val="20"/>
                <w:szCs w:val="20"/>
                <w:color w:val="auto"/>
              </w:rPr>
            </w:pPr>
            <w:r>
              <w:rPr>
                <w:rFonts w:ascii="Arial" w:cs="Arial" w:eastAsia="Arial" w:hAnsi="Arial"/>
                <w:sz w:val="14"/>
                <w:szCs w:val="14"/>
                <w:color w:val="auto"/>
              </w:rPr>
              <w:t>$</w:t>
            </w:r>
          </w:p>
        </w:tc>
        <w:tc>
          <w:tcPr>
            <w:tcW w:w="240" w:type="dxa"/>
            <w:vAlign w:val="bottom"/>
            <w:tcBorders>
              <w:bottom w:val="single" w:sz="8" w:color="auto"/>
            </w:tcBorders>
          </w:tcPr>
          <w:p>
            <w:pPr>
              <w:ind w:left="60"/>
              <w:spacing w:after="0" w:line="157" w:lineRule="exact"/>
              <w:rPr>
                <w:sz w:val="20"/>
                <w:szCs w:val="20"/>
                <w:color w:val="auto"/>
              </w:rPr>
            </w:pPr>
            <w:r>
              <w:rPr>
                <w:rFonts w:ascii="Arial" w:cs="Arial" w:eastAsia="Arial" w:hAnsi="Arial"/>
                <w:sz w:val="14"/>
                <w:szCs w:val="14"/>
                <w:color w:val="auto"/>
              </w:rPr>
              <w:t>―</w:t>
            </w:r>
          </w:p>
        </w:tc>
        <w:tc>
          <w:tcPr>
            <w:tcW w:w="3440" w:type="dxa"/>
            <w:vAlign w:val="bottom"/>
            <w:tcBorders>
              <w:bottom w:val="single" w:sz="8" w:color="auto"/>
            </w:tcBorders>
          </w:tcPr>
          <w:p>
            <w:pPr>
              <w:ind w:left="240"/>
              <w:spacing w:after="0" w:line="157" w:lineRule="exact"/>
              <w:rPr>
                <w:sz w:val="20"/>
                <w:szCs w:val="20"/>
                <w:color w:val="auto"/>
              </w:rPr>
            </w:pPr>
            <w:r>
              <w:rPr>
                <w:rFonts w:ascii="Arial" w:cs="Arial" w:eastAsia="Arial" w:hAnsi="Arial"/>
                <w:sz w:val="14"/>
                <w:szCs w:val="14"/>
                <w:color w:val="auto"/>
              </w:rPr>
              <w:t>Interest Expense</w:t>
            </w:r>
          </w:p>
        </w:tc>
        <w:tc>
          <w:tcPr>
            <w:tcW w:w="340" w:type="dxa"/>
            <w:vAlign w:val="bottom"/>
            <w:tcBorders>
              <w:bottom w:val="single" w:sz="8" w:color="auto"/>
            </w:tcBorders>
          </w:tcPr>
          <w:p>
            <w:pPr>
              <w:ind w:left="260"/>
              <w:spacing w:after="0" w:line="157" w:lineRule="exact"/>
              <w:rPr>
                <w:sz w:val="20"/>
                <w:szCs w:val="20"/>
                <w:color w:val="auto"/>
              </w:rPr>
            </w:pPr>
            <w:r>
              <w:rPr>
                <w:rFonts w:ascii="Arial" w:cs="Arial" w:eastAsia="Arial" w:hAnsi="Arial"/>
                <w:sz w:val="14"/>
                <w:szCs w:val="14"/>
                <w:color w:val="auto"/>
                <w:w w:val="76"/>
              </w:rPr>
              <w:t>$</w:t>
            </w:r>
          </w:p>
        </w:tc>
        <w:tc>
          <w:tcPr>
            <w:tcW w:w="980" w:type="dxa"/>
            <w:vAlign w:val="bottom"/>
            <w:tcBorders>
              <w:bottom w:val="single" w:sz="8" w:color="auto"/>
            </w:tcBorders>
          </w:tcPr>
          <w:p>
            <w:pPr>
              <w:ind w:left="820"/>
              <w:spacing w:after="0" w:line="157" w:lineRule="exact"/>
              <w:rPr>
                <w:sz w:val="20"/>
                <w:szCs w:val="20"/>
                <w:color w:val="auto"/>
              </w:rPr>
            </w:pPr>
            <w:r>
              <w:rPr>
                <w:rFonts w:ascii="Arial" w:cs="Arial" w:eastAsia="Arial" w:hAnsi="Arial"/>
                <w:sz w:val="14"/>
                <w:szCs w:val="14"/>
                <w:color w:val="auto"/>
                <w:w w:val="81"/>
              </w:rPr>
              <w:t>(2)</w:t>
            </w:r>
          </w:p>
        </w:tc>
        <w:tc>
          <w:tcPr>
            <w:tcW w:w="420" w:type="dxa"/>
            <w:vAlign w:val="bottom"/>
            <w:tcBorders>
              <w:bottom w:val="single" w:sz="8" w:color="auto"/>
            </w:tcBorders>
          </w:tcPr>
          <w:p>
            <w:pPr>
              <w:jc w:val="right"/>
              <w:ind w:right="8"/>
              <w:spacing w:after="0" w:line="157" w:lineRule="exact"/>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tcPr>
          <w:p>
            <w:pPr>
              <w:jc w:val="right"/>
              <w:spacing w:after="0" w:line="157" w:lineRule="exact"/>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bl>
    <w:p>
      <w:pPr>
        <w:ind w:left="460" w:right="100" w:hanging="452"/>
        <w:spacing w:after="0" w:line="245" w:lineRule="auto"/>
        <w:tabs>
          <w:tab w:leader="none" w:pos="460" w:val="left"/>
        </w:tabs>
        <w:numPr>
          <w:ilvl w:val="0"/>
          <w:numId w:val="28"/>
        </w:numPr>
        <w:rPr>
          <w:rFonts w:ascii="Arial" w:cs="Arial" w:eastAsia="Arial" w:hAnsi="Arial"/>
          <w:sz w:val="14"/>
          <w:szCs w:val="14"/>
          <w:i w:val="1"/>
          <w:iCs w:val="1"/>
          <w:color w:val="auto"/>
        </w:rPr>
      </w:pPr>
      <w:r>
        <w:rPr>
          <w:rFonts w:ascii="Arial" w:cs="Arial" w:eastAsia="Arial" w:hAnsi="Arial"/>
          <w:sz w:val="14"/>
          <w:szCs w:val="14"/>
          <w:i w:val="1"/>
          <w:iCs w:val="1"/>
          <w:color w:val="auto"/>
        </w:rPr>
        <w:t>Amounts include Otay Mesa VIE. All of SDG&amp;E's interest rate derivative activity relates to Otay Mesa VIE. There has been a negligible amount of ineffectiveness related to these swaps.</w:t>
      </w:r>
    </w:p>
    <w:p>
      <w:pPr>
        <w:ind w:left="460" w:right="120" w:hanging="452"/>
        <w:spacing w:after="0" w:line="258" w:lineRule="auto"/>
        <w:tabs>
          <w:tab w:leader="none" w:pos="460" w:val="left"/>
        </w:tabs>
        <w:numPr>
          <w:ilvl w:val="0"/>
          <w:numId w:val="28"/>
        </w:numPr>
        <w:rPr>
          <w:rFonts w:ascii="Arial" w:cs="Arial" w:eastAsia="Arial" w:hAnsi="Arial"/>
          <w:sz w:val="14"/>
          <w:szCs w:val="14"/>
          <w:i w:val="1"/>
          <w:iCs w:val="1"/>
          <w:color w:val="auto"/>
        </w:rPr>
      </w:pPr>
      <w:r>
        <w:rPr>
          <w:rFonts w:ascii="Arial" w:cs="Arial" w:eastAsia="Arial" w:hAnsi="Arial"/>
          <w:sz w:val="14"/>
          <w:szCs w:val="14"/>
          <w:i w:val="1"/>
          <w:iCs w:val="1"/>
          <w:color w:val="auto"/>
        </w:rPr>
        <w:t>Gains reclassified into earnings due to changes in cash requirements and associated impacts on forecasted interest payments, primarily related to proceeds received from RBS Sempra Commodities. See Note 4.</w:t>
      </w:r>
    </w:p>
    <w:p>
      <w:pPr>
        <w:spacing w:after="0" w:line="202" w:lineRule="exact"/>
        <w:rPr>
          <w:sz w:val="20"/>
          <w:szCs w:val="20"/>
          <w:color w:val="auto"/>
        </w:rPr>
      </w:pPr>
    </w:p>
    <w:p>
      <w:pPr>
        <w:ind w:right="300"/>
        <w:spacing w:after="0" w:line="302" w:lineRule="auto"/>
        <w:rPr>
          <w:sz w:val="20"/>
          <w:szCs w:val="20"/>
          <w:color w:val="auto"/>
        </w:rPr>
      </w:pPr>
      <w:r>
        <w:rPr>
          <w:rFonts w:ascii="Arial" w:cs="Arial" w:eastAsia="Arial" w:hAnsi="Arial"/>
          <w:sz w:val="16"/>
          <w:szCs w:val="16"/>
          <w:color w:val="auto"/>
        </w:rPr>
        <w:t>Sempra Energy expects that losses of $9 million, which are net of income tax benefit, that are currently recorded in Accumulated Other Comprehensive Income (Loss) related to cash flow hedges will be reclassified into earnings during the next twelve months as the hedged items affect earnings. Actual amounts ultimately reclassified into earnings depends on the interest rates in effect when derivative contracts that are currently outstanding mature. For all forecasted transactions, the maximum term over which we are hedging exposure to the variability of cash flows is 94 months at June 30, 2011.</w:t>
      </w:r>
    </w:p>
    <w:p>
      <w:pPr>
        <w:spacing w:after="0" w:line="154" w:lineRule="exact"/>
        <w:rPr>
          <w:sz w:val="20"/>
          <w:szCs w:val="20"/>
          <w:color w:val="auto"/>
        </w:rPr>
      </w:pPr>
    </w:p>
    <w:p>
      <w:pPr>
        <w:ind w:right="240"/>
        <w:spacing w:after="0" w:line="264" w:lineRule="auto"/>
        <w:rPr>
          <w:sz w:val="20"/>
          <w:szCs w:val="20"/>
          <w:color w:val="auto"/>
        </w:rPr>
      </w:pPr>
      <w:r>
        <w:rPr>
          <w:rFonts w:ascii="Arial" w:cs="Arial" w:eastAsia="Arial" w:hAnsi="Arial"/>
          <w:sz w:val="18"/>
          <w:szCs w:val="18"/>
          <w:color w:val="auto"/>
        </w:rPr>
        <w:t>SDG&amp;E and SoCalGas expect that losses of $4 million and $1 million, respectively, which are net of income tax benefit, that are currently recorded in Accumulated Other Comprehensive Income (Loss) related to these cash flow hedges will be reclassified into earnings during the next twelve months as the hedged items affect earnings.</w:t>
      </w:r>
    </w:p>
    <w:p>
      <w:pPr>
        <w:spacing w:after="0" w:line="181"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The effects of derivative instruments not designated as hedging instruments on the Condensed Consolidated Statements of Operations for the three months and six months ended June 30, 2011 and 2010 were:</w:t>
      </w:r>
    </w:p>
    <w:p>
      <w:pPr>
        <w:spacing w:after="0" w:line="200" w:lineRule="exact"/>
        <w:rPr>
          <w:sz w:val="20"/>
          <w:szCs w:val="20"/>
          <w:color w:val="auto"/>
        </w:rPr>
      </w:pPr>
    </w:p>
    <w:p>
      <w:pPr>
        <w:spacing w:after="0" w:line="210" w:lineRule="exact"/>
        <w:rPr>
          <w:sz w:val="20"/>
          <w:szCs w:val="20"/>
          <w:color w:val="auto"/>
        </w:rPr>
      </w:pPr>
    </w:p>
    <w:p>
      <w:pPr>
        <w:ind w:right="2920"/>
        <w:spacing w:after="0" w:line="243" w:lineRule="auto"/>
        <w:rPr>
          <w:sz w:val="20"/>
          <w:szCs w:val="20"/>
          <w:color w:val="auto"/>
        </w:rPr>
      </w:pPr>
      <w:r>
        <w:rPr>
          <w:rFonts w:ascii="Arial" w:cs="Arial" w:eastAsia="Arial" w:hAnsi="Arial"/>
          <w:sz w:val="16"/>
          <w:szCs w:val="16"/>
          <w:b w:val="1"/>
          <w:bCs w:val="1"/>
          <w:color w:val="auto"/>
        </w:rPr>
        <w:t xml:space="preserve">UNDESIGNATED DERIVATIVE IMPACT ON THE CONDENSED CONSOLIDATED STATEMENTS OF OPERATIONS </w:t>
      </w:r>
      <w:r>
        <w:rPr>
          <w:rFonts w:ascii="Arial" w:cs="Arial" w:eastAsia="Arial" w:hAnsi="Arial"/>
          <w:sz w:val="14"/>
          <w:szCs w:val="14"/>
          <w:i w:val="1"/>
          <w:iCs w:val="1"/>
          <w:color w:val="auto"/>
        </w:rPr>
        <w:t>(Dollars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-224155</wp:posOffset>
            </wp:positionV>
            <wp:extent cx="7246620" cy="22288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46620" cy="22288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66"/>
        </w:trPr>
        <w:tc>
          <w:tcPr>
            <w:tcW w:w="20" w:type="dxa"/>
            <w:vAlign w:val="bottom"/>
          </w:tcPr>
          <w:p>
            <w:pPr>
              <w:spacing w:after="0"/>
              <w:rPr>
                <w:sz w:val="14"/>
                <w:szCs w:val="14"/>
                <w:color w:val="auto"/>
              </w:rPr>
            </w:pPr>
          </w:p>
        </w:tc>
        <w:tc>
          <w:tcPr>
            <w:tcW w:w="3040" w:type="dxa"/>
            <w:vAlign w:val="bottom"/>
          </w:tcPr>
          <w:p>
            <w:pPr>
              <w:spacing w:after="0"/>
              <w:rPr>
                <w:sz w:val="14"/>
                <w:szCs w:val="14"/>
                <w:color w:val="auto"/>
              </w:rPr>
            </w:pPr>
          </w:p>
        </w:tc>
        <w:tc>
          <w:tcPr>
            <w:tcW w:w="390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4160" w:type="dxa"/>
            <w:vAlign w:val="bottom"/>
            <w:tcBorders>
              <w:bottom w:val="single" w:sz="8" w:color="auto"/>
            </w:tcBorders>
            <w:gridSpan w:val="7"/>
          </w:tcPr>
          <w:p>
            <w:pPr>
              <w:jc w:val="right"/>
              <w:ind w:right="600"/>
              <w:spacing w:after="0" w:line="159" w:lineRule="exact"/>
              <w:rPr>
                <w:sz w:val="20"/>
                <w:szCs w:val="20"/>
                <w:color w:val="auto"/>
              </w:rPr>
            </w:pPr>
            <w:r>
              <w:rPr>
                <w:rFonts w:ascii="Arial" w:cs="Arial" w:eastAsia="Arial" w:hAnsi="Arial"/>
                <w:sz w:val="14"/>
                <w:szCs w:val="14"/>
                <w:color w:val="auto"/>
              </w:rPr>
              <w:t>Gain (loss) on derivatives recognized in earnings</w:t>
            </w:r>
          </w:p>
        </w:tc>
      </w:tr>
      <w:tr>
        <w:trPr>
          <w:trHeight w:val="169"/>
        </w:trPr>
        <w:tc>
          <w:tcPr>
            <w:tcW w:w="20" w:type="dxa"/>
            <w:vAlign w:val="bottom"/>
          </w:tcPr>
          <w:p>
            <w:pPr>
              <w:spacing w:after="0"/>
              <w:rPr>
                <w:sz w:val="14"/>
                <w:szCs w:val="14"/>
                <w:color w:val="auto"/>
              </w:rPr>
            </w:pPr>
          </w:p>
        </w:tc>
        <w:tc>
          <w:tcPr>
            <w:tcW w:w="3040" w:type="dxa"/>
            <w:vAlign w:val="bottom"/>
          </w:tcPr>
          <w:p>
            <w:pPr>
              <w:spacing w:after="0"/>
              <w:rPr>
                <w:sz w:val="14"/>
                <w:szCs w:val="14"/>
                <w:color w:val="auto"/>
              </w:rPr>
            </w:pPr>
          </w:p>
        </w:tc>
        <w:tc>
          <w:tcPr>
            <w:tcW w:w="3900" w:type="dxa"/>
            <w:vAlign w:val="bottom"/>
          </w:tcPr>
          <w:p>
            <w:pPr>
              <w:spacing w:after="0"/>
              <w:rPr>
                <w:sz w:val="14"/>
                <w:szCs w:val="14"/>
                <w:color w:val="auto"/>
              </w:rPr>
            </w:pPr>
          </w:p>
        </w:tc>
        <w:tc>
          <w:tcPr>
            <w:tcW w:w="2280" w:type="dxa"/>
            <w:vAlign w:val="bottom"/>
            <w:tcBorders>
              <w:bottom w:val="single" w:sz="8" w:color="auto"/>
            </w:tcBorders>
            <w:gridSpan w:val="4"/>
          </w:tcPr>
          <w:p>
            <w:pPr>
              <w:ind w:left="140"/>
              <w:spacing w:after="0"/>
              <w:rPr>
                <w:sz w:val="20"/>
                <w:szCs w:val="20"/>
                <w:color w:val="auto"/>
              </w:rPr>
            </w:pPr>
            <w:r>
              <w:rPr>
                <w:rFonts w:ascii="Arial" w:cs="Arial" w:eastAsia="Arial" w:hAnsi="Arial"/>
                <w:sz w:val="14"/>
                <w:szCs w:val="14"/>
                <w:color w:val="auto"/>
              </w:rPr>
              <w:t>Three months ended June 30,</w:t>
            </w:r>
          </w:p>
        </w:tc>
        <w:tc>
          <w:tcPr>
            <w:tcW w:w="160" w:type="dxa"/>
            <w:vAlign w:val="bottom"/>
            <w:tcBorders>
              <w:bottom w:val="single" w:sz="8" w:color="auto"/>
            </w:tcBorders>
          </w:tcPr>
          <w:p>
            <w:pPr>
              <w:spacing w:after="0"/>
              <w:rPr>
                <w:sz w:val="14"/>
                <w:szCs w:val="14"/>
                <w:color w:val="auto"/>
              </w:rPr>
            </w:pPr>
          </w:p>
        </w:tc>
        <w:tc>
          <w:tcPr>
            <w:tcW w:w="2020" w:type="dxa"/>
            <w:vAlign w:val="bottom"/>
            <w:tcBorders>
              <w:bottom w:val="single" w:sz="8" w:color="auto"/>
            </w:tcBorders>
            <w:gridSpan w:val="3"/>
          </w:tcPr>
          <w:p>
            <w:pPr>
              <w:jc w:val="right"/>
              <w:ind w:right="180"/>
              <w:spacing w:after="0"/>
              <w:rPr>
                <w:sz w:val="20"/>
                <w:szCs w:val="20"/>
                <w:color w:val="auto"/>
              </w:rPr>
            </w:pPr>
            <w:r>
              <w:rPr>
                <w:rFonts w:ascii="Arial" w:cs="Arial" w:eastAsia="Arial" w:hAnsi="Arial"/>
                <w:sz w:val="14"/>
                <w:szCs w:val="14"/>
                <w:color w:val="auto"/>
              </w:rPr>
              <w:t>Six months ended June 30,</w:t>
            </w:r>
          </w:p>
        </w:tc>
      </w:tr>
      <w:tr>
        <w:trPr>
          <w:trHeight w:val="169"/>
        </w:trPr>
        <w:tc>
          <w:tcPr>
            <w:tcW w:w="20" w:type="dxa"/>
            <w:vAlign w:val="bottom"/>
          </w:tcPr>
          <w:p>
            <w:pPr>
              <w:spacing w:after="0"/>
              <w:rPr>
                <w:sz w:val="14"/>
                <w:szCs w:val="14"/>
                <w:color w:val="auto"/>
              </w:rPr>
            </w:pPr>
          </w:p>
        </w:tc>
        <w:tc>
          <w:tcPr>
            <w:tcW w:w="3040" w:type="dxa"/>
            <w:vAlign w:val="bottom"/>
            <w:tcBorders>
              <w:bottom w:val="single" w:sz="8" w:color="auto"/>
            </w:tcBorders>
          </w:tcPr>
          <w:p>
            <w:pPr>
              <w:spacing w:after="0"/>
              <w:rPr>
                <w:sz w:val="14"/>
                <w:szCs w:val="14"/>
                <w:color w:val="auto"/>
              </w:rPr>
            </w:pPr>
          </w:p>
        </w:tc>
        <w:tc>
          <w:tcPr>
            <w:tcW w:w="3900" w:type="dxa"/>
            <w:vAlign w:val="bottom"/>
            <w:tcBorders>
              <w:bottom w:val="single" w:sz="8" w:color="auto"/>
            </w:tcBorders>
          </w:tcPr>
          <w:p>
            <w:pPr>
              <w:ind w:left="1880"/>
              <w:spacing w:after="0"/>
              <w:rPr>
                <w:sz w:val="20"/>
                <w:szCs w:val="20"/>
                <w:color w:val="auto"/>
              </w:rPr>
            </w:pPr>
            <w:r>
              <w:rPr>
                <w:rFonts w:ascii="Arial" w:cs="Arial" w:eastAsia="Arial" w:hAnsi="Arial"/>
                <w:sz w:val="14"/>
                <w:szCs w:val="14"/>
                <w:color w:val="auto"/>
              </w:rPr>
              <w:t>Location</w:t>
            </w:r>
          </w:p>
        </w:tc>
        <w:tc>
          <w:tcPr>
            <w:tcW w:w="30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381"/>
              <w:spacing w:after="0"/>
              <w:rPr>
                <w:sz w:val="20"/>
                <w:szCs w:val="20"/>
                <w:color w:val="auto"/>
              </w:rPr>
            </w:pPr>
            <w:r>
              <w:rPr>
                <w:rFonts w:ascii="Arial" w:cs="Arial" w:eastAsia="Arial" w:hAnsi="Arial"/>
                <w:sz w:val="14"/>
                <w:szCs w:val="14"/>
                <w:color w:val="auto"/>
              </w:rPr>
              <w:t>2011</w:t>
            </w:r>
          </w:p>
        </w:tc>
        <w:tc>
          <w:tcPr>
            <w:tcW w:w="2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400"/>
              <w:spacing w:after="0"/>
              <w:rPr>
                <w:sz w:val="20"/>
                <w:szCs w:val="20"/>
                <w:color w:val="auto"/>
              </w:rPr>
            </w:pPr>
            <w:r>
              <w:rPr>
                <w:rFonts w:ascii="Arial" w:cs="Arial" w:eastAsia="Arial" w:hAnsi="Arial"/>
                <w:sz w:val="14"/>
                <w:szCs w:val="14"/>
                <w:color w:val="auto"/>
              </w:rPr>
              <w:t>2010</w:t>
            </w:r>
          </w:p>
        </w:tc>
        <w:tc>
          <w:tcPr>
            <w:tcW w:w="16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401"/>
              <w:spacing w:after="0"/>
              <w:rPr>
                <w:sz w:val="20"/>
                <w:szCs w:val="20"/>
                <w:color w:val="auto"/>
              </w:rPr>
            </w:pPr>
            <w:r>
              <w:rPr>
                <w:rFonts w:ascii="Arial" w:cs="Arial" w:eastAsia="Arial" w:hAnsi="Arial"/>
                <w:sz w:val="14"/>
                <w:szCs w:val="14"/>
                <w:color w:val="auto"/>
              </w:rPr>
              <w:t>2011</w:t>
            </w:r>
          </w:p>
        </w:tc>
        <w:tc>
          <w:tcPr>
            <w:tcW w:w="26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340"/>
              <w:spacing w:after="0"/>
              <w:rPr>
                <w:sz w:val="20"/>
                <w:szCs w:val="20"/>
                <w:color w:val="auto"/>
              </w:rPr>
            </w:pPr>
            <w:r>
              <w:rPr>
                <w:rFonts w:ascii="Arial" w:cs="Arial" w:eastAsia="Arial" w:hAnsi="Arial"/>
                <w:sz w:val="14"/>
                <w:szCs w:val="14"/>
                <w:color w:val="auto"/>
              </w:rPr>
              <w:t>2010</w:t>
            </w:r>
          </w:p>
        </w:tc>
      </w:tr>
      <w:tr>
        <w:trPr>
          <w:trHeight w:val="164"/>
        </w:trPr>
        <w:tc>
          <w:tcPr>
            <w:tcW w:w="20" w:type="dxa"/>
            <w:vAlign w:val="bottom"/>
          </w:tcPr>
          <w:p>
            <w:pPr>
              <w:spacing w:after="0"/>
              <w:rPr>
                <w:sz w:val="14"/>
                <w:szCs w:val="14"/>
                <w:color w:val="auto"/>
              </w:rPr>
            </w:pPr>
          </w:p>
        </w:tc>
        <w:tc>
          <w:tcPr>
            <w:tcW w:w="3040" w:type="dxa"/>
            <w:vAlign w:val="bottom"/>
          </w:tcPr>
          <w:p>
            <w:pPr>
              <w:spacing w:after="0" w:line="164" w:lineRule="exact"/>
              <w:rPr>
                <w:sz w:val="20"/>
                <w:szCs w:val="20"/>
                <w:color w:val="auto"/>
              </w:rPr>
            </w:pPr>
            <w:r>
              <w:rPr>
                <w:rFonts w:ascii="Arial" w:cs="Arial" w:eastAsia="Arial" w:hAnsi="Arial"/>
                <w:sz w:val="16"/>
                <w:szCs w:val="16"/>
                <w:b w:val="1"/>
                <w:bCs w:val="1"/>
                <w:color w:val="auto"/>
              </w:rPr>
              <w:t>Sempra Energy Consolidated:</w:t>
            </w:r>
          </w:p>
        </w:tc>
        <w:tc>
          <w:tcPr>
            <w:tcW w:w="39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76"/>
        </w:trPr>
        <w:tc>
          <w:tcPr>
            <w:tcW w:w="20" w:type="dxa"/>
            <w:vAlign w:val="bottom"/>
          </w:tcPr>
          <w:p>
            <w:pPr>
              <w:spacing w:after="0"/>
              <w:rPr>
                <w:sz w:val="15"/>
                <w:szCs w:val="15"/>
                <w:color w:val="auto"/>
              </w:rPr>
            </w:pPr>
          </w:p>
        </w:tc>
        <w:tc>
          <w:tcPr>
            <w:tcW w:w="3040" w:type="dxa"/>
            <w:vAlign w:val="bottom"/>
          </w:tcPr>
          <w:p>
            <w:pPr>
              <w:ind w:left="160"/>
              <w:spacing w:after="0" w:line="176" w:lineRule="exact"/>
              <w:rPr>
                <w:sz w:val="20"/>
                <w:szCs w:val="20"/>
                <w:color w:val="auto"/>
              </w:rPr>
            </w:pPr>
            <w:r>
              <w:rPr>
                <w:rFonts w:ascii="Arial" w:cs="Arial" w:eastAsia="Arial" w:hAnsi="Arial"/>
                <w:sz w:val="16"/>
                <w:szCs w:val="16"/>
                <w:color w:val="auto"/>
              </w:rPr>
              <w:t>Interest rate and foreign exchange</w:t>
            </w:r>
          </w:p>
        </w:tc>
        <w:tc>
          <w:tcPr>
            <w:tcW w:w="39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176"/>
        </w:trPr>
        <w:tc>
          <w:tcPr>
            <w:tcW w:w="20" w:type="dxa"/>
            <w:vAlign w:val="bottom"/>
          </w:tcPr>
          <w:p>
            <w:pPr>
              <w:spacing w:after="0"/>
              <w:rPr>
                <w:sz w:val="15"/>
                <w:szCs w:val="15"/>
                <w:color w:val="auto"/>
              </w:rPr>
            </w:pPr>
          </w:p>
        </w:tc>
        <w:tc>
          <w:tcPr>
            <w:tcW w:w="3040" w:type="dxa"/>
            <w:vAlign w:val="bottom"/>
          </w:tcPr>
          <w:p>
            <w:pPr>
              <w:jc w:val="center"/>
              <w:ind w:right="1139"/>
              <w:spacing w:after="0" w:line="176" w:lineRule="exact"/>
              <w:rPr>
                <w:sz w:val="20"/>
                <w:szCs w:val="20"/>
                <w:color w:val="auto"/>
              </w:rPr>
            </w:pPr>
            <w:r>
              <w:rPr>
                <w:rFonts w:ascii="Arial" w:cs="Arial" w:eastAsia="Arial" w:hAnsi="Arial"/>
                <w:sz w:val="16"/>
                <w:szCs w:val="16"/>
                <w:color w:val="auto"/>
                <w:w w:val="99"/>
              </w:rPr>
              <w:t>instruments(1)</w:t>
            </w:r>
          </w:p>
        </w:tc>
        <w:tc>
          <w:tcPr>
            <w:tcW w:w="3900" w:type="dxa"/>
            <w:vAlign w:val="bottom"/>
          </w:tcPr>
          <w:p>
            <w:pPr>
              <w:ind w:left="420"/>
              <w:spacing w:after="0" w:line="176" w:lineRule="exact"/>
              <w:rPr>
                <w:sz w:val="20"/>
                <w:szCs w:val="20"/>
                <w:color w:val="auto"/>
              </w:rPr>
            </w:pPr>
            <w:r>
              <w:rPr>
                <w:rFonts w:ascii="Arial" w:cs="Arial" w:eastAsia="Arial" w:hAnsi="Arial"/>
                <w:sz w:val="16"/>
                <w:szCs w:val="16"/>
                <w:color w:val="auto"/>
              </w:rPr>
              <w:t>Other Income, Net</w:t>
            </w:r>
          </w:p>
        </w:tc>
        <w:tc>
          <w:tcPr>
            <w:tcW w:w="300" w:type="dxa"/>
            <w:vAlign w:val="bottom"/>
          </w:tcPr>
          <w:p>
            <w:pPr>
              <w:ind w:left="140"/>
              <w:spacing w:after="0" w:line="176" w:lineRule="exact"/>
              <w:rPr>
                <w:sz w:val="20"/>
                <w:szCs w:val="20"/>
                <w:color w:val="auto"/>
              </w:rPr>
            </w:pPr>
            <w:r>
              <w:rPr>
                <w:rFonts w:ascii="Arial" w:cs="Arial" w:eastAsia="Arial" w:hAnsi="Arial"/>
                <w:sz w:val="16"/>
                <w:szCs w:val="16"/>
                <w:color w:val="auto"/>
              </w:rPr>
              <w:t>$</w:t>
            </w:r>
          </w:p>
        </w:tc>
        <w:tc>
          <w:tcPr>
            <w:tcW w:w="860" w:type="dxa"/>
            <w:vAlign w:val="bottom"/>
          </w:tcPr>
          <w:p>
            <w:pPr>
              <w:jc w:val="right"/>
              <w:ind w:right="21"/>
              <w:spacing w:after="0" w:line="176" w:lineRule="exact"/>
              <w:rPr>
                <w:sz w:val="20"/>
                <w:szCs w:val="20"/>
                <w:color w:val="auto"/>
              </w:rPr>
            </w:pPr>
            <w:r>
              <w:rPr>
                <w:rFonts w:ascii="Arial" w:cs="Arial" w:eastAsia="Arial" w:hAnsi="Arial"/>
                <w:sz w:val="16"/>
                <w:szCs w:val="16"/>
                <w:color w:val="auto"/>
              </w:rPr>
              <w:t>2</w:t>
            </w:r>
          </w:p>
        </w:tc>
        <w:tc>
          <w:tcPr>
            <w:tcW w:w="240" w:type="dxa"/>
            <w:vAlign w:val="bottom"/>
          </w:tcPr>
          <w:p>
            <w:pPr>
              <w:jc w:val="right"/>
              <w:spacing w:after="0" w:line="176" w:lineRule="exact"/>
              <w:rPr>
                <w:sz w:val="20"/>
                <w:szCs w:val="20"/>
                <w:color w:val="auto"/>
              </w:rPr>
            </w:pPr>
            <w:r>
              <w:rPr>
                <w:rFonts w:ascii="Arial" w:cs="Arial" w:eastAsia="Arial" w:hAnsi="Arial"/>
                <w:sz w:val="16"/>
                <w:szCs w:val="16"/>
                <w:color w:val="auto"/>
              </w:rPr>
              <w:t>$</w:t>
            </w:r>
          </w:p>
        </w:tc>
        <w:tc>
          <w:tcPr>
            <w:tcW w:w="880" w:type="dxa"/>
            <w:vAlign w:val="bottom"/>
          </w:tcPr>
          <w:p>
            <w:pPr>
              <w:jc w:val="right"/>
              <w:spacing w:after="0" w:line="176" w:lineRule="exact"/>
              <w:rPr>
                <w:sz w:val="20"/>
                <w:szCs w:val="20"/>
                <w:color w:val="auto"/>
              </w:rPr>
            </w:pPr>
            <w:r>
              <w:rPr>
                <w:rFonts w:ascii="Arial" w:cs="Arial" w:eastAsia="Arial" w:hAnsi="Arial"/>
                <w:sz w:val="16"/>
                <w:szCs w:val="16"/>
                <w:color w:val="auto"/>
              </w:rPr>
              <w:t>(24)</w:t>
            </w:r>
          </w:p>
        </w:tc>
        <w:tc>
          <w:tcPr>
            <w:tcW w:w="160" w:type="dxa"/>
            <w:vAlign w:val="bottom"/>
          </w:tcPr>
          <w:p>
            <w:pPr>
              <w:jc w:val="right"/>
              <w:spacing w:after="0" w:line="176" w:lineRule="exact"/>
              <w:rPr>
                <w:sz w:val="20"/>
                <w:szCs w:val="20"/>
                <w:color w:val="auto"/>
              </w:rPr>
            </w:pPr>
            <w:r>
              <w:rPr>
                <w:rFonts w:ascii="Arial" w:cs="Arial" w:eastAsia="Arial" w:hAnsi="Arial"/>
                <w:sz w:val="16"/>
                <w:szCs w:val="16"/>
                <w:color w:val="auto"/>
              </w:rPr>
              <w:t>$</w:t>
            </w:r>
          </w:p>
        </w:tc>
        <w:tc>
          <w:tcPr>
            <w:tcW w:w="940" w:type="dxa"/>
            <w:vAlign w:val="bottom"/>
          </w:tcPr>
          <w:p>
            <w:pPr>
              <w:jc w:val="right"/>
              <w:ind w:right="21"/>
              <w:spacing w:after="0" w:line="176" w:lineRule="exact"/>
              <w:rPr>
                <w:sz w:val="20"/>
                <w:szCs w:val="20"/>
                <w:color w:val="auto"/>
              </w:rPr>
            </w:pPr>
            <w:r>
              <w:rPr>
                <w:rFonts w:ascii="Arial" w:cs="Arial" w:eastAsia="Arial" w:hAnsi="Arial"/>
                <w:sz w:val="16"/>
                <w:szCs w:val="16"/>
                <w:color w:val="auto"/>
              </w:rPr>
              <w:t>12</w:t>
            </w:r>
          </w:p>
        </w:tc>
        <w:tc>
          <w:tcPr>
            <w:tcW w:w="260" w:type="dxa"/>
            <w:vAlign w:val="bottom"/>
          </w:tcPr>
          <w:p>
            <w:pPr>
              <w:jc w:val="right"/>
              <w:spacing w:after="0" w:line="176" w:lineRule="exact"/>
              <w:rPr>
                <w:sz w:val="20"/>
                <w:szCs w:val="20"/>
                <w:color w:val="auto"/>
              </w:rPr>
            </w:pPr>
            <w:r>
              <w:rPr>
                <w:rFonts w:ascii="Arial" w:cs="Arial" w:eastAsia="Arial" w:hAnsi="Arial"/>
                <w:sz w:val="16"/>
                <w:szCs w:val="16"/>
                <w:color w:val="auto"/>
              </w:rPr>
              <w:t>$</w:t>
            </w:r>
          </w:p>
        </w:tc>
        <w:tc>
          <w:tcPr>
            <w:tcW w:w="820" w:type="dxa"/>
            <w:vAlign w:val="bottom"/>
          </w:tcPr>
          <w:p>
            <w:pPr>
              <w:jc w:val="right"/>
              <w:spacing w:after="0" w:line="176" w:lineRule="exact"/>
              <w:rPr>
                <w:sz w:val="20"/>
                <w:szCs w:val="20"/>
                <w:color w:val="auto"/>
              </w:rPr>
            </w:pPr>
            <w:r>
              <w:rPr>
                <w:rFonts w:ascii="Arial" w:cs="Arial" w:eastAsia="Arial" w:hAnsi="Arial"/>
                <w:sz w:val="16"/>
                <w:szCs w:val="16"/>
                <w:color w:val="auto"/>
              </w:rPr>
              <w:t>(33)</w:t>
            </w:r>
          </w:p>
        </w:tc>
      </w:tr>
      <w:tr>
        <w:trPr>
          <w:trHeight w:val="176"/>
        </w:trPr>
        <w:tc>
          <w:tcPr>
            <w:tcW w:w="20" w:type="dxa"/>
            <w:vAlign w:val="bottom"/>
          </w:tcPr>
          <w:p>
            <w:pPr>
              <w:spacing w:after="0"/>
              <w:rPr>
                <w:sz w:val="15"/>
                <w:szCs w:val="15"/>
                <w:color w:val="auto"/>
              </w:rPr>
            </w:pPr>
          </w:p>
        </w:tc>
        <w:tc>
          <w:tcPr>
            <w:tcW w:w="3040" w:type="dxa"/>
            <w:vAlign w:val="bottom"/>
          </w:tcPr>
          <w:p>
            <w:pPr>
              <w:ind w:left="160"/>
              <w:spacing w:after="0" w:line="176" w:lineRule="exact"/>
              <w:rPr>
                <w:sz w:val="20"/>
                <w:szCs w:val="20"/>
                <w:color w:val="auto"/>
              </w:rPr>
            </w:pPr>
            <w:r>
              <w:rPr>
                <w:rFonts w:ascii="Arial" w:cs="Arial" w:eastAsia="Arial" w:hAnsi="Arial"/>
                <w:sz w:val="16"/>
                <w:szCs w:val="16"/>
                <w:color w:val="auto"/>
              </w:rPr>
              <w:t>Commodity contracts not subject</w:t>
            </w:r>
          </w:p>
        </w:tc>
        <w:tc>
          <w:tcPr>
            <w:tcW w:w="3900" w:type="dxa"/>
            <w:vAlign w:val="bottom"/>
          </w:tcPr>
          <w:p>
            <w:pPr>
              <w:ind w:left="420"/>
              <w:spacing w:after="0" w:line="176" w:lineRule="exact"/>
              <w:rPr>
                <w:sz w:val="20"/>
                <w:szCs w:val="20"/>
                <w:color w:val="auto"/>
              </w:rPr>
            </w:pPr>
            <w:r>
              <w:rPr>
                <w:rFonts w:ascii="Arial" w:cs="Arial" w:eastAsia="Arial" w:hAnsi="Arial"/>
                <w:sz w:val="16"/>
                <w:szCs w:val="16"/>
                <w:color w:val="auto"/>
              </w:rPr>
              <w:t>Revenues: Energy-Related</w:t>
            </w:r>
          </w:p>
        </w:tc>
        <w:tc>
          <w:tcPr>
            <w:tcW w:w="3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176"/>
        </w:trPr>
        <w:tc>
          <w:tcPr>
            <w:tcW w:w="20" w:type="dxa"/>
            <w:vAlign w:val="bottom"/>
          </w:tcPr>
          <w:p>
            <w:pPr>
              <w:spacing w:after="0"/>
              <w:rPr>
                <w:sz w:val="15"/>
                <w:szCs w:val="15"/>
                <w:color w:val="auto"/>
              </w:rPr>
            </w:pPr>
          </w:p>
        </w:tc>
        <w:tc>
          <w:tcPr>
            <w:tcW w:w="3040" w:type="dxa"/>
            <w:vAlign w:val="bottom"/>
          </w:tcPr>
          <w:p>
            <w:pPr>
              <w:jc w:val="center"/>
              <w:ind w:right="1139"/>
              <w:spacing w:after="0" w:line="176" w:lineRule="exact"/>
              <w:rPr>
                <w:sz w:val="20"/>
                <w:szCs w:val="20"/>
                <w:color w:val="auto"/>
              </w:rPr>
            </w:pPr>
            <w:r>
              <w:rPr>
                <w:rFonts w:ascii="Arial" w:cs="Arial" w:eastAsia="Arial" w:hAnsi="Arial"/>
                <w:sz w:val="16"/>
                <w:szCs w:val="16"/>
                <w:color w:val="auto"/>
              </w:rPr>
              <w:t>to rate recovery</w:t>
            </w:r>
          </w:p>
        </w:tc>
        <w:tc>
          <w:tcPr>
            <w:tcW w:w="3900" w:type="dxa"/>
            <w:vAlign w:val="bottom"/>
          </w:tcPr>
          <w:p>
            <w:pPr>
              <w:ind w:left="600"/>
              <w:spacing w:after="0" w:line="176" w:lineRule="exact"/>
              <w:rPr>
                <w:sz w:val="20"/>
                <w:szCs w:val="20"/>
                <w:color w:val="auto"/>
              </w:rPr>
            </w:pPr>
            <w:r>
              <w:rPr>
                <w:rFonts w:ascii="Arial" w:cs="Arial" w:eastAsia="Arial" w:hAnsi="Arial"/>
                <w:sz w:val="16"/>
                <w:szCs w:val="16"/>
                <w:color w:val="auto"/>
              </w:rPr>
              <w:t>Businesses</w:t>
            </w:r>
          </w:p>
        </w:tc>
        <w:tc>
          <w:tcPr>
            <w:tcW w:w="300" w:type="dxa"/>
            <w:vAlign w:val="bottom"/>
          </w:tcPr>
          <w:p>
            <w:pPr>
              <w:spacing w:after="0"/>
              <w:rPr>
                <w:sz w:val="15"/>
                <w:szCs w:val="15"/>
                <w:color w:val="auto"/>
              </w:rPr>
            </w:pPr>
          </w:p>
        </w:tc>
        <w:tc>
          <w:tcPr>
            <w:tcW w:w="860" w:type="dxa"/>
            <w:vAlign w:val="bottom"/>
          </w:tcPr>
          <w:p>
            <w:pPr>
              <w:jc w:val="right"/>
              <w:ind w:right="21"/>
              <w:spacing w:after="0" w:line="176" w:lineRule="exact"/>
              <w:rPr>
                <w:sz w:val="20"/>
                <w:szCs w:val="20"/>
                <w:color w:val="auto"/>
              </w:rPr>
            </w:pPr>
            <w:r>
              <w:rPr>
                <w:rFonts w:ascii="Arial" w:cs="Arial" w:eastAsia="Arial" w:hAnsi="Arial"/>
                <w:sz w:val="16"/>
                <w:szCs w:val="16"/>
                <w:color w:val="auto"/>
              </w:rPr>
              <w:t>8</w:t>
            </w:r>
          </w:p>
        </w:tc>
        <w:tc>
          <w:tcPr>
            <w:tcW w:w="240" w:type="dxa"/>
            <w:vAlign w:val="bottom"/>
          </w:tcPr>
          <w:p>
            <w:pPr>
              <w:spacing w:after="0"/>
              <w:rPr>
                <w:sz w:val="15"/>
                <w:szCs w:val="15"/>
                <w:color w:val="auto"/>
              </w:rPr>
            </w:pPr>
          </w:p>
        </w:tc>
        <w:tc>
          <w:tcPr>
            <w:tcW w:w="880" w:type="dxa"/>
            <w:vAlign w:val="bottom"/>
          </w:tcPr>
          <w:p>
            <w:pPr>
              <w:jc w:val="right"/>
              <w:ind w:right="40"/>
              <w:spacing w:after="0" w:line="176" w:lineRule="exact"/>
              <w:rPr>
                <w:sz w:val="20"/>
                <w:szCs w:val="20"/>
                <w:color w:val="auto"/>
              </w:rPr>
            </w:pPr>
            <w:r>
              <w:rPr>
                <w:rFonts w:ascii="Arial" w:cs="Arial" w:eastAsia="Arial" w:hAnsi="Arial"/>
                <w:sz w:val="16"/>
                <w:szCs w:val="16"/>
                <w:color w:val="auto"/>
              </w:rPr>
              <w:t>15</w:t>
            </w:r>
          </w:p>
        </w:tc>
        <w:tc>
          <w:tcPr>
            <w:tcW w:w="160" w:type="dxa"/>
            <w:vAlign w:val="bottom"/>
          </w:tcPr>
          <w:p>
            <w:pPr>
              <w:spacing w:after="0"/>
              <w:rPr>
                <w:sz w:val="15"/>
                <w:szCs w:val="15"/>
                <w:color w:val="auto"/>
              </w:rPr>
            </w:pPr>
          </w:p>
        </w:tc>
        <w:tc>
          <w:tcPr>
            <w:tcW w:w="940" w:type="dxa"/>
            <w:vAlign w:val="bottom"/>
          </w:tcPr>
          <w:p>
            <w:pPr>
              <w:jc w:val="right"/>
              <w:ind w:right="21"/>
              <w:spacing w:after="0" w:line="176" w:lineRule="exact"/>
              <w:rPr>
                <w:sz w:val="20"/>
                <w:szCs w:val="20"/>
                <w:color w:val="auto"/>
              </w:rPr>
            </w:pPr>
            <w:r>
              <w:rPr>
                <w:rFonts w:ascii="Arial" w:cs="Arial" w:eastAsia="Arial" w:hAnsi="Arial"/>
                <w:sz w:val="16"/>
                <w:szCs w:val="16"/>
                <w:color w:val="auto"/>
              </w:rPr>
              <w:t>14</w:t>
            </w:r>
          </w:p>
        </w:tc>
        <w:tc>
          <w:tcPr>
            <w:tcW w:w="260" w:type="dxa"/>
            <w:vAlign w:val="bottom"/>
          </w:tcPr>
          <w:p>
            <w:pPr>
              <w:spacing w:after="0"/>
              <w:rPr>
                <w:sz w:val="15"/>
                <w:szCs w:val="15"/>
                <w:color w:val="auto"/>
              </w:rPr>
            </w:pPr>
          </w:p>
        </w:tc>
        <w:tc>
          <w:tcPr>
            <w:tcW w:w="820" w:type="dxa"/>
            <w:vAlign w:val="bottom"/>
          </w:tcPr>
          <w:p>
            <w:pPr>
              <w:jc w:val="right"/>
              <w:spacing w:after="0" w:line="176" w:lineRule="exact"/>
              <w:rPr>
                <w:sz w:val="20"/>
                <w:szCs w:val="20"/>
                <w:color w:val="auto"/>
              </w:rPr>
            </w:pPr>
            <w:r>
              <w:rPr>
                <w:rFonts w:ascii="Arial" w:cs="Arial" w:eastAsia="Arial" w:hAnsi="Arial"/>
                <w:sz w:val="16"/>
                <w:szCs w:val="16"/>
                <w:color w:val="auto"/>
              </w:rPr>
              <w:t>30</w:t>
            </w:r>
          </w:p>
        </w:tc>
      </w:tr>
      <w:tr>
        <w:trPr>
          <w:trHeight w:val="176"/>
        </w:trPr>
        <w:tc>
          <w:tcPr>
            <w:tcW w:w="20" w:type="dxa"/>
            <w:vAlign w:val="bottom"/>
          </w:tcPr>
          <w:p>
            <w:pPr>
              <w:spacing w:after="0"/>
              <w:rPr>
                <w:sz w:val="15"/>
                <w:szCs w:val="15"/>
                <w:color w:val="auto"/>
              </w:rPr>
            </w:pPr>
          </w:p>
        </w:tc>
        <w:tc>
          <w:tcPr>
            <w:tcW w:w="3040" w:type="dxa"/>
            <w:vAlign w:val="bottom"/>
          </w:tcPr>
          <w:p>
            <w:pPr>
              <w:ind w:left="160"/>
              <w:spacing w:after="0" w:line="176" w:lineRule="exact"/>
              <w:rPr>
                <w:sz w:val="20"/>
                <w:szCs w:val="20"/>
                <w:color w:val="auto"/>
              </w:rPr>
            </w:pPr>
            <w:r>
              <w:rPr>
                <w:rFonts w:ascii="Arial" w:cs="Arial" w:eastAsia="Arial" w:hAnsi="Arial"/>
                <w:sz w:val="16"/>
                <w:szCs w:val="16"/>
                <w:color w:val="auto"/>
              </w:rPr>
              <w:t>Commodity contracts not subject</w:t>
            </w:r>
          </w:p>
        </w:tc>
        <w:tc>
          <w:tcPr>
            <w:tcW w:w="3900" w:type="dxa"/>
            <w:vAlign w:val="bottom"/>
          </w:tcPr>
          <w:p>
            <w:pPr>
              <w:ind w:left="420"/>
              <w:spacing w:after="0" w:line="176" w:lineRule="exact"/>
              <w:rPr>
                <w:sz w:val="20"/>
                <w:szCs w:val="20"/>
                <w:color w:val="auto"/>
              </w:rPr>
            </w:pPr>
            <w:r>
              <w:rPr>
                <w:rFonts w:ascii="Arial" w:cs="Arial" w:eastAsia="Arial" w:hAnsi="Arial"/>
                <w:sz w:val="16"/>
                <w:szCs w:val="16"/>
                <w:color w:val="auto"/>
              </w:rPr>
              <w:t>Cost of Natural Gas, Electric</w:t>
            </w:r>
          </w:p>
        </w:tc>
        <w:tc>
          <w:tcPr>
            <w:tcW w:w="3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176"/>
        </w:trPr>
        <w:tc>
          <w:tcPr>
            <w:tcW w:w="20" w:type="dxa"/>
            <w:vAlign w:val="bottom"/>
          </w:tcPr>
          <w:p>
            <w:pPr>
              <w:spacing w:after="0"/>
              <w:rPr>
                <w:sz w:val="15"/>
                <w:szCs w:val="15"/>
                <w:color w:val="auto"/>
              </w:rPr>
            </w:pPr>
          </w:p>
        </w:tc>
        <w:tc>
          <w:tcPr>
            <w:tcW w:w="3040" w:type="dxa"/>
            <w:vAlign w:val="bottom"/>
          </w:tcPr>
          <w:p>
            <w:pPr>
              <w:jc w:val="center"/>
              <w:ind w:right="1139"/>
              <w:spacing w:after="0" w:line="176" w:lineRule="exact"/>
              <w:rPr>
                <w:sz w:val="20"/>
                <w:szCs w:val="20"/>
                <w:color w:val="auto"/>
              </w:rPr>
            </w:pPr>
            <w:r>
              <w:rPr>
                <w:rFonts w:ascii="Arial" w:cs="Arial" w:eastAsia="Arial" w:hAnsi="Arial"/>
                <w:sz w:val="16"/>
                <w:szCs w:val="16"/>
                <w:color w:val="auto"/>
              </w:rPr>
              <w:t>to rate recovery</w:t>
            </w:r>
          </w:p>
        </w:tc>
        <w:tc>
          <w:tcPr>
            <w:tcW w:w="3900" w:type="dxa"/>
            <w:vAlign w:val="bottom"/>
          </w:tcPr>
          <w:p>
            <w:pPr>
              <w:ind w:left="600"/>
              <w:spacing w:after="0" w:line="176" w:lineRule="exact"/>
              <w:rPr>
                <w:sz w:val="20"/>
                <w:szCs w:val="20"/>
                <w:color w:val="auto"/>
              </w:rPr>
            </w:pPr>
            <w:r>
              <w:rPr>
                <w:rFonts w:ascii="Arial" w:cs="Arial" w:eastAsia="Arial" w:hAnsi="Arial"/>
                <w:sz w:val="16"/>
                <w:szCs w:val="16"/>
                <w:color w:val="auto"/>
              </w:rPr>
              <w:t>Fuel and Purchased Power</w:t>
            </w:r>
          </w:p>
        </w:tc>
        <w:tc>
          <w:tcPr>
            <w:tcW w:w="300" w:type="dxa"/>
            <w:vAlign w:val="bottom"/>
          </w:tcPr>
          <w:p>
            <w:pPr>
              <w:spacing w:after="0"/>
              <w:rPr>
                <w:sz w:val="15"/>
                <w:szCs w:val="15"/>
                <w:color w:val="auto"/>
              </w:rPr>
            </w:pPr>
          </w:p>
        </w:tc>
        <w:tc>
          <w:tcPr>
            <w:tcW w:w="860" w:type="dxa"/>
            <w:vAlign w:val="bottom"/>
          </w:tcPr>
          <w:p>
            <w:pPr>
              <w:jc w:val="right"/>
              <w:ind w:right="21"/>
              <w:spacing w:after="0" w:line="176" w:lineRule="exact"/>
              <w:rPr>
                <w:sz w:val="20"/>
                <w:szCs w:val="20"/>
                <w:color w:val="auto"/>
              </w:rPr>
            </w:pPr>
            <w:r>
              <w:rPr>
                <w:rFonts w:ascii="Arial" w:cs="Arial" w:eastAsia="Arial" w:hAnsi="Arial"/>
                <w:sz w:val="16"/>
                <w:szCs w:val="16"/>
                <w:color w:val="auto"/>
              </w:rPr>
              <w:t>―</w:t>
            </w:r>
          </w:p>
        </w:tc>
        <w:tc>
          <w:tcPr>
            <w:tcW w:w="240" w:type="dxa"/>
            <w:vAlign w:val="bottom"/>
          </w:tcPr>
          <w:p>
            <w:pPr>
              <w:spacing w:after="0"/>
              <w:rPr>
                <w:sz w:val="15"/>
                <w:szCs w:val="15"/>
                <w:color w:val="auto"/>
              </w:rPr>
            </w:pPr>
          </w:p>
        </w:tc>
        <w:tc>
          <w:tcPr>
            <w:tcW w:w="880" w:type="dxa"/>
            <w:vAlign w:val="bottom"/>
          </w:tcPr>
          <w:p>
            <w:pPr>
              <w:jc w:val="right"/>
              <w:spacing w:after="0" w:line="176" w:lineRule="exact"/>
              <w:rPr>
                <w:sz w:val="20"/>
                <w:szCs w:val="20"/>
                <w:color w:val="auto"/>
              </w:rPr>
            </w:pPr>
            <w:r>
              <w:rPr>
                <w:rFonts w:ascii="Arial" w:cs="Arial" w:eastAsia="Arial" w:hAnsi="Arial"/>
                <w:sz w:val="16"/>
                <w:szCs w:val="16"/>
                <w:color w:val="auto"/>
              </w:rPr>
              <w:t>(9)</w:t>
            </w:r>
          </w:p>
        </w:tc>
        <w:tc>
          <w:tcPr>
            <w:tcW w:w="160" w:type="dxa"/>
            <w:vAlign w:val="bottom"/>
          </w:tcPr>
          <w:p>
            <w:pPr>
              <w:spacing w:after="0"/>
              <w:rPr>
                <w:sz w:val="15"/>
                <w:szCs w:val="15"/>
                <w:color w:val="auto"/>
              </w:rPr>
            </w:pPr>
          </w:p>
        </w:tc>
        <w:tc>
          <w:tcPr>
            <w:tcW w:w="940" w:type="dxa"/>
            <w:vAlign w:val="bottom"/>
          </w:tcPr>
          <w:p>
            <w:pPr>
              <w:jc w:val="right"/>
              <w:ind w:right="21"/>
              <w:spacing w:after="0" w:line="176" w:lineRule="exact"/>
              <w:rPr>
                <w:sz w:val="20"/>
                <w:szCs w:val="20"/>
                <w:color w:val="auto"/>
              </w:rPr>
            </w:pPr>
            <w:r>
              <w:rPr>
                <w:rFonts w:ascii="Arial" w:cs="Arial" w:eastAsia="Arial" w:hAnsi="Arial"/>
                <w:sz w:val="16"/>
                <w:szCs w:val="16"/>
                <w:color w:val="auto"/>
              </w:rPr>
              <w:t>1</w:t>
            </w:r>
          </w:p>
        </w:tc>
        <w:tc>
          <w:tcPr>
            <w:tcW w:w="260" w:type="dxa"/>
            <w:vAlign w:val="bottom"/>
          </w:tcPr>
          <w:p>
            <w:pPr>
              <w:spacing w:after="0"/>
              <w:rPr>
                <w:sz w:val="15"/>
                <w:szCs w:val="15"/>
                <w:color w:val="auto"/>
              </w:rPr>
            </w:pPr>
          </w:p>
        </w:tc>
        <w:tc>
          <w:tcPr>
            <w:tcW w:w="820" w:type="dxa"/>
            <w:vAlign w:val="bottom"/>
          </w:tcPr>
          <w:p>
            <w:pPr>
              <w:jc w:val="right"/>
              <w:spacing w:after="0" w:line="176" w:lineRule="exact"/>
              <w:rPr>
                <w:sz w:val="20"/>
                <w:szCs w:val="20"/>
                <w:color w:val="auto"/>
              </w:rPr>
            </w:pPr>
            <w:r>
              <w:rPr>
                <w:rFonts w:ascii="Arial" w:cs="Arial" w:eastAsia="Arial" w:hAnsi="Arial"/>
                <w:sz w:val="16"/>
                <w:szCs w:val="16"/>
                <w:color w:val="auto"/>
              </w:rPr>
              <w:t>(15)</w:t>
            </w:r>
          </w:p>
        </w:tc>
      </w:tr>
      <w:tr>
        <w:trPr>
          <w:trHeight w:val="176"/>
        </w:trPr>
        <w:tc>
          <w:tcPr>
            <w:tcW w:w="20" w:type="dxa"/>
            <w:vAlign w:val="bottom"/>
          </w:tcPr>
          <w:p>
            <w:pPr>
              <w:spacing w:after="0"/>
              <w:rPr>
                <w:sz w:val="15"/>
                <w:szCs w:val="15"/>
                <w:color w:val="auto"/>
              </w:rPr>
            </w:pPr>
          </w:p>
        </w:tc>
        <w:tc>
          <w:tcPr>
            <w:tcW w:w="3040" w:type="dxa"/>
            <w:vAlign w:val="bottom"/>
          </w:tcPr>
          <w:p>
            <w:pPr>
              <w:ind w:left="160"/>
              <w:spacing w:after="0" w:line="176" w:lineRule="exact"/>
              <w:rPr>
                <w:sz w:val="20"/>
                <w:szCs w:val="20"/>
                <w:color w:val="auto"/>
              </w:rPr>
            </w:pPr>
            <w:r>
              <w:rPr>
                <w:rFonts w:ascii="Arial" w:cs="Arial" w:eastAsia="Arial" w:hAnsi="Arial"/>
                <w:sz w:val="16"/>
                <w:szCs w:val="16"/>
                <w:color w:val="auto"/>
              </w:rPr>
              <w:t>Commodity contracts not subject</w:t>
            </w:r>
          </w:p>
        </w:tc>
        <w:tc>
          <w:tcPr>
            <w:tcW w:w="39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176"/>
        </w:trPr>
        <w:tc>
          <w:tcPr>
            <w:tcW w:w="20" w:type="dxa"/>
            <w:vAlign w:val="bottom"/>
          </w:tcPr>
          <w:p>
            <w:pPr>
              <w:spacing w:after="0"/>
              <w:rPr>
                <w:sz w:val="15"/>
                <w:szCs w:val="15"/>
                <w:color w:val="auto"/>
              </w:rPr>
            </w:pPr>
          </w:p>
        </w:tc>
        <w:tc>
          <w:tcPr>
            <w:tcW w:w="3040" w:type="dxa"/>
            <w:vAlign w:val="bottom"/>
          </w:tcPr>
          <w:p>
            <w:pPr>
              <w:jc w:val="center"/>
              <w:ind w:right="1139"/>
              <w:spacing w:after="0" w:line="176" w:lineRule="exact"/>
              <w:rPr>
                <w:sz w:val="20"/>
                <w:szCs w:val="20"/>
                <w:color w:val="auto"/>
              </w:rPr>
            </w:pPr>
            <w:r>
              <w:rPr>
                <w:rFonts w:ascii="Arial" w:cs="Arial" w:eastAsia="Arial" w:hAnsi="Arial"/>
                <w:sz w:val="16"/>
                <w:szCs w:val="16"/>
                <w:color w:val="auto"/>
              </w:rPr>
              <w:t>to rate recovery</w:t>
            </w:r>
          </w:p>
        </w:tc>
        <w:tc>
          <w:tcPr>
            <w:tcW w:w="3900" w:type="dxa"/>
            <w:vAlign w:val="bottom"/>
          </w:tcPr>
          <w:p>
            <w:pPr>
              <w:ind w:left="420"/>
              <w:spacing w:after="0" w:line="176" w:lineRule="exact"/>
              <w:rPr>
                <w:sz w:val="20"/>
                <w:szCs w:val="20"/>
                <w:color w:val="auto"/>
              </w:rPr>
            </w:pPr>
            <w:r>
              <w:rPr>
                <w:rFonts w:ascii="Arial" w:cs="Arial" w:eastAsia="Arial" w:hAnsi="Arial"/>
                <w:sz w:val="16"/>
                <w:szCs w:val="16"/>
                <w:color w:val="auto"/>
              </w:rPr>
              <w:t>Other Operation and Maintenance</w:t>
            </w:r>
          </w:p>
        </w:tc>
        <w:tc>
          <w:tcPr>
            <w:tcW w:w="300" w:type="dxa"/>
            <w:vAlign w:val="bottom"/>
          </w:tcPr>
          <w:p>
            <w:pPr>
              <w:spacing w:after="0"/>
              <w:rPr>
                <w:sz w:val="15"/>
                <w:szCs w:val="15"/>
                <w:color w:val="auto"/>
              </w:rPr>
            </w:pPr>
          </w:p>
        </w:tc>
        <w:tc>
          <w:tcPr>
            <w:tcW w:w="860" w:type="dxa"/>
            <w:vAlign w:val="bottom"/>
          </w:tcPr>
          <w:p>
            <w:pPr>
              <w:jc w:val="right"/>
              <w:spacing w:after="0" w:line="176" w:lineRule="exact"/>
              <w:rPr>
                <w:sz w:val="20"/>
                <w:szCs w:val="20"/>
                <w:color w:val="auto"/>
              </w:rPr>
            </w:pPr>
            <w:r>
              <w:rPr>
                <w:rFonts w:ascii="Arial" w:cs="Arial" w:eastAsia="Arial" w:hAnsi="Arial"/>
                <w:sz w:val="16"/>
                <w:szCs w:val="16"/>
                <w:color w:val="auto"/>
              </w:rPr>
              <w:t>(1)</w:t>
            </w:r>
          </w:p>
        </w:tc>
        <w:tc>
          <w:tcPr>
            <w:tcW w:w="240" w:type="dxa"/>
            <w:vAlign w:val="bottom"/>
          </w:tcPr>
          <w:p>
            <w:pPr>
              <w:spacing w:after="0"/>
              <w:rPr>
                <w:sz w:val="15"/>
                <w:szCs w:val="15"/>
                <w:color w:val="auto"/>
              </w:rPr>
            </w:pPr>
          </w:p>
        </w:tc>
        <w:tc>
          <w:tcPr>
            <w:tcW w:w="880" w:type="dxa"/>
            <w:vAlign w:val="bottom"/>
          </w:tcPr>
          <w:p>
            <w:pPr>
              <w:jc w:val="right"/>
              <w:ind w:right="40"/>
              <w:spacing w:after="0" w:line="176" w:lineRule="exact"/>
              <w:rPr>
                <w:sz w:val="20"/>
                <w:szCs w:val="20"/>
                <w:color w:val="auto"/>
              </w:rPr>
            </w:pPr>
            <w:r>
              <w:rPr>
                <w:rFonts w:ascii="Arial" w:cs="Arial" w:eastAsia="Arial" w:hAnsi="Arial"/>
                <w:sz w:val="16"/>
                <w:szCs w:val="16"/>
                <w:color w:val="auto"/>
              </w:rPr>
              <w:t>―</w:t>
            </w:r>
          </w:p>
        </w:tc>
        <w:tc>
          <w:tcPr>
            <w:tcW w:w="160" w:type="dxa"/>
            <w:vAlign w:val="bottom"/>
          </w:tcPr>
          <w:p>
            <w:pPr>
              <w:spacing w:after="0"/>
              <w:rPr>
                <w:sz w:val="15"/>
                <w:szCs w:val="15"/>
                <w:color w:val="auto"/>
              </w:rPr>
            </w:pPr>
          </w:p>
        </w:tc>
        <w:tc>
          <w:tcPr>
            <w:tcW w:w="940" w:type="dxa"/>
            <w:vAlign w:val="bottom"/>
          </w:tcPr>
          <w:p>
            <w:pPr>
              <w:jc w:val="right"/>
              <w:ind w:right="21"/>
              <w:spacing w:after="0" w:line="176" w:lineRule="exact"/>
              <w:rPr>
                <w:sz w:val="20"/>
                <w:szCs w:val="20"/>
                <w:color w:val="auto"/>
              </w:rPr>
            </w:pPr>
            <w:r>
              <w:rPr>
                <w:rFonts w:ascii="Arial" w:cs="Arial" w:eastAsia="Arial" w:hAnsi="Arial"/>
                <w:sz w:val="16"/>
                <w:szCs w:val="16"/>
                <w:color w:val="auto"/>
              </w:rPr>
              <w:t>1</w:t>
            </w:r>
          </w:p>
        </w:tc>
        <w:tc>
          <w:tcPr>
            <w:tcW w:w="260" w:type="dxa"/>
            <w:vAlign w:val="bottom"/>
          </w:tcPr>
          <w:p>
            <w:pPr>
              <w:spacing w:after="0"/>
              <w:rPr>
                <w:sz w:val="15"/>
                <w:szCs w:val="15"/>
                <w:color w:val="auto"/>
              </w:rPr>
            </w:pPr>
          </w:p>
        </w:tc>
        <w:tc>
          <w:tcPr>
            <w:tcW w:w="820" w:type="dxa"/>
            <w:vAlign w:val="bottom"/>
          </w:tcPr>
          <w:p>
            <w:pPr>
              <w:jc w:val="right"/>
              <w:spacing w:after="0" w:line="176" w:lineRule="exact"/>
              <w:rPr>
                <w:sz w:val="20"/>
                <w:szCs w:val="20"/>
                <w:color w:val="auto"/>
              </w:rPr>
            </w:pPr>
            <w:r>
              <w:rPr>
                <w:rFonts w:ascii="Arial" w:cs="Arial" w:eastAsia="Arial" w:hAnsi="Arial"/>
                <w:sz w:val="16"/>
                <w:szCs w:val="16"/>
                <w:color w:val="auto"/>
              </w:rPr>
              <w:t>―</w:t>
            </w:r>
          </w:p>
        </w:tc>
      </w:tr>
      <w:tr>
        <w:trPr>
          <w:trHeight w:val="176"/>
        </w:trPr>
        <w:tc>
          <w:tcPr>
            <w:tcW w:w="20" w:type="dxa"/>
            <w:vAlign w:val="bottom"/>
          </w:tcPr>
          <w:p>
            <w:pPr>
              <w:spacing w:after="0"/>
              <w:rPr>
                <w:sz w:val="15"/>
                <w:szCs w:val="15"/>
                <w:color w:val="auto"/>
              </w:rPr>
            </w:pPr>
          </w:p>
        </w:tc>
        <w:tc>
          <w:tcPr>
            <w:tcW w:w="3040" w:type="dxa"/>
            <w:vAlign w:val="bottom"/>
          </w:tcPr>
          <w:p>
            <w:pPr>
              <w:ind w:left="160"/>
              <w:spacing w:after="0" w:line="176" w:lineRule="exact"/>
              <w:rPr>
                <w:sz w:val="20"/>
                <w:szCs w:val="20"/>
                <w:color w:val="auto"/>
              </w:rPr>
            </w:pPr>
            <w:r>
              <w:rPr>
                <w:rFonts w:ascii="Arial" w:cs="Arial" w:eastAsia="Arial" w:hAnsi="Arial"/>
                <w:sz w:val="16"/>
                <w:szCs w:val="16"/>
                <w:color w:val="auto"/>
              </w:rPr>
              <w:t>Commodity contracts subject</w:t>
            </w:r>
          </w:p>
        </w:tc>
        <w:tc>
          <w:tcPr>
            <w:tcW w:w="3900" w:type="dxa"/>
            <w:vAlign w:val="bottom"/>
          </w:tcPr>
          <w:p>
            <w:pPr>
              <w:ind w:left="420"/>
              <w:spacing w:after="0" w:line="176" w:lineRule="exact"/>
              <w:rPr>
                <w:sz w:val="20"/>
                <w:szCs w:val="20"/>
                <w:color w:val="auto"/>
              </w:rPr>
            </w:pPr>
            <w:r>
              <w:rPr>
                <w:rFonts w:ascii="Arial" w:cs="Arial" w:eastAsia="Arial" w:hAnsi="Arial"/>
                <w:sz w:val="16"/>
                <w:szCs w:val="16"/>
                <w:color w:val="auto"/>
              </w:rPr>
              <w:t>Cost of Electric Fuel</w:t>
            </w:r>
          </w:p>
        </w:tc>
        <w:tc>
          <w:tcPr>
            <w:tcW w:w="3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176"/>
        </w:trPr>
        <w:tc>
          <w:tcPr>
            <w:tcW w:w="20" w:type="dxa"/>
            <w:vAlign w:val="bottom"/>
          </w:tcPr>
          <w:p>
            <w:pPr>
              <w:spacing w:after="0"/>
              <w:rPr>
                <w:sz w:val="15"/>
                <w:szCs w:val="15"/>
                <w:color w:val="auto"/>
              </w:rPr>
            </w:pPr>
          </w:p>
        </w:tc>
        <w:tc>
          <w:tcPr>
            <w:tcW w:w="3040" w:type="dxa"/>
            <w:vAlign w:val="bottom"/>
          </w:tcPr>
          <w:p>
            <w:pPr>
              <w:jc w:val="center"/>
              <w:ind w:right="1139"/>
              <w:spacing w:after="0" w:line="176" w:lineRule="exact"/>
              <w:rPr>
                <w:sz w:val="20"/>
                <w:szCs w:val="20"/>
                <w:color w:val="auto"/>
              </w:rPr>
            </w:pPr>
            <w:r>
              <w:rPr>
                <w:rFonts w:ascii="Arial" w:cs="Arial" w:eastAsia="Arial" w:hAnsi="Arial"/>
                <w:sz w:val="16"/>
                <w:szCs w:val="16"/>
                <w:color w:val="auto"/>
              </w:rPr>
              <w:t>to rate recovery</w:t>
            </w:r>
          </w:p>
        </w:tc>
        <w:tc>
          <w:tcPr>
            <w:tcW w:w="3900" w:type="dxa"/>
            <w:vAlign w:val="bottom"/>
          </w:tcPr>
          <w:p>
            <w:pPr>
              <w:ind w:left="600"/>
              <w:spacing w:after="0" w:line="176" w:lineRule="exact"/>
              <w:rPr>
                <w:sz w:val="20"/>
                <w:szCs w:val="20"/>
                <w:color w:val="auto"/>
              </w:rPr>
            </w:pPr>
            <w:r>
              <w:rPr>
                <w:rFonts w:ascii="Arial" w:cs="Arial" w:eastAsia="Arial" w:hAnsi="Arial"/>
                <w:sz w:val="16"/>
                <w:szCs w:val="16"/>
                <w:color w:val="auto"/>
              </w:rPr>
              <w:t>and Purchased Power</w:t>
            </w:r>
          </w:p>
        </w:tc>
        <w:tc>
          <w:tcPr>
            <w:tcW w:w="300" w:type="dxa"/>
            <w:vAlign w:val="bottom"/>
          </w:tcPr>
          <w:p>
            <w:pPr>
              <w:spacing w:after="0"/>
              <w:rPr>
                <w:sz w:val="15"/>
                <w:szCs w:val="15"/>
                <w:color w:val="auto"/>
              </w:rPr>
            </w:pPr>
          </w:p>
        </w:tc>
        <w:tc>
          <w:tcPr>
            <w:tcW w:w="860" w:type="dxa"/>
            <w:vAlign w:val="bottom"/>
          </w:tcPr>
          <w:p>
            <w:pPr>
              <w:jc w:val="right"/>
              <w:ind w:right="21"/>
              <w:spacing w:after="0" w:line="176" w:lineRule="exact"/>
              <w:rPr>
                <w:sz w:val="20"/>
                <w:szCs w:val="20"/>
                <w:color w:val="auto"/>
              </w:rPr>
            </w:pPr>
            <w:r>
              <w:rPr>
                <w:rFonts w:ascii="Arial" w:cs="Arial" w:eastAsia="Arial" w:hAnsi="Arial"/>
                <w:sz w:val="16"/>
                <w:szCs w:val="16"/>
                <w:color w:val="auto"/>
              </w:rPr>
              <w:t>―</w:t>
            </w:r>
          </w:p>
        </w:tc>
        <w:tc>
          <w:tcPr>
            <w:tcW w:w="240" w:type="dxa"/>
            <w:vAlign w:val="bottom"/>
          </w:tcPr>
          <w:p>
            <w:pPr>
              <w:spacing w:after="0"/>
              <w:rPr>
                <w:sz w:val="15"/>
                <w:szCs w:val="15"/>
                <w:color w:val="auto"/>
              </w:rPr>
            </w:pPr>
          </w:p>
        </w:tc>
        <w:tc>
          <w:tcPr>
            <w:tcW w:w="880" w:type="dxa"/>
            <w:vAlign w:val="bottom"/>
          </w:tcPr>
          <w:p>
            <w:pPr>
              <w:jc w:val="right"/>
              <w:spacing w:after="0" w:line="176" w:lineRule="exact"/>
              <w:rPr>
                <w:sz w:val="20"/>
                <w:szCs w:val="20"/>
                <w:color w:val="auto"/>
              </w:rPr>
            </w:pPr>
            <w:r>
              <w:rPr>
                <w:rFonts w:ascii="Arial" w:cs="Arial" w:eastAsia="Arial" w:hAnsi="Arial"/>
                <w:sz w:val="16"/>
                <w:szCs w:val="16"/>
                <w:color w:val="auto"/>
              </w:rPr>
              <w:t>(9)</w:t>
            </w:r>
          </w:p>
        </w:tc>
        <w:tc>
          <w:tcPr>
            <w:tcW w:w="160" w:type="dxa"/>
            <w:vAlign w:val="bottom"/>
          </w:tcPr>
          <w:p>
            <w:pPr>
              <w:spacing w:after="0"/>
              <w:rPr>
                <w:sz w:val="15"/>
                <w:szCs w:val="15"/>
                <w:color w:val="auto"/>
              </w:rPr>
            </w:pPr>
          </w:p>
        </w:tc>
        <w:tc>
          <w:tcPr>
            <w:tcW w:w="940" w:type="dxa"/>
            <w:vAlign w:val="bottom"/>
          </w:tcPr>
          <w:p>
            <w:pPr>
              <w:jc w:val="right"/>
              <w:ind w:right="21"/>
              <w:spacing w:after="0" w:line="176" w:lineRule="exact"/>
              <w:rPr>
                <w:sz w:val="20"/>
                <w:szCs w:val="20"/>
                <w:color w:val="auto"/>
              </w:rPr>
            </w:pPr>
            <w:r>
              <w:rPr>
                <w:rFonts w:ascii="Arial" w:cs="Arial" w:eastAsia="Arial" w:hAnsi="Arial"/>
                <w:sz w:val="16"/>
                <w:szCs w:val="16"/>
                <w:color w:val="auto"/>
              </w:rPr>
              <w:t>9</w:t>
            </w:r>
          </w:p>
        </w:tc>
        <w:tc>
          <w:tcPr>
            <w:tcW w:w="260" w:type="dxa"/>
            <w:vAlign w:val="bottom"/>
          </w:tcPr>
          <w:p>
            <w:pPr>
              <w:spacing w:after="0"/>
              <w:rPr>
                <w:sz w:val="15"/>
                <w:szCs w:val="15"/>
                <w:color w:val="auto"/>
              </w:rPr>
            </w:pPr>
          </w:p>
        </w:tc>
        <w:tc>
          <w:tcPr>
            <w:tcW w:w="820" w:type="dxa"/>
            <w:vAlign w:val="bottom"/>
          </w:tcPr>
          <w:p>
            <w:pPr>
              <w:jc w:val="right"/>
              <w:spacing w:after="0" w:line="176" w:lineRule="exact"/>
              <w:rPr>
                <w:sz w:val="20"/>
                <w:szCs w:val="20"/>
                <w:color w:val="auto"/>
              </w:rPr>
            </w:pPr>
            <w:r>
              <w:rPr>
                <w:rFonts w:ascii="Arial" w:cs="Arial" w:eastAsia="Arial" w:hAnsi="Arial"/>
                <w:sz w:val="16"/>
                <w:szCs w:val="16"/>
                <w:color w:val="auto"/>
              </w:rPr>
              <w:t>(61)</w:t>
            </w:r>
          </w:p>
        </w:tc>
      </w:tr>
      <w:tr>
        <w:trPr>
          <w:trHeight w:val="176"/>
        </w:trPr>
        <w:tc>
          <w:tcPr>
            <w:tcW w:w="20" w:type="dxa"/>
            <w:vAlign w:val="bottom"/>
          </w:tcPr>
          <w:p>
            <w:pPr>
              <w:spacing w:after="0"/>
              <w:rPr>
                <w:sz w:val="15"/>
                <w:szCs w:val="15"/>
                <w:color w:val="auto"/>
              </w:rPr>
            </w:pPr>
          </w:p>
        </w:tc>
        <w:tc>
          <w:tcPr>
            <w:tcW w:w="3040" w:type="dxa"/>
            <w:vAlign w:val="bottom"/>
          </w:tcPr>
          <w:p>
            <w:pPr>
              <w:ind w:left="160"/>
              <w:spacing w:after="0" w:line="176" w:lineRule="exact"/>
              <w:rPr>
                <w:sz w:val="20"/>
                <w:szCs w:val="20"/>
                <w:color w:val="auto"/>
              </w:rPr>
            </w:pPr>
            <w:r>
              <w:rPr>
                <w:rFonts w:ascii="Arial" w:cs="Arial" w:eastAsia="Arial" w:hAnsi="Arial"/>
                <w:sz w:val="16"/>
                <w:szCs w:val="16"/>
                <w:color w:val="auto"/>
              </w:rPr>
              <w:t>Commodity contracts subject</w:t>
            </w:r>
          </w:p>
        </w:tc>
        <w:tc>
          <w:tcPr>
            <w:tcW w:w="39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176"/>
        </w:trPr>
        <w:tc>
          <w:tcPr>
            <w:tcW w:w="20" w:type="dxa"/>
            <w:vAlign w:val="bottom"/>
          </w:tcPr>
          <w:p>
            <w:pPr>
              <w:spacing w:after="0"/>
              <w:rPr>
                <w:sz w:val="15"/>
                <w:szCs w:val="15"/>
                <w:color w:val="auto"/>
              </w:rPr>
            </w:pPr>
          </w:p>
        </w:tc>
        <w:tc>
          <w:tcPr>
            <w:tcW w:w="3040" w:type="dxa"/>
            <w:vAlign w:val="bottom"/>
          </w:tcPr>
          <w:p>
            <w:pPr>
              <w:jc w:val="center"/>
              <w:ind w:right="1139"/>
              <w:spacing w:after="0" w:line="176" w:lineRule="exact"/>
              <w:rPr>
                <w:sz w:val="20"/>
                <w:szCs w:val="20"/>
                <w:color w:val="auto"/>
              </w:rPr>
            </w:pPr>
            <w:r>
              <w:rPr>
                <w:rFonts w:ascii="Arial" w:cs="Arial" w:eastAsia="Arial" w:hAnsi="Arial"/>
                <w:sz w:val="16"/>
                <w:szCs w:val="16"/>
                <w:color w:val="auto"/>
              </w:rPr>
              <w:t>to rate recovery</w:t>
            </w:r>
          </w:p>
        </w:tc>
        <w:tc>
          <w:tcPr>
            <w:tcW w:w="3900" w:type="dxa"/>
            <w:vAlign w:val="bottom"/>
          </w:tcPr>
          <w:p>
            <w:pPr>
              <w:ind w:left="420"/>
              <w:spacing w:after="0" w:line="176" w:lineRule="exact"/>
              <w:rPr>
                <w:sz w:val="20"/>
                <w:szCs w:val="20"/>
                <w:color w:val="auto"/>
              </w:rPr>
            </w:pPr>
            <w:r>
              <w:rPr>
                <w:rFonts w:ascii="Arial" w:cs="Arial" w:eastAsia="Arial" w:hAnsi="Arial"/>
                <w:sz w:val="16"/>
                <w:szCs w:val="16"/>
                <w:color w:val="auto"/>
              </w:rPr>
              <w:t>Cost of Natural Gas</w:t>
            </w:r>
          </w:p>
        </w:tc>
        <w:tc>
          <w:tcPr>
            <w:tcW w:w="300" w:type="dxa"/>
            <w:vAlign w:val="bottom"/>
          </w:tcPr>
          <w:p>
            <w:pPr>
              <w:spacing w:after="0"/>
              <w:rPr>
                <w:sz w:val="15"/>
                <w:szCs w:val="15"/>
                <w:color w:val="auto"/>
              </w:rPr>
            </w:pPr>
          </w:p>
        </w:tc>
        <w:tc>
          <w:tcPr>
            <w:tcW w:w="860" w:type="dxa"/>
            <w:vAlign w:val="bottom"/>
          </w:tcPr>
          <w:p>
            <w:pPr>
              <w:jc w:val="right"/>
              <w:ind w:right="21"/>
              <w:spacing w:after="0" w:line="176" w:lineRule="exact"/>
              <w:rPr>
                <w:sz w:val="20"/>
                <w:szCs w:val="20"/>
                <w:color w:val="auto"/>
              </w:rPr>
            </w:pPr>
            <w:r>
              <w:rPr>
                <w:rFonts w:ascii="Arial" w:cs="Arial" w:eastAsia="Arial" w:hAnsi="Arial"/>
                <w:sz w:val="16"/>
                <w:szCs w:val="16"/>
                <w:color w:val="auto"/>
              </w:rPr>
              <w:t>1</w:t>
            </w:r>
          </w:p>
        </w:tc>
        <w:tc>
          <w:tcPr>
            <w:tcW w:w="240" w:type="dxa"/>
            <w:vAlign w:val="bottom"/>
          </w:tcPr>
          <w:p>
            <w:pPr>
              <w:spacing w:after="0"/>
              <w:rPr>
                <w:sz w:val="15"/>
                <w:szCs w:val="15"/>
                <w:color w:val="auto"/>
              </w:rPr>
            </w:pPr>
          </w:p>
        </w:tc>
        <w:tc>
          <w:tcPr>
            <w:tcW w:w="880" w:type="dxa"/>
            <w:vAlign w:val="bottom"/>
          </w:tcPr>
          <w:p>
            <w:pPr>
              <w:jc w:val="right"/>
              <w:ind w:right="40"/>
              <w:spacing w:after="0" w:line="176" w:lineRule="exact"/>
              <w:rPr>
                <w:sz w:val="20"/>
                <w:szCs w:val="20"/>
                <w:color w:val="auto"/>
              </w:rPr>
            </w:pPr>
            <w:r>
              <w:rPr>
                <w:rFonts w:ascii="Arial" w:cs="Arial" w:eastAsia="Arial" w:hAnsi="Arial"/>
                <w:sz w:val="16"/>
                <w:szCs w:val="16"/>
                <w:color w:val="auto"/>
              </w:rPr>
              <w:t>1</w:t>
            </w:r>
          </w:p>
        </w:tc>
        <w:tc>
          <w:tcPr>
            <w:tcW w:w="160" w:type="dxa"/>
            <w:vAlign w:val="bottom"/>
          </w:tcPr>
          <w:p>
            <w:pPr>
              <w:spacing w:after="0"/>
              <w:rPr>
                <w:sz w:val="15"/>
                <w:szCs w:val="15"/>
                <w:color w:val="auto"/>
              </w:rPr>
            </w:pPr>
          </w:p>
        </w:tc>
        <w:tc>
          <w:tcPr>
            <w:tcW w:w="940" w:type="dxa"/>
            <w:vAlign w:val="bottom"/>
          </w:tcPr>
          <w:p>
            <w:pPr>
              <w:jc w:val="right"/>
              <w:ind w:right="21"/>
              <w:spacing w:after="0" w:line="176" w:lineRule="exact"/>
              <w:rPr>
                <w:sz w:val="20"/>
                <w:szCs w:val="20"/>
                <w:color w:val="auto"/>
              </w:rPr>
            </w:pPr>
            <w:r>
              <w:rPr>
                <w:rFonts w:ascii="Arial" w:cs="Arial" w:eastAsia="Arial" w:hAnsi="Arial"/>
                <w:sz w:val="16"/>
                <w:szCs w:val="16"/>
                <w:color w:val="auto"/>
              </w:rPr>
              <w:t>1</w:t>
            </w:r>
          </w:p>
        </w:tc>
        <w:tc>
          <w:tcPr>
            <w:tcW w:w="260" w:type="dxa"/>
            <w:vAlign w:val="bottom"/>
          </w:tcPr>
          <w:p>
            <w:pPr>
              <w:spacing w:after="0"/>
              <w:rPr>
                <w:sz w:val="15"/>
                <w:szCs w:val="15"/>
                <w:color w:val="auto"/>
              </w:rPr>
            </w:pPr>
          </w:p>
        </w:tc>
        <w:tc>
          <w:tcPr>
            <w:tcW w:w="820" w:type="dxa"/>
            <w:vAlign w:val="bottom"/>
          </w:tcPr>
          <w:p>
            <w:pPr>
              <w:jc w:val="right"/>
              <w:spacing w:after="0" w:line="176" w:lineRule="exact"/>
              <w:rPr>
                <w:sz w:val="20"/>
                <w:szCs w:val="20"/>
                <w:color w:val="auto"/>
              </w:rPr>
            </w:pPr>
            <w:r>
              <w:rPr>
                <w:rFonts w:ascii="Arial" w:cs="Arial" w:eastAsia="Arial" w:hAnsi="Arial"/>
                <w:sz w:val="16"/>
                <w:szCs w:val="16"/>
                <w:color w:val="auto"/>
              </w:rPr>
              <w:t>(1)</w:t>
            </w:r>
          </w:p>
        </w:tc>
      </w:tr>
      <w:tr>
        <w:trPr>
          <w:trHeight w:val="195"/>
        </w:trPr>
        <w:tc>
          <w:tcPr>
            <w:tcW w:w="20" w:type="dxa"/>
            <w:vAlign w:val="bottom"/>
          </w:tcPr>
          <w:p>
            <w:pPr>
              <w:spacing w:after="0"/>
              <w:rPr>
                <w:sz w:val="16"/>
                <w:szCs w:val="16"/>
                <w:color w:val="auto"/>
              </w:rPr>
            </w:pPr>
          </w:p>
        </w:tc>
        <w:tc>
          <w:tcPr>
            <w:tcW w:w="3040" w:type="dxa"/>
            <w:vAlign w:val="bottom"/>
          </w:tcPr>
          <w:p>
            <w:pPr>
              <w:ind w:left="160"/>
              <w:spacing w:after="0"/>
              <w:rPr>
                <w:sz w:val="20"/>
                <w:szCs w:val="20"/>
                <w:color w:val="auto"/>
              </w:rPr>
            </w:pPr>
            <w:r>
              <w:rPr>
                <w:rFonts w:ascii="Arial" w:cs="Arial" w:eastAsia="Arial" w:hAnsi="Arial"/>
                <w:sz w:val="16"/>
                <w:szCs w:val="16"/>
                <w:color w:val="auto"/>
              </w:rPr>
              <w:t>Commodity contracts subject</w:t>
            </w:r>
          </w:p>
        </w:tc>
        <w:tc>
          <w:tcPr>
            <w:tcW w:w="3900" w:type="dxa"/>
            <w:vAlign w:val="bottom"/>
          </w:tcPr>
          <w:p>
            <w:pPr>
              <w:ind w:left="420"/>
              <w:spacing w:after="0"/>
              <w:rPr>
                <w:sz w:val="20"/>
                <w:szCs w:val="20"/>
                <w:color w:val="auto"/>
              </w:rPr>
            </w:pPr>
            <w:r>
              <w:rPr>
                <w:rFonts w:ascii="Arial" w:cs="Arial" w:eastAsia="Arial" w:hAnsi="Arial"/>
                <w:sz w:val="16"/>
                <w:szCs w:val="16"/>
                <w:color w:val="auto"/>
              </w:rPr>
              <w:t>Cost of Natural Gas, Electric</w:t>
            </w:r>
          </w:p>
        </w:tc>
        <w:tc>
          <w:tcPr>
            <w:tcW w:w="3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20" w:type="dxa"/>
            <w:vAlign w:val="bottom"/>
          </w:tcPr>
          <w:p>
            <w:pPr>
              <w:spacing w:after="0"/>
              <w:rPr>
                <w:sz w:val="16"/>
                <w:szCs w:val="16"/>
                <w:color w:val="auto"/>
              </w:rPr>
            </w:pPr>
          </w:p>
        </w:tc>
      </w:tr>
    </w:tbl>
    <w:p>
      <w:pPr>
        <w:sectPr>
          <w:pgSz w:w="11900" w:h="16891" w:orient="portrait"/>
          <w:cols w:equalWidth="0" w:num="1">
            <w:col w:w="11420"/>
          </w:cols>
          <w:pgMar w:left="240" w:top="125" w:right="239" w:bottom="0" w:gutter="0" w:footer="0" w:header="0"/>
        </w:sectPr>
      </w:pPr>
    </w:p>
    <w:bookmarkStart w:id="38" w:name="page39"/>
    <w:bookmarkEnd w:id="3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20" w:type="dxa"/>
            <w:vAlign w:val="bottom"/>
          </w:tcPr>
          <w:p>
            <w:pPr>
              <w:spacing w:after="0"/>
              <w:rPr>
                <w:sz w:val="16"/>
                <w:szCs w:val="16"/>
                <w:color w:val="auto"/>
              </w:rPr>
            </w:pPr>
          </w:p>
        </w:tc>
        <w:tc>
          <w:tcPr>
            <w:tcW w:w="2980" w:type="dxa"/>
            <w:vAlign w:val="bottom"/>
          </w:tcPr>
          <w:p>
            <w:pPr>
              <w:ind w:left="340"/>
              <w:spacing w:after="0"/>
              <w:rPr>
                <w:sz w:val="20"/>
                <w:szCs w:val="20"/>
                <w:color w:val="auto"/>
              </w:rPr>
            </w:pPr>
            <w:r>
              <w:rPr>
                <w:rFonts w:ascii="Arial" w:cs="Arial" w:eastAsia="Arial" w:hAnsi="Arial"/>
                <w:sz w:val="16"/>
                <w:szCs w:val="16"/>
                <w:color w:val="auto"/>
              </w:rPr>
              <w:t>to rate recovery</w:t>
            </w:r>
          </w:p>
        </w:tc>
        <w:tc>
          <w:tcPr>
            <w:tcW w:w="3960" w:type="dxa"/>
            <w:vAlign w:val="bottom"/>
          </w:tcPr>
          <w:p>
            <w:pPr>
              <w:ind w:left="660"/>
              <w:spacing w:after="0"/>
              <w:rPr>
                <w:sz w:val="20"/>
                <w:szCs w:val="20"/>
                <w:color w:val="auto"/>
              </w:rPr>
            </w:pPr>
            <w:r>
              <w:rPr>
                <w:rFonts w:ascii="Arial" w:cs="Arial" w:eastAsia="Arial" w:hAnsi="Arial"/>
                <w:sz w:val="16"/>
                <w:szCs w:val="16"/>
                <w:color w:val="auto"/>
              </w:rPr>
              <w:t>Fuel and Purchased Power</w:t>
            </w:r>
          </w:p>
        </w:tc>
        <w:tc>
          <w:tcPr>
            <w:tcW w:w="56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48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48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50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2980" w:type="dxa"/>
            <w:vAlign w:val="bottom"/>
            <w:tcBorders>
              <w:bottom w:val="single" w:sz="8" w:color="auto"/>
            </w:tcBorders>
          </w:tcPr>
          <w:p>
            <w:pPr>
              <w:ind w:left="160"/>
              <w:spacing w:after="0" w:line="176" w:lineRule="exact"/>
              <w:rPr>
                <w:sz w:val="20"/>
                <w:szCs w:val="20"/>
                <w:color w:val="auto"/>
              </w:rPr>
            </w:pPr>
            <w:r>
              <w:rPr>
                <w:rFonts w:ascii="Arial" w:cs="Arial" w:eastAsia="Arial" w:hAnsi="Arial"/>
                <w:sz w:val="16"/>
                <w:szCs w:val="16"/>
                <w:color w:val="auto"/>
              </w:rPr>
              <w:t>Total</w:t>
            </w:r>
          </w:p>
        </w:tc>
        <w:tc>
          <w:tcPr>
            <w:tcW w:w="396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ind w:right="239"/>
              <w:spacing w:after="0" w:line="176" w:lineRule="exact"/>
              <w:rPr>
                <w:sz w:val="20"/>
                <w:szCs w:val="20"/>
                <w:color w:val="auto"/>
              </w:rPr>
            </w:pPr>
            <w:r>
              <w:rPr>
                <w:rFonts w:ascii="Arial" w:cs="Arial" w:eastAsia="Arial" w:hAnsi="Arial"/>
                <w:sz w:val="16"/>
                <w:szCs w:val="16"/>
                <w:color w:val="auto"/>
              </w:rPr>
              <w:t>$</w:t>
            </w:r>
          </w:p>
        </w:tc>
        <w:tc>
          <w:tcPr>
            <w:tcW w:w="58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6"/>
                <w:szCs w:val="16"/>
                <w:color w:val="auto"/>
              </w:rPr>
              <w:t>10</w:t>
            </w:r>
          </w:p>
        </w:tc>
        <w:tc>
          <w:tcPr>
            <w:tcW w:w="480" w:type="dxa"/>
            <w:vAlign w:val="bottom"/>
            <w:tcBorders>
              <w:bottom w:val="single" w:sz="8" w:color="auto"/>
            </w:tcBorders>
          </w:tcPr>
          <w:p>
            <w:pPr>
              <w:jc w:val="right"/>
              <w:ind w:right="219"/>
              <w:spacing w:after="0" w:line="176" w:lineRule="exact"/>
              <w:rPr>
                <w:sz w:val="20"/>
                <w:szCs w:val="20"/>
                <w:color w:val="auto"/>
              </w:rPr>
            </w:pPr>
            <w:r>
              <w:rPr>
                <w:rFonts w:ascii="Arial" w:cs="Arial" w:eastAsia="Arial" w:hAnsi="Arial"/>
                <w:sz w:val="16"/>
                <w:szCs w:val="16"/>
                <w:color w:val="auto"/>
              </w:rPr>
              <w:t>$</w:t>
            </w:r>
          </w:p>
        </w:tc>
        <w:tc>
          <w:tcPr>
            <w:tcW w:w="66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6"/>
                <w:szCs w:val="16"/>
                <w:color w:val="auto"/>
              </w:rPr>
              <w:t>(26)</w:t>
            </w:r>
          </w:p>
        </w:tc>
        <w:tc>
          <w:tcPr>
            <w:tcW w:w="480" w:type="dxa"/>
            <w:vAlign w:val="bottom"/>
            <w:tcBorders>
              <w:bottom w:val="single" w:sz="8" w:color="auto"/>
            </w:tcBorders>
          </w:tcPr>
          <w:p>
            <w:pPr>
              <w:jc w:val="right"/>
              <w:ind w:right="239"/>
              <w:spacing w:after="0" w:line="176" w:lineRule="exact"/>
              <w:rPr>
                <w:sz w:val="20"/>
                <w:szCs w:val="20"/>
                <w:color w:val="auto"/>
              </w:rPr>
            </w:pPr>
            <w:r>
              <w:rPr>
                <w:rFonts w:ascii="Arial" w:cs="Arial" w:eastAsia="Arial" w:hAnsi="Arial"/>
                <w:sz w:val="16"/>
                <w:szCs w:val="16"/>
                <w:color w:val="auto"/>
              </w:rPr>
              <w:t>$</w:t>
            </w:r>
          </w:p>
        </w:tc>
        <w:tc>
          <w:tcPr>
            <w:tcW w:w="620" w:type="dxa"/>
            <w:vAlign w:val="bottom"/>
            <w:tcBorders>
              <w:bottom w:val="single" w:sz="8" w:color="auto"/>
            </w:tcBorders>
          </w:tcPr>
          <w:p>
            <w:pPr>
              <w:jc w:val="right"/>
              <w:ind w:right="19"/>
              <w:spacing w:after="0" w:line="176" w:lineRule="exact"/>
              <w:rPr>
                <w:sz w:val="20"/>
                <w:szCs w:val="20"/>
                <w:color w:val="auto"/>
              </w:rPr>
            </w:pPr>
            <w:r>
              <w:rPr>
                <w:rFonts w:ascii="Arial" w:cs="Arial" w:eastAsia="Arial" w:hAnsi="Arial"/>
                <w:sz w:val="16"/>
                <w:szCs w:val="16"/>
                <w:color w:val="auto"/>
              </w:rPr>
              <w:t>38</w:t>
            </w:r>
          </w:p>
        </w:tc>
        <w:tc>
          <w:tcPr>
            <w:tcW w:w="500" w:type="dxa"/>
            <w:vAlign w:val="bottom"/>
            <w:tcBorders>
              <w:bottom w:val="single" w:sz="8" w:color="auto"/>
            </w:tcBorders>
          </w:tcPr>
          <w:p>
            <w:pPr>
              <w:jc w:val="right"/>
              <w:ind w:right="239"/>
              <w:spacing w:after="0" w:line="176" w:lineRule="exact"/>
              <w:rPr>
                <w:sz w:val="20"/>
                <w:szCs w:val="20"/>
                <w:color w:val="auto"/>
              </w:rPr>
            </w:pPr>
            <w:r>
              <w:rPr>
                <w:rFonts w:ascii="Arial" w:cs="Arial" w:eastAsia="Arial" w:hAnsi="Arial"/>
                <w:sz w:val="16"/>
                <w:szCs w:val="16"/>
                <w:color w:val="auto"/>
              </w:rPr>
              <w:t>$</w:t>
            </w:r>
          </w:p>
        </w:tc>
        <w:tc>
          <w:tcPr>
            <w:tcW w:w="58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6"/>
                <w:szCs w:val="16"/>
                <w:color w:val="auto"/>
              </w:rPr>
              <w:t>(83)</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2980" w:type="dxa"/>
            <w:vAlign w:val="bottom"/>
          </w:tcPr>
          <w:p>
            <w:pPr>
              <w:spacing w:after="0" w:line="164" w:lineRule="exact"/>
              <w:rPr>
                <w:sz w:val="20"/>
                <w:szCs w:val="20"/>
                <w:color w:val="auto"/>
              </w:rPr>
            </w:pPr>
            <w:r>
              <w:rPr>
                <w:rFonts w:ascii="Arial" w:cs="Arial" w:eastAsia="Arial" w:hAnsi="Arial"/>
                <w:sz w:val="16"/>
                <w:szCs w:val="16"/>
                <w:b w:val="1"/>
                <w:bCs w:val="1"/>
                <w:color w:val="auto"/>
              </w:rPr>
              <w:t>SDG&amp;E:</w:t>
            </w:r>
          </w:p>
        </w:tc>
        <w:tc>
          <w:tcPr>
            <w:tcW w:w="39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980" w:type="dxa"/>
            <w:vAlign w:val="bottom"/>
          </w:tcPr>
          <w:p>
            <w:pPr>
              <w:ind w:left="160"/>
              <w:spacing w:after="0" w:line="176" w:lineRule="exact"/>
              <w:rPr>
                <w:sz w:val="20"/>
                <w:szCs w:val="20"/>
                <w:color w:val="auto"/>
              </w:rPr>
            </w:pPr>
            <w:r>
              <w:rPr>
                <w:rFonts w:ascii="Arial" w:cs="Arial" w:eastAsia="Arial" w:hAnsi="Arial"/>
                <w:sz w:val="16"/>
                <w:szCs w:val="16"/>
                <w:color w:val="auto"/>
              </w:rPr>
              <w:t>Interest rate instruments(1)</w:t>
            </w:r>
          </w:p>
        </w:tc>
        <w:tc>
          <w:tcPr>
            <w:tcW w:w="3960" w:type="dxa"/>
            <w:vAlign w:val="bottom"/>
          </w:tcPr>
          <w:p>
            <w:pPr>
              <w:ind w:left="480"/>
              <w:spacing w:after="0" w:line="176" w:lineRule="exact"/>
              <w:rPr>
                <w:sz w:val="20"/>
                <w:szCs w:val="20"/>
                <w:color w:val="auto"/>
              </w:rPr>
            </w:pPr>
            <w:r>
              <w:rPr>
                <w:rFonts w:ascii="Arial" w:cs="Arial" w:eastAsia="Arial" w:hAnsi="Arial"/>
                <w:sz w:val="16"/>
                <w:szCs w:val="16"/>
                <w:color w:val="auto"/>
              </w:rPr>
              <w:t>Other Income (Expense), Net</w:t>
            </w:r>
          </w:p>
        </w:tc>
        <w:tc>
          <w:tcPr>
            <w:tcW w:w="560" w:type="dxa"/>
            <w:vAlign w:val="bottom"/>
          </w:tcPr>
          <w:p>
            <w:pPr>
              <w:jc w:val="right"/>
              <w:ind w:right="239"/>
              <w:spacing w:after="0" w:line="176" w:lineRule="exact"/>
              <w:rPr>
                <w:sz w:val="20"/>
                <w:szCs w:val="20"/>
                <w:color w:val="auto"/>
              </w:rPr>
            </w:pPr>
            <w:r>
              <w:rPr>
                <w:rFonts w:ascii="Arial" w:cs="Arial" w:eastAsia="Arial" w:hAnsi="Arial"/>
                <w:sz w:val="16"/>
                <w:szCs w:val="16"/>
                <w:color w:val="auto"/>
              </w:rPr>
              <w:t>$</w:t>
            </w:r>
          </w:p>
        </w:tc>
        <w:tc>
          <w:tcPr>
            <w:tcW w:w="580" w:type="dxa"/>
            <w:vAlign w:val="bottom"/>
          </w:tcPr>
          <w:p>
            <w:pPr>
              <w:jc w:val="right"/>
              <w:spacing w:after="0" w:line="176" w:lineRule="exact"/>
              <w:rPr>
                <w:sz w:val="20"/>
                <w:szCs w:val="20"/>
                <w:color w:val="auto"/>
              </w:rPr>
            </w:pPr>
            <w:r>
              <w:rPr>
                <w:rFonts w:ascii="Arial" w:cs="Arial" w:eastAsia="Arial" w:hAnsi="Arial"/>
                <w:sz w:val="16"/>
                <w:szCs w:val="16"/>
                <w:color w:val="auto"/>
              </w:rPr>
              <w:t>―</w:t>
            </w:r>
          </w:p>
        </w:tc>
        <w:tc>
          <w:tcPr>
            <w:tcW w:w="480" w:type="dxa"/>
            <w:vAlign w:val="bottom"/>
          </w:tcPr>
          <w:p>
            <w:pPr>
              <w:jc w:val="right"/>
              <w:ind w:right="219"/>
              <w:spacing w:after="0" w:line="176" w:lineRule="exact"/>
              <w:rPr>
                <w:sz w:val="20"/>
                <w:szCs w:val="20"/>
                <w:color w:val="auto"/>
              </w:rPr>
            </w:pPr>
            <w:r>
              <w:rPr>
                <w:rFonts w:ascii="Arial" w:cs="Arial" w:eastAsia="Arial" w:hAnsi="Arial"/>
                <w:sz w:val="16"/>
                <w:szCs w:val="16"/>
                <w:color w:val="auto"/>
              </w:rPr>
              <w:t>$</w:t>
            </w:r>
          </w:p>
        </w:tc>
        <w:tc>
          <w:tcPr>
            <w:tcW w:w="660" w:type="dxa"/>
            <w:vAlign w:val="bottom"/>
          </w:tcPr>
          <w:p>
            <w:pPr>
              <w:jc w:val="right"/>
              <w:spacing w:after="0" w:line="176" w:lineRule="exact"/>
              <w:rPr>
                <w:sz w:val="20"/>
                <w:szCs w:val="20"/>
                <w:color w:val="auto"/>
              </w:rPr>
            </w:pPr>
            <w:r>
              <w:rPr>
                <w:rFonts w:ascii="Arial" w:cs="Arial" w:eastAsia="Arial" w:hAnsi="Arial"/>
                <w:sz w:val="16"/>
                <w:szCs w:val="16"/>
                <w:color w:val="auto"/>
              </w:rPr>
              <w:t>(25)</w:t>
            </w:r>
          </w:p>
        </w:tc>
        <w:tc>
          <w:tcPr>
            <w:tcW w:w="480" w:type="dxa"/>
            <w:vAlign w:val="bottom"/>
          </w:tcPr>
          <w:p>
            <w:pPr>
              <w:jc w:val="right"/>
              <w:ind w:right="239"/>
              <w:spacing w:after="0" w:line="176" w:lineRule="exact"/>
              <w:rPr>
                <w:sz w:val="20"/>
                <w:szCs w:val="20"/>
                <w:color w:val="auto"/>
              </w:rPr>
            </w:pPr>
            <w:r>
              <w:rPr>
                <w:rFonts w:ascii="Arial" w:cs="Arial" w:eastAsia="Arial" w:hAnsi="Arial"/>
                <w:sz w:val="16"/>
                <w:szCs w:val="16"/>
                <w:color w:val="auto"/>
              </w:rPr>
              <w:t>$</w:t>
            </w:r>
          </w:p>
        </w:tc>
        <w:tc>
          <w:tcPr>
            <w:tcW w:w="620" w:type="dxa"/>
            <w:vAlign w:val="bottom"/>
          </w:tcPr>
          <w:p>
            <w:pPr>
              <w:jc w:val="right"/>
              <w:ind w:right="19"/>
              <w:spacing w:after="0" w:line="176" w:lineRule="exact"/>
              <w:rPr>
                <w:sz w:val="20"/>
                <w:szCs w:val="20"/>
                <w:color w:val="auto"/>
              </w:rPr>
            </w:pPr>
            <w:r>
              <w:rPr>
                <w:rFonts w:ascii="Arial" w:cs="Arial" w:eastAsia="Arial" w:hAnsi="Arial"/>
                <w:sz w:val="16"/>
                <w:szCs w:val="16"/>
                <w:color w:val="auto"/>
              </w:rPr>
              <w:t>―</w:t>
            </w:r>
          </w:p>
        </w:tc>
        <w:tc>
          <w:tcPr>
            <w:tcW w:w="500" w:type="dxa"/>
            <w:vAlign w:val="bottom"/>
          </w:tcPr>
          <w:p>
            <w:pPr>
              <w:jc w:val="right"/>
              <w:ind w:right="239"/>
              <w:spacing w:after="0" w:line="176" w:lineRule="exact"/>
              <w:rPr>
                <w:sz w:val="20"/>
                <w:szCs w:val="20"/>
                <w:color w:val="auto"/>
              </w:rPr>
            </w:pPr>
            <w:r>
              <w:rPr>
                <w:rFonts w:ascii="Arial" w:cs="Arial" w:eastAsia="Arial" w:hAnsi="Arial"/>
                <w:sz w:val="16"/>
                <w:szCs w:val="16"/>
                <w:color w:val="auto"/>
              </w:rPr>
              <w:t>$</w:t>
            </w:r>
          </w:p>
        </w:tc>
        <w:tc>
          <w:tcPr>
            <w:tcW w:w="580" w:type="dxa"/>
            <w:vAlign w:val="bottom"/>
          </w:tcPr>
          <w:p>
            <w:pPr>
              <w:jc w:val="right"/>
              <w:spacing w:after="0" w:line="176" w:lineRule="exact"/>
              <w:rPr>
                <w:sz w:val="20"/>
                <w:szCs w:val="20"/>
                <w:color w:val="auto"/>
              </w:rPr>
            </w:pPr>
            <w:r>
              <w:rPr>
                <w:rFonts w:ascii="Arial" w:cs="Arial" w:eastAsia="Arial" w:hAnsi="Arial"/>
                <w:sz w:val="16"/>
                <w:szCs w:val="16"/>
                <w:color w:val="auto"/>
              </w:rPr>
              <w:t>(34)</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980" w:type="dxa"/>
            <w:vAlign w:val="bottom"/>
          </w:tcPr>
          <w:p>
            <w:pPr>
              <w:ind w:left="160"/>
              <w:spacing w:after="0" w:line="176" w:lineRule="exact"/>
              <w:rPr>
                <w:sz w:val="20"/>
                <w:szCs w:val="20"/>
                <w:color w:val="auto"/>
              </w:rPr>
            </w:pPr>
            <w:r>
              <w:rPr>
                <w:rFonts w:ascii="Arial" w:cs="Arial" w:eastAsia="Arial" w:hAnsi="Arial"/>
                <w:sz w:val="16"/>
                <w:szCs w:val="16"/>
                <w:color w:val="auto"/>
              </w:rPr>
              <w:t>Commodity contracts not subject</w:t>
            </w:r>
          </w:p>
        </w:tc>
        <w:tc>
          <w:tcPr>
            <w:tcW w:w="39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980" w:type="dxa"/>
            <w:vAlign w:val="bottom"/>
          </w:tcPr>
          <w:p>
            <w:pPr>
              <w:ind w:left="340"/>
              <w:spacing w:after="0" w:line="176" w:lineRule="exact"/>
              <w:rPr>
                <w:sz w:val="20"/>
                <w:szCs w:val="20"/>
                <w:color w:val="auto"/>
              </w:rPr>
            </w:pPr>
            <w:r>
              <w:rPr>
                <w:rFonts w:ascii="Arial" w:cs="Arial" w:eastAsia="Arial" w:hAnsi="Arial"/>
                <w:sz w:val="16"/>
                <w:szCs w:val="16"/>
                <w:color w:val="auto"/>
              </w:rPr>
              <w:t>to rate recovery</w:t>
            </w:r>
          </w:p>
        </w:tc>
        <w:tc>
          <w:tcPr>
            <w:tcW w:w="3960" w:type="dxa"/>
            <w:vAlign w:val="bottom"/>
          </w:tcPr>
          <w:p>
            <w:pPr>
              <w:ind w:left="480"/>
              <w:spacing w:after="0" w:line="176" w:lineRule="exact"/>
              <w:rPr>
                <w:sz w:val="20"/>
                <w:szCs w:val="20"/>
                <w:color w:val="auto"/>
              </w:rPr>
            </w:pPr>
            <w:r>
              <w:rPr>
                <w:rFonts w:ascii="Arial" w:cs="Arial" w:eastAsia="Arial" w:hAnsi="Arial"/>
                <w:sz w:val="16"/>
                <w:szCs w:val="16"/>
                <w:color w:val="auto"/>
              </w:rPr>
              <w:t>Operation and Maintenance</w:t>
            </w:r>
          </w:p>
        </w:tc>
        <w:tc>
          <w:tcPr>
            <w:tcW w:w="560" w:type="dxa"/>
            <w:vAlign w:val="bottom"/>
          </w:tcPr>
          <w:p>
            <w:pPr>
              <w:spacing w:after="0"/>
              <w:rPr>
                <w:sz w:val="15"/>
                <w:szCs w:val="15"/>
                <w:color w:val="auto"/>
              </w:rPr>
            </w:pPr>
          </w:p>
        </w:tc>
        <w:tc>
          <w:tcPr>
            <w:tcW w:w="580" w:type="dxa"/>
            <w:vAlign w:val="bottom"/>
          </w:tcPr>
          <w:p>
            <w:pPr>
              <w:jc w:val="right"/>
              <w:spacing w:after="0" w:line="176" w:lineRule="exact"/>
              <w:rPr>
                <w:sz w:val="20"/>
                <w:szCs w:val="20"/>
                <w:color w:val="auto"/>
              </w:rPr>
            </w:pPr>
            <w:r>
              <w:rPr>
                <w:rFonts w:ascii="Arial" w:cs="Arial" w:eastAsia="Arial" w:hAnsi="Arial"/>
                <w:sz w:val="16"/>
                <w:szCs w:val="16"/>
                <w:color w:val="auto"/>
              </w:rPr>
              <w:t>―</w:t>
            </w:r>
          </w:p>
        </w:tc>
        <w:tc>
          <w:tcPr>
            <w:tcW w:w="480" w:type="dxa"/>
            <w:vAlign w:val="bottom"/>
          </w:tcPr>
          <w:p>
            <w:pPr>
              <w:spacing w:after="0"/>
              <w:rPr>
                <w:sz w:val="15"/>
                <w:szCs w:val="15"/>
                <w:color w:val="auto"/>
              </w:rPr>
            </w:pPr>
          </w:p>
        </w:tc>
        <w:tc>
          <w:tcPr>
            <w:tcW w:w="660" w:type="dxa"/>
            <w:vAlign w:val="bottom"/>
          </w:tcPr>
          <w:p>
            <w:pPr>
              <w:jc w:val="right"/>
              <w:ind w:right="39"/>
              <w:spacing w:after="0" w:line="176" w:lineRule="exact"/>
              <w:rPr>
                <w:sz w:val="20"/>
                <w:szCs w:val="20"/>
                <w:color w:val="auto"/>
              </w:rPr>
            </w:pPr>
            <w:r>
              <w:rPr>
                <w:rFonts w:ascii="Arial" w:cs="Arial" w:eastAsia="Arial" w:hAnsi="Arial"/>
                <w:sz w:val="16"/>
                <w:szCs w:val="16"/>
                <w:color w:val="auto"/>
              </w:rPr>
              <w:t>―</w:t>
            </w:r>
          </w:p>
        </w:tc>
        <w:tc>
          <w:tcPr>
            <w:tcW w:w="480" w:type="dxa"/>
            <w:vAlign w:val="bottom"/>
          </w:tcPr>
          <w:p>
            <w:pPr>
              <w:spacing w:after="0"/>
              <w:rPr>
                <w:sz w:val="15"/>
                <w:szCs w:val="15"/>
                <w:color w:val="auto"/>
              </w:rPr>
            </w:pPr>
          </w:p>
        </w:tc>
        <w:tc>
          <w:tcPr>
            <w:tcW w:w="620" w:type="dxa"/>
            <w:vAlign w:val="bottom"/>
          </w:tcPr>
          <w:p>
            <w:pPr>
              <w:jc w:val="right"/>
              <w:ind w:right="19"/>
              <w:spacing w:after="0" w:line="176" w:lineRule="exact"/>
              <w:rPr>
                <w:sz w:val="20"/>
                <w:szCs w:val="20"/>
                <w:color w:val="auto"/>
              </w:rPr>
            </w:pPr>
            <w:r>
              <w:rPr>
                <w:rFonts w:ascii="Arial" w:cs="Arial" w:eastAsia="Arial" w:hAnsi="Arial"/>
                <w:sz w:val="16"/>
                <w:szCs w:val="16"/>
                <w:color w:val="auto"/>
              </w:rPr>
              <w:t>1</w:t>
            </w:r>
          </w:p>
        </w:tc>
        <w:tc>
          <w:tcPr>
            <w:tcW w:w="500" w:type="dxa"/>
            <w:vAlign w:val="bottom"/>
          </w:tcPr>
          <w:p>
            <w:pPr>
              <w:spacing w:after="0"/>
              <w:rPr>
                <w:sz w:val="15"/>
                <w:szCs w:val="15"/>
                <w:color w:val="auto"/>
              </w:rPr>
            </w:pPr>
          </w:p>
        </w:tc>
        <w:tc>
          <w:tcPr>
            <w:tcW w:w="580" w:type="dxa"/>
            <w:vAlign w:val="bottom"/>
          </w:tcPr>
          <w:p>
            <w:pPr>
              <w:jc w:val="right"/>
              <w:spacing w:after="0" w:line="176" w:lineRule="exact"/>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2980" w:type="dxa"/>
            <w:vAlign w:val="bottom"/>
          </w:tcPr>
          <w:p>
            <w:pPr>
              <w:ind w:left="160"/>
              <w:spacing w:after="0"/>
              <w:rPr>
                <w:sz w:val="20"/>
                <w:szCs w:val="20"/>
                <w:color w:val="auto"/>
              </w:rPr>
            </w:pPr>
            <w:r>
              <w:rPr>
                <w:rFonts w:ascii="Arial" w:cs="Arial" w:eastAsia="Arial" w:hAnsi="Arial"/>
                <w:sz w:val="16"/>
                <w:szCs w:val="16"/>
                <w:color w:val="auto"/>
              </w:rPr>
              <w:t>Commodity contracts subject</w:t>
            </w:r>
          </w:p>
        </w:tc>
        <w:tc>
          <w:tcPr>
            <w:tcW w:w="3960" w:type="dxa"/>
            <w:vAlign w:val="bottom"/>
          </w:tcPr>
          <w:p>
            <w:pPr>
              <w:ind w:left="480"/>
              <w:spacing w:after="0"/>
              <w:rPr>
                <w:sz w:val="20"/>
                <w:szCs w:val="20"/>
                <w:color w:val="auto"/>
              </w:rPr>
            </w:pPr>
            <w:r>
              <w:rPr>
                <w:rFonts w:ascii="Arial" w:cs="Arial" w:eastAsia="Arial" w:hAnsi="Arial"/>
                <w:sz w:val="16"/>
                <w:szCs w:val="16"/>
                <w:color w:val="auto"/>
              </w:rPr>
              <w:t>Cost of Electric Fuel</w:t>
            </w:r>
          </w:p>
        </w:tc>
        <w:tc>
          <w:tcPr>
            <w:tcW w:w="560" w:type="dxa"/>
            <w:vAlign w:val="bottom"/>
          </w:tcPr>
          <w:p>
            <w:pPr>
              <w:spacing w:after="0"/>
              <w:rPr>
                <w:sz w:val="16"/>
                <w:szCs w:val="16"/>
                <w:color w:val="auto"/>
              </w:rPr>
            </w:pPr>
          </w:p>
        </w:tc>
        <w:tc>
          <w:tcPr>
            <w:tcW w:w="58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480" w:type="dxa"/>
            <w:vAlign w:val="bottom"/>
          </w:tcPr>
          <w:p>
            <w:pPr>
              <w:spacing w:after="0"/>
              <w:rPr>
                <w:sz w:val="16"/>
                <w:szCs w:val="16"/>
                <w:color w:val="auto"/>
              </w:rPr>
            </w:pPr>
          </w:p>
        </w:tc>
        <w:tc>
          <w:tcPr>
            <w:tcW w:w="660" w:type="dxa"/>
            <w:vAlign w:val="bottom"/>
            <w:vMerge w:val="restart"/>
          </w:tcPr>
          <w:p>
            <w:pPr>
              <w:jc w:val="right"/>
              <w:spacing w:after="0"/>
              <w:rPr>
                <w:sz w:val="20"/>
                <w:szCs w:val="20"/>
                <w:color w:val="auto"/>
              </w:rPr>
            </w:pPr>
            <w:r>
              <w:rPr>
                <w:rFonts w:ascii="Arial" w:cs="Arial" w:eastAsia="Arial" w:hAnsi="Arial"/>
                <w:sz w:val="16"/>
                <w:szCs w:val="16"/>
                <w:color w:val="auto"/>
              </w:rPr>
              <w:t>(9)</w:t>
            </w:r>
          </w:p>
        </w:tc>
        <w:tc>
          <w:tcPr>
            <w:tcW w:w="480" w:type="dxa"/>
            <w:vAlign w:val="bottom"/>
          </w:tcPr>
          <w:p>
            <w:pPr>
              <w:spacing w:after="0"/>
              <w:rPr>
                <w:sz w:val="16"/>
                <w:szCs w:val="16"/>
                <w:color w:val="auto"/>
              </w:rPr>
            </w:pPr>
          </w:p>
        </w:tc>
        <w:tc>
          <w:tcPr>
            <w:tcW w:w="620" w:type="dxa"/>
            <w:vAlign w:val="bottom"/>
            <w:vMerge w:val="restart"/>
          </w:tcPr>
          <w:p>
            <w:pPr>
              <w:jc w:val="right"/>
              <w:ind w:right="19"/>
              <w:spacing w:after="0"/>
              <w:rPr>
                <w:sz w:val="20"/>
                <w:szCs w:val="20"/>
                <w:color w:val="auto"/>
              </w:rPr>
            </w:pPr>
            <w:r>
              <w:rPr>
                <w:rFonts w:ascii="Arial" w:cs="Arial" w:eastAsia="Arial" w:hAnsi="Arial"/>
                <w:sz w:val="16"/>
                <w:szCs w:val="16"/>
                <w:color w:val="auto"/>
              </w:rPr>
              <w:t>9</w:t>
            </w:r>
          </w:p>
        </w:tc>
        <w:tc>
          <w:tcPr>
            <w:tcW w:w="500" w:type="dxa"/>
            <w:vAlign w:val="bottom"/>
          </w:tcPr>
          <w:p>
            <w:pPr>
              <w:spacing w:after="0"/>
              <w:rPr>
                <w:sz w:val="16"/>
                <w:szCs w:val="16"/>
                <w:color w:val="auto"/>
              </w:rPr>
            </w:pPr>
          </w:p>
        </w:tc>
        <w:tc>
          <w:tcPr>
            <w:tcW w:w="580" w:type="dxa"/>
            <w:vAlign w:val="bottom"/>
            <w:vMerge w:val="restart"/>
          </w:tcPr>
          <w:p>
            <w:pPr>
              <w:jc w:val="right"/>
              <w:spacing w:after="0"/>
              <w:rPr>
                <w:sz w:val="20"/>
                <w:szCs w:val="20"/>
                <w:color w:val="auto"/>
              </w:rPr>
            </w:pPr>
            <w:r>
              <w:rPr>
                <w:rFonts w:ascii="Arial" w:cs="Arial" w:eastAsia="Arial" w:hAnsi="Arial"/>
                <w:sz w:val="16"/>
                <w:szCs w:val="16"/>
                <w:color w:val="auto"/>
              </w:rPr>
              <w:t>(61)</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2980" w:type="dxa"/>
            <w:vAlign w:val="bottom"/>
          </w:tcPr>
          <w:p>
            <w:pPr>
              <w:ind w:left="340"/>
              <w:spacing w:after="0" w:line="168" w:lineRule="exact"/>
              <w:rPr>
                <w:sz w:val="20"/>
                <w:szCs w:val="20"/>
                <w:color w:val="auto"/>
              </w:rPr>
            </w:pPr>
            <w:r>
              <w:rPr>
                <w:rFonts w:ascii="Arial" w:cs="Arial" w:eastAsia="Arial" w:hAnsi="Arial"/>
                <w:sz w:val="16"/>
                <w:szCs w:val="16"/>
                <w:color w:val="auto"/>
              </w:rPr>
              <w:t>to rate recovery</w:t>
            </w:r>
          </w:p>
        </w:tc>
        <w:tc>
          <w:tcPr>
            <w:tcW w:w="3960" w:type="dxa"/>
            <w:vAlign w:val="bottom"/>
          </w:tcPr>
          <w:p>
            <w:pPr>
              <w:ind w:left="660"/>
              <w:spacing w:after="0" w:line="168" w:lineRule="exact"/>
              <w:rPr>
                <w:sz w:val="20"/>
                <w:szCs w:val="20"/>
                <w:color w:val="auto"/>
              </w:rPr>
            </w:pPr>
            <w:r>
              <w:rPr>
                <w:rFonts w:ascii="Arial" w:cs="Arial" w:eastAsia="Arial" w:hAnsi="Arial"/>
                <w:sz w:val="16"/>
                <w:szCs w:val="16"/>
                <w:color w:val="auto"/>
              </w:rPr>
              <w:t>and Purchased Power</w:t>
            </w:r>
          </w:p>
        </w:tc>
        <w:tc>
          <w:tcPr>
            <w:tcW w:w="56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vMerge w:val="continue"/>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vMerge w:val="continue"/>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vMerge w:val="continue"/>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2980" w:type="dxa"/>
            <w:vAlign w:val="bottom"/>
            <w:tcBorders>
              <w:bottom w:val="single" w:sz="8" w:color="auto"/>
            </w:tcBorders>
          </w:tcPr>
          <w:p>
            <w:pPr>
              <w:ind w:left="160"/>
              <w:spacing w:after="0" w:line="176" w:lineRule="exact"/>
              <w:rPr>
                <w:sz w:val="20"/>
                <w:szCs w:val="20"/>
                <w:color w:val="auto"/>
              </w:rPr>
            </w:pPr>
            <w:r>
              <w:rPr>
                <w:rFonts w:ascii="Arial" w:cs="Arial" w:eastAsia="Arial" w:hAnsi="Arial"/>
                <w:sz w:val="16"/>
                <w:szCs w:val="16"/>
                <w:color w:val="auto"/>
              </w:rPr>
              <w:t>Total</w:t>
            </w:r>
          </w:p>
        </w:tc>
        <w:tc>
          <w:tcPr>
            <w:tcW w:w="396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ind w:right="239"/>
              <w:spacing w:after="0" w:line="176" w:lineRule="exact"/>
              <w:rPr>
                <w:sz w:val="20"/>
                <w:szCs w:val="20"/>
                <w:color w:val="auto"/>
              </w:rPr>
            </w:pPr>
            <w:r>
              <w:rPr>
                <w:rFonts w:ascii="Arial" w:cs="Arial" w:eastAsia="Arial" w:hAnsi="Arial"/>
                <w:sz w:val="16"/>
                <w:szCs w:val="16"/>
                <w:color w:val="auto"/>
              </w:rPr>
              <w:t>$</w:t>
            </w:r>
          </w:p>
        </w:tc>
        <w:tc>
          <w:tcPr>
            <w:tcW w:w="58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6"/>
                <w:szCs w:val="16"/>
                <w:color w:val="auto"/>
              </w:rPr>
              <w:t>―</w:t>
            </w:r>
          </w:p>
        </w:tc>
        <w:tc>
          <w:tcPr>
            <w:tcW w:w="480" w:type="dxa"/>
            <w:vAlign w:val="bottom"/>
            <w:tcBorders>
              <w:bottom w:val="single" w:sz="8" w:color="auto"/>
            </w:tcBorders>
          </w:tcPr>
          <w:p>
            <w:pPr>
              <w:jc w:val="right"/>
              <w:ind w:right="219"/>
              <w:spacing w:after="0" w:line="176" w:lineRule="exact"/>
              <w:rPr>
                <w:sz w:val="20"/>
                <w:szCs w:val="20"/>
                <w:color w:val="auto"/>
              </w:rPr>
            </w:pPr>
            <w:r>
              <w:rPr>
                <w:rFonts w:ascii="Arial" w:cs="Arial" w:eastAsia="Arial" w:hAnsi="Arial"/>
                <w:sz w:val="16"/>
                <w:szCs w:val="16"/>
                <w:color w:val="auto"/>
              </w:rPr>
              <w:t>$</w:t>
            </w:r>
          </w:p>
        </w:tc>
        <w:tc>
          <w:tcPr>
            <w:tcW w:w="66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6"/>
                <w:szCs w:val="16"/>
                <w:color w:val="auto"/>
              </w:rPr>
              <w:t>(34)</w:t>
            </w:r>
          </w:p>
        </w:tc>
        <w:tc>
          <w:tcPr>
            <w:tcW w:w="480" w:type="dxa"/>
            <w:vAlign w:val="bottom"/>
            <w:tcBorders>
              <w:bottom w:val="single" w:sz="8" w:color="auto"/>
            </w:tcBorders>
          </w:tcPr>
          <w:p>
            <w:pPr>
              <w:jc w:val="right"/>
              <w:ind w:right="239"/>
              <w:spacing w:after="0" w:line="176" w:lineRule="exact"/>
              <w:rPr>
                <w:sz w:val="20"/>
                <w:szCs w:val="20"/>
                <w:color w:val="auto"/>
              </w:rPr>
            </w:pPr>
            <w:r>
              <w:rPr>
                <w:rFonts w:ascii="Arial" w:cs="Arial" w:eastAsia="Arial" w:hAnsi="Arial"/>
                <w:sz w:val="16"/>
                <w:szCs w:val="16"/>
                <w:color w:val="auto"/>
              </w:rPr>
              <w:t>$</w:t>
            </w:r>
          </w:p>
        </w:tc>
        <w:tc>
          <w:tcPr>
            <w:tcW w:w="620" w:type="dxa"/>
            <w:vAlign w:val="bottom"/>
            <w:tcBorders>
              <w:bottom w:val="single" w:sz="8" w:color="auto"/>
            </w:tcBorders>
          </w:tcPr>
          <w:p>
            <w:pPr>
              <w:jc w:val="right"/>
              <w:ind w:right="19"/>
              <w:spacing w:after="0" w:line="176" w:lineRule="exact"/>
              <w:rPr>
                <w:sz w:val="20"/>
                <w:szCs w:val="20"/>
                <w:color w:val="auto"/>
              </w:rPr>
            </w:pPr>
            <w:r>
              <w:rPr>
                <w:rFonts w:ascii="Arial" w:cs="Arial" w:eastAsia="Arial" w:hAnsi="Arial"/>
                <w:sz w:val="16"/>
                <w:szCs w:val="16"/>
                <w:color w:val="auto"/>
              </w:rPr>
              <w:t>10</w:t>
            </w:r>
          </w:p>
        </w:tc>
        <w:tc>
          <w:tcPr>
            <w:tcW w:w="500" w:type="dxa"/>
            <w:vAlign w:val="bottom"/>
            <w:tcBorders>
              <w:bottom w:val="single" w:sz="8" w:color="auto"/>
            </w:tcBorders>
          </w:tcPr>
          <w:p>
            <w:pPr>
              <w:jc w:val="right"/>
              <w:ind w:right="239"/>
              <w:spacing w:after="0" w:line="176" w:lineRule="exact"/>
              <w:rPr>
                <w:sz w:val="20"/>
                <w:szCs w:val="20"/>
                <w:color w:val="auto"/>
              </w:rPr>
            </w:pPr>
            <w:r>
              <w:rPr>
                <w:rFonts w:ascii="Arial" w:cs="Arial" w:eastAsia="Arial" w:hAnsi="Arial"/>
                <w:sz w:val="16"/>
                <w:szCs w:val="16"/>
                <w:color w:val="auto"/>
              </w:rPr>
              <w:t>$</w:t>
            </w:r>
          </w:p>
        </w:tc>
        <w:tc>
          <w:tcPr>
            <w:tcW w:w="58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6"/>
                <w:szCs w:val="16"/>
                <w:color w:val="auto"/>
              </w:rPr>
              <w:t>(95)</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2980" w:type="dxa"/>
            <w:vAlign w:val="bottom"/>
          </w:tcPr>
          <w:p>
            <w:pPr>
              <w:spacing w:after="0" w:line="164" w:lineRule="exact"/>
              <w:rPr>
                <w:sz w:val="20"/>
                <w:szCs w:val="20"/>
                <w:color w:val="auto"/>
              </w:rPr>
            </w:pPr>
            <w:r>
              <w:rPr>
                <w:rFonts w:ascii="Arial" w:cs="Arial" w:eastAsia="Arial" w:hAnsi="Arial"/>
                <w:sz w:val="16"/>
                <w:szCs w:val="16"/>
                <w:b w:val="1"/>
                <w:bCs w:val="1"/>
                <w:color w:val="auto"/>
              </w:rPr>
              <w:t>SoCalGas:</w:t>
            </w:r>
          </w:p>
        </w:tc>
        <w:tc>
          <w:tcPr>
            <w:tcW w:w="39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980" w:type="dxa"/>
            <w:vAlign w:val="bottom"/>
          </w:tcPr>
          <w:p>
            <w:pPr>
              <w:ind w:left="160"/>
              <w:spacing w:after="0" w:line="176" w:lineRule="exact"/>
              <w:rPr>
                <w:sz w:val="20"/>
                <w:szCs w:val="20"/>
                <w:color w:val="auto"/>
              </w:rPr>
            </w:pPr>
            <w:r>
              <w:rPr>
                <w:rFonts w:ascii="Arial" w:cs="Arial" w:eastAsia="Arial" w:hAnsi="Arial"/>
                <w:sz w:val="16"/>
                <w:szCs w:val="16"/>
                <w:color w:val="auto"/>
              </w:rPr>
              <w:t>Commodity contracts not subject</w:t>
            </w:r>
          </w:p>
        </w:tc>
        <w:tc>
          <w:tcPr>
            <w:tcW w:w="39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2980" w:type="dxa"/>
            <w:vAlign w:val="bottom"/>
          </w:tcPr>
          <w:p>
            <w:pPr>
              <w:ind w:left="340"/>
              <w:spacing w:after="0"/>
              <w:rPr>
                <w:sz w:val="20"/>
                <w:szCs w:val="20"/>
                <w:color w:val="auto"/>
              </w:rPr>
            </w:pPr>
            <w:r>
              <w:rPr>
                <w:rFonts w:ascii="Arial" w:cs="Arial" w:eastAsia="Arial" w:hAnsi="Arial"/>
                <w:sz w:val="16"/>
                <w:szCs w:val="16"/>
                <w:color w:val="auto"/>
              </w:rPr>
              <w:t>to rate recovery</w:t>
            </w:r>
          </w:p>
        </w:tc>
        <w:tc>
          <w:tcPr>
            <w:tcW w:w="3960" w:type="dxa"/>
            <w:vAlign w:val="bottom"/>
          </w:tcPr>
          <w:p>
            <w:pPr>
              <w:ind w:left="480"/>
              <w:spacing w:after="0"/>
              <w:rPr>
                <w:sz w:val="20"/>
                <w:szCs w:val="20"/>
                <w:color w:val="auto"/>
              </w:rPr>
            </w:pPr>
            <w:r>
              <w:rPr>
                <w:rFonts w:ascii="Arial" w:cs="Arial" w:eastAsia="Arial" w:hAnsi="Arial"/>
                <w:sz w:val="16"/>
                <w:szCs w:val="16"/>
                <w:color w:val="auto"/>
              </w:rPr>
              <w:t>Operation and Maintenance</w:t>
            </w:r>
          </w:p>
        </w:tc>
        <w:tc>
          <w:tcPr>
            <w:tcW w:w="560" w:type="dxa"/>
            <w:vAlign w:val="bottom"/>
          </w:tcPr>
          <w:p>
            <w:pPr>
              <w:jc w:val="right"/>
              <w:ind w:right="239"/>
              <w:spacing w:after="0"/>
              <w:rPr>
                <w:sz w:val="20"/>
                <w:szCs w:val="20"/>
                <w:color w:val="auto"/>
              </w:rPr>
            </w:pPr>
            <w:r>
              <w:rPr>
                <w:rFonts w:ascii="Arial" w:cs="Arial" w:eastAsia="Arial" w:hAnsi="Arial"/>
                <w:sz w:val="16"/>
                <w:szCs w:val="16"/>
                <w:color w:val="auto"/>
              </w:rPr>
              <w:t>$</w:t>
            </w:r>
          </w:p>
        </w:tc>
        <w:tc>
          <w:tcPr>
            <w:tcW w:w="580" w:type="dxa"/>
            <w:vAlign w:val="bottom"/>
          </w:tcPr>
          <w:p>
            <w:pPr>
              <w:jc w:val="right"/>
              <w:spacing w:after="0"/>
              <w:rPr>
                <w:sz w:val="20"/>
                <w:szCs w:val="20"/>
                <w:color w:val="auto"/>
              </w:rPr>
            </w:pPr>
            <w:r>
              <w:rPr>
                <w:rFonts w:ascii="Arial" w:cs="Arial" w:eastAsia="Arial" w:hAnsi="Arial"/>
                <w:sz w:val="16"/>
                <w:szCs w:val="16"/>
                <w:color w:val="auto"/>
              </w:rPr>
              <w:t>―</w:t>
            </w:r>
          </w:p>
        </w:tc>
        <w:tc>
          <w:tcPr>
            <w:tcW w:w="480" w:type="dxa"/>
            <w:vAlign w:val="bottom"/>
          </w:tcPr>
          <w:p>
            <w:pPr>
              <w:jc w:val="right"/>
              <w:ind w:right="219"/>
              <w:spacing w:after="0"/>
              <w:rPr>
                <w:sz w:val="20"/>
                <w:szCs w:val="20"/>
                <w:color w:val="auto"/>
              </w:rPr>
            </w:pPr>
            <w:r>
              <w:rPr>
                <w:rFonts w:ascii="Arial" w:cs="Arial" w:eastAsia="Arial" w:hAnsi="Arial"/>
                <w:sz w:val="16"/>
                <w:szCs w:val="16"/>
                <w:color w:val="auto"/>
              </w:rPr>
              <w:t>$</w:t>
            </w:r>
          </w:p>
        </w:tc>
        <w:tc>
          <w:tcPr>
            <w:tcW w:w="66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480" w:type="dxa"/>
            <w:vAlign w:val="bottom"/>
          </w:tcPr>
          <w:p>
            <w:pPr>
              <w:jc w:val="right"/>
              <w:ind w:right="239"/>
              <w:spacing w:after="0"/>
              <w:rPr>
                <w:sz w:val="20"/>
                <w:szCs w:val="20"/>
                <w:color w:val="auto"/>
              </w:rPr>
            </w:pPr>
            <w:r>
              <w:rPr>
                <w:rFonts w:ascii="Arial" w:cs="Arial" w:eastAsia="Arial" w:hAnsi="Arial"/>
                <w:sz w:val="16"/>
                <w:szCs w:val="16"/>
                <w:color w:val="auto"/>
              </w:rPr>
              <w:t>$</w:t>
            </w:r>
          </w:p>
        </w:tc>
        <w:tc>
          <w:tcPr>
            <w:tcW w:w="620" w:type="dxa"/>
            <w:vAlign w:val="bottom"/>
          </w:tcPr>
          <w:p>
            <w:pPr>
              <w:jc w:val="right"/>
              <w:ind w:right="19"/>
              <w:spacing w:after="0"/>
              <w:rPr>
                <w:sz w:val="20"/>
                <w:szCs w:val="20"/>
                <w:color w:val="auto"/>
              </w:rPr>
            </w:pPr>
            <w:r>
              <w:rPr>
                <w:rFonts w:ascii="Arial" w:cs="Arial" w:eastAsia="Arial" w:hAnsi="Arial"/>
                <w:sz w:val="16"/>
                <w:szCs w:val="16"/>
                <w:color w:val="auto"/>
              </w:rPr>
              <w:t>1</w:t>
            </w:r>
          </w:p>
        </w:tc>
        <w:tc>
          <w:tcPr>
            <w:tcW w:w="500" w:type="dxa"/>
            <w:vAlign w:val="bottom"/>
          </w:tcPr>
          <w:p>
            <w:pPr>
              <w:jc w:val="right"/>
              <w:ind w:right="239"/>
              <w:spacing w:after="0"/>
              <w:rPr>
                <w:sz w:val="20"/>
                <w:szCs w:val="20"/>
                <w:color w:val="auto"/>
              </w:rPr>
            </w:pPr>
            <w:r>
              <w:rPr>
                <w:rFonts w:ascii="Arial" w:cs="Arial" w:eastAsia="Arial" w:hAnsi="Arial"/>
                <w:sz w:val="16"/>
                <w:szCs w:val="16"/>
                <w:color w:val="auto"/>
              </w:rPr>
              <w:t>$</w:t>
            </w:r>
          </w:p>
        </w:tc>
        <w:tc>
          <w:tcPr>
            <w:tcW w:w="58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980" w:type="dxa"/>
            <w:vAlign w:val="bottom"/>
          </w:tcPr>
          <w:p>
            <w:pPr>
              <w:ind w:left="160"/>
              <w:spacing w:after="0"/>
              <w:rPr>
                <w:sz w:val="20"/>
                <w:szCs w:val="20"/>
                <w:color w:val="auto"/>
              </w:rPr>
            </w:pPr>
            <w:r>
              <w:rPr>
                <w:rFonts w:ascii="Arial" w:cs="Arial" w:eastAsia="Arial" w:hAnsi="Arial"/>
                <w:sz w:val="16"/>
                <w:szCs w:val="16"/>
                <w:color w:val="auto"/>
              </w:rPr>
              <w:t>Commodity contracts subject</w:t>
            </w:r>
          </w:p>
        </w:tc>
        <w:tc>
          <w:tcPr>
            <w:tcW w:w="39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580" w:type="dxa"/>
            <w:vAlign w:val="bottom"/>
            <w:vMerge w:val="restart"/>
          </w:tcPr>
          <w:p>
            <w:pPr>
              <w:jc w:val="right"/>
              <w:spacing w:after="0"/>
              <w:rPr>
                <w:sz w:val="20"/>
                <w:szCs w:val="20"/>
                <w:color w:val="auto"/>
              </w:rPr>
            </w:pPr>
            <w:r>
              <w:rPr>
                <w:rFonts w:ascii="Arial" w:cs="Arial" w:eastAsia="Arial" w:hAnsi="Arial"/>
                <w:sz w:val="16"/>
                <w:szCs w:val="16"/>
                <w:color w:val="auto"/>
              </w:rPr>
              <w:t>1</w:t>
            </w:r>
          </w:p>
        </w:tc>
        <w:tc>
          <w:tcPr>
            <w:tcW w:w="480" w:type="dxa"/>
            <w:vAlign w:val="bottom"/>
          </w:tcPr>
          <w:p>
            <w:pPr>
              <w:spacing w:after="0"/>
              <w:rPr>
                <w:sz w:val="17"/>
                <w:szCs w:val="17"/>
                <w:color w:val="auto"/>
              </w:rPr>
            </w:pPr>
          </w:p>
        </w:tc>
        <w:tc>
          <w:tcPr>
            <w:tcW w:w="660" w:type="dxa"/>
            <w:vAlign w:val="bottom"/>
            <w:vMerge w:val="restart"/>
          </w:tcPr>
          <w:p>
            <w:pPr>
              <w:jc w:val="right"/>
              <w:ind w:right="39"/>
              <w:spacing w:after="0"/>
              <w:rPr>
                <w:sz w:val="20"/>
                <w:szCs w:val="20"/>
                <w:color w:val="auto"/>
              </w:rPr>
            </w:pPr>
            <w:r>
              <w:rPr>
                <w:rFonts w:ascii="Arial" w:cs="Arial" w:eastAsia="Arial" w:hAnsi="Arial"/>
                <w:sz w:val="16"/>
                <w:szCs w:val="16"/>
                <w:color w:val="auto"/>
              </w:rPr>
              <w:t>1</w:t>
            </w:r>
          </w:p>
        </w:tc>
        <w:tc>
          <w:tcPr>
            <w:tcW w:w="480" w:type="dxa"/>
            <w:vAlign w:val="bottom"/>
          </w:tcPr>
          <w:p>
            <w:pPr>
              <w:spacing w:after="0"/>
              <w:rPr>
                <w:sz w:val="17"/>
                <w:szCs w:val="17"/>
                <w:color w:val="auto"/>
              </w:rPr>
            </w:pPr>
          </w:p>
        </w:tc>
        <w:tc>
          <w:tcPr>
            <w:tcW w:w="620" w:type="dxa"/>
            <w:vAlign w:val="bottom"/>
            <w:vMerge w:val="restart"/>
          </w:tcPr>
          <w:p>
            <w:pPr>
              <w:jc w:val="right"/>
              <w:ind w:right="19"/>
              <w:spacing w:after="0"/>
              <w:rPr>
                <w:sz w:val="20"/>
                <w:szCs w:val="20"/>
                <w:color w:val="auto"/>
              </w:rPr>
            </w:pPr>
            <w:r>
              <w:rPr>
                <w:rFonts w:ascii="Arial" w:cs="Arial" w:eastAsia="Arial" w:hAnsi="Arial"/>
                <w:sz w:val="16"/>
                <w:szCs w:val="16"/>
                <w:color w:val="auto"/>
              </w:rPr>
              <w:t>1</w:t>
            </w:r>
          </w:p>
        </w:tc>
        <w:tc>
          <w:tcPr>
            <w:tcW w:w="500" w:type="dxa"/>
            <w:vAlign w:val="bottom"/>
          </w:tcPr>
          <w:p>
            <w:pPr>
              <w:spacing w:after="0"/>
              <w:rPr>
                <w:sz w:val="17"/>
                <w:szCs w:val="17"/>
                <w:color w:val="auto"/>
              </w:rPr>
            </w:pPr>
          </w:p>
        </w:tc>
        <w:tc>
          <w:tcPr>
            <w:tcW w:w="580" w:type="dxa"/>
            <w:vAlign w:val="bottom"/>
            <w:vMerge w:val="restart"/>
          </w:tcPr>
          <w:p>
            <w:pPr>
              <w:jc w:val="right"/>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2980" w:type="dxa"/>
            <w:vAlign w:val="bottom"/>
          </w:tcPr>
          <w:p>
            <w:pPr>
              <w:ind w:left="340"/>
              <w:spacing w:after="0" w:line="168" w:lineRule="exact"/>
              <w:rPr>
                <w:sz w:val="20"/>
                <w:szCs w:val="20"/>
                <w:color w:val="auto"/>
              </w:rPr>
            </w:pPr>
            <w:r>
              <w:rPr>
                <w:rFonts w:ascii="Arial" w:cs="Arial" w:eastAsia="Arial" w:hAnsi="Arial"/>
                <w:sz w:val="16"/>
                <w:szCs w:val="16"/>
                <w:color w:val="auto"/>
              </w:rPr>
              <w:t>to rate recovery</w:t>
            </w:r>
          </w:p>
        </w:tc>
        <w:tc>
          <w:tcPr>
            <w:tcW w:w="3960" w:type="dxa"/>
            <w:vAlign w:val="bottom"/>
          </w:tcPr>
          <w:p>
            <w:pPr>
              <w:ind w:left="480"/>
              <w:spacing w:after="0" w:line="168" w:lineRule="exact"/>
              <w:rPr>
                <w:sz w:val="20"/>
                <w:szCs w:val="20"/>
                <w:color w:val="auto"/>
              </w:rPr>
            </w:pPr>
            <w:r>
              <w:rPr>
                <w:rFonts w:ascii="Arial" w:cs="Arial" w:eastAsia="Arial" w:hAnsi="Arial"/>
                <w:sz w:val="16"/>
                <w:szCs w:val="16"/>
                <w:color w:val="auto"/>
              </w:rPr>
              <w:t>Cost of Natural Gas</w:t>
            </w:r>
          </w:p>
        </w:tc>
        <w:tc>
          <w:tcPr>
            <w:tcW w:w="56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vMerge w:val="continue"/>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vMerge w:val="continue"/>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vMerge w:val="continue"/>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2980" w:type="dxa"/>
            <w:vAlign w:val="bottom"/>
          </w:tcPr>
          <w:p>
            <w:pPr>
              <w:ind w:left="160"/>
              <w:spacing w:after="0"/>
              <w:rPr>
                <w:sz w:val="20"/>
                <w:szCs w:val="20"/>
                <w:color w:val="auto"/>
              </w:rPr>
            </w:pPr>
            <w:r>
              <w:rPr>
                <w:rFonts w:ascii="Arial" w:cs="Arial" w:eastAsia="Arial" w:hAnsi="Arial"/>
                <w:sz w:val="16"/>
                <w:szCs w:val="16"/>
                <w:color w:val="auto"/>
              </w:rPr>
              <w:t>Total</w:t>
            </w:r>
          </w:p>
        </w:tc>
        <w:tc>
          <w:tcPr>
            <w:tcW w:w="3960" w:type="dxa"/>
            <w:vAlign w:val="bottom"/>
          </w:tcPr>
          <w:p>
            <w:pPr>
              <w:spacing w:after="0"/>
              <w:rPr>
                <w:sz w:val="16"/>
                <w:szCs w:val="16"/>
                <w:color w:val="auto"/>
              </w:rPr>
            </w:pPr>
          </w:p>
        </w:tc>
        <w:tc>
          <w:tcPr>
            <w:tcW w:w="560" w:type="dxa"/>
            <w:vAlign w:val="bottom"/>
          </w:tcPr>
          <w:p>
            <w:pPr>
              <w:jc w:val="right"/>
              <w:ind w:right="239"/>
              <w:spacing w:after="0"/>
              <w:rPr>
                <w:sz w:val="20"/>
                <w:szCs w:val="20"/>
                <w:color w:val="auto"/>
              </w:rPr>
            </w:pPr>
            <w:r>
              <w:rPr>
                <w:rFonts w:ascii="Arial" w:cs="Arial" w:eastAsia="Arial" w:hAnsi="Arial"/>
                <w:sz w:val="16"/>
                <w:szCs w:val="16"/>
                <w:color w:val="auto"/>
              </w:rPr>
              <w:t>$</w:t>
            </w:r>
          </w:p>
        </w:tc>
        <w:tc>
          <w:tcPr>
            <w:tcW w:w="580" w:type="dxa"/>
            <w:vAlign w:val="bottom"/>
          </w:tcPr>
          <w:p>
            <w:pPr>
              <w:jc w:val="right"/>
              <w:spacing w:after="0"/>
              <w:rPr>
                <w:sz w:val="20"/>
                <w:szCs w:val="20"/>
                <w:color w:val="auto"/>
              </w:rPr>
            </w:pPr>
            <w:r>
              <w:rPr>
                <w:rFonts w:ascii="Arial" w:cs="Arial" w:eastAsia="Arial" w:hAnsi="Arial"/>
                <w:sz w:val="16"/>
                <w:szCs w:val="16"/>
                <w:color w:val="auto"/>
              </w:rPr>
              <w:t>1</w:t>
            </w:r>
          </w:p>
        </w:tc>
        <w:tc>
          <w:tcPr>
            <w:tcW w:w="480" w:type="dxa"/>
            <w:vAlign w:val="bottom"/>
          </w:tcPr>
          <w:p>
            <w:pPr>
              <w:jc w:val="right"/>
              <w:ind w:right="219"/>
              <w:spacing w:after="0"/>
              <w:rPr>
                <w:sz w:val="20"/>
                <w:szCs w:val="20"/>
                <w:color w:val="auto"/>
              </w:rPr>
            </w:pPr>
            <w:r>
              <w:rPr>
                <w:rFonts w:ascii="Arial" w:cs="Arial" w:eastAsia="Arial" w:hAnsi="Arial"/>
                <w:sz w:val="16"/>
                <w:szCs w:val="16"/>
                <w:color w:val="auto"/>
              </w:rPr>
              <w:t>$</w:t>
            </w:r>
          </w:p>
        </w:tc>
        <w:tc>
          <w:tcPr>
            <w:tcW w:w="660" w:type="dxa"/>
            <w:vAlign w:val="bottom"/>
          </w:tcPr>
          <w:p>
            <w:pPr>
              <w:jc w:val="right"/>
              <w:ind w:right="39"/>
              <w:spacing w:after="0"/>
              <w:rPr>
                <w:sz w:val="20"/>
                <w:szCs w:val="20"/>
                <w:color w:val="auto"/>
              </w:rPr>
            </w:pPr>
            <w:r>
              <w:rPr>
                <w:rFonts w:ascii="Arial" w:cs="Arial" w:eastAsia="Arial" w:hAnsi="Arial"/>
                <w:sz w:val="16"/>
                <w:szCs w:val="16"/>
                <w:color w:val="auto"/>
              </w:rPr>
              <w:t>1</w:t>
            </w:r>
          </w:p>
        </w:tc>
        <w:tc>
          <w:tcPr>
            <w:tcW w:w="480" w:type="dxa"/>
            <w:vAlign w:val="bottom"/>
          </w:tcPr>
          <w:p>
            <w:pPr>
              <w:jc w:val="right"/>
              <w:ind w:right="239"/>
              <w:spacing w:after="0"/>
              <w:rPr>
                <w:sz w:val="20"/>
                <w:szCs w:val="20"/>
                <w:color w:val="auto"/>
              </w:rPr>
            </w:pPr>
            <w:r>
              <w:rPr>
                <w:rFonts w:ascii="Arial" w:cs="Arial" w:eastAsia="Arial" w:hAnsi="Arial"/>
                <w:sz w:val="16"/>
                <w:szCs w:val="16"/>
                <w:color w:val="auto"/>
              </w:rPr>
              <w:t>$</w:t>
            </w:r>
          </w:p>
        </w:tc>
        <w:tc>
          <w:tcPr>
            <w:tcW w:w="620" w:type="dxa"/>
            <w:vAlign w:val="bottom"/>
          </w:tcPr>
          <w:p>
            <w:pPr>
              <w:jc w:val="right"/>
              <w:ind w:right="19"/>
              <w:spacing w:after="0"/>
              <w:rPr>
                <w:sz w:val="20"/>
                <w:szCs w:val="20"/>
                <w:color w:val="auto"/>
              </w:rPr>
            </w:pPr>
            <w:r>
              <w:rPr>
                <w:rFonts w:ascii="Arial" w:cs="Arial" w:eastAsia="Arial" w:hAnsi="Arial"/>
                <w:sz w:val="16"/>
                <w:szCs w:val="16"/>
                <w:color w:val="auto"/>
              </w:rPr>
              <w:t>2</w:t>
            </w:r>
          </w:p>
        </w:tc>
        <w:tc>
          <w:tcPr>
            <w:tcW w:w="500" w:type="dxa"/>
            <w:vAlign w:val="bottom"/>
          </w:tcPr>
          <w:p>
            <w:pPr>
              <w:jc w:val="right"/>
              <w:ind w:right="239"/>
              <w:spacing w:after="0"/>
              <w:rPr>
                <w:sz w:val="20"/>
                <w:szCs w:val="20"/>
                <w:color w:val="auto"/>
              </w:rPr>
            </w:pPr>
            <w:r>
              <w:rPr>
                <w:rFonts w:ascii="Arial" w:cs="Arial" w:eastAsia="Arial" w:hAnsi="Arial"/>
                <w:sz w:val="16"/>
                <w:szCs w:val="16"/>
                <w:color w:val="auto"/>
              </w:rPr>
              <w:t>$</w:t>
            </w:r>
          </w:p>
        </w:tc>
        <w:tc>
          <w:tcPr>
            <w:tcW w:w="580" w:type="dxa"/>
            <w:vAlign w:val="bottom"/>
          </w:tcPr>
          <w:p>
            <w:pPr>
              <w:jc w:val="right"/>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24662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ind w:left="500" w:hanging="492"/>
        <w:spacing w:after="0"/>
        <w:tabs>
          <w:tab w:leader="none" w:pos="500" w:val="left"/>
        </w:tabs>
        <w:numPr>
          <w:ilvl w:val="0"/>
          <w:numId w:val="29"/>
        </w:numPr>
        <w:rPr>
          <w:rFonts w:ascii="Arial" w:cs="Arial" w:eastAsia="Arial" w:hAnsi="Arial"/>
          <w:sz w:val="14"/>
          <w:szCs w:val="14"/>
          <w:i w:val="1"/>
          <w:iCs w:val="1"/>
          <w:color w:val="auto"/>
        </w:rPr>
      </w:pPr>
      <w:r>
        <w:rPr>
          <w:rFonts w:ascii="Arial" w:cs="Arial" w:eastAsia="Arial" w:hAnsi="Arial"/>
          <w:sz w:val="14"/>
          <w:szCs w:val="14"/>
          <w:i w:val="1"/>
          <w:iCs w:val="1"/>
          <w:color w:val="auto"/>
        </w:rPr>
        <w:t>Amount for 2010 is related to Otay Mesa VIE. Sempra Energy Consolidated also includes additional instruments.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CONTINGENT FEATURES</w:t>
      </w:r>
    </w:p>
    <w:p>
      <w:pPr>
        <w:spacing w:after="0" w:line="234" w:lineRule="exact"/>
        <w:rPr>
          <w:sz w:val="20"/>
          <w:szCs w:val="20"/>
          <w:color w:val="auto"/>
        </w:rPr>
      </w:pPr>
    </w:p>
    <w:p>
      <w:pPr>
        <w:jc w:val="both"/>
        <w:ind w:right="220"/>
        <w:spacing w:after="0" w:line="259" w:lineRule="auto"/>
        <w:rPr>
          <w:sz w:val="20"/>
          <w:szCs w:val="20"/>
          <w:color w:val="auto"/>
        </w:rPr>
      </w:pPr>
      <w:r>
        <w:rPr>
          <w:rFonts w:ascii="Arial" w:cs="Arial" w:eastAsia="Arial" w:hAnsi="Arial"/>
          <w:sz w:val="18"/>
          <w:szCs w:val="18"/>
          <w:color w:val="auto"/>
        </w:rPr>
        <w:t>For Sempra Energy and SDG&amp;E, certain of our derivative instruments contain credit limits which vary depending upon our credit ratings. Generally, these provisions, if applicable, may reduce our credit limit if a specified credit rating agency reduces our ratings. In certain cases, if our credit ratings were to fall below investment grade, the counterparty to these derivative liability instruments could request immediate payment or demand immediate and ongoing full collateralization.</w:t>
      </w:r>
    </w:p>
    <w:p>
      <w:pPr>
        <w:spacing w:after="0" w:line="187" w:lineRule="exact"/>
        <w:rPr>
          <w:sz w:val="20"/>
          <w:szCs w:val="20"/>
          <w:color w:val="auto"/>
        </w:rPr>
      </w:pPr>
    </w:p>
    <w:p>
      <w:pPr>
        <w:jc w:val="both"/>
        <w:ind w:right="260"/>
        <w:spacing w:after="0" w:line="264" w:lineRule="auto"/>
        <w:rPr>
          <w:sz w:val="20"/>
          <w:szCs w:val="20"/>
          <w:color w:val="auto"/>
        </w:rPr>
      </w:pPr>
      <w:r>
        <w:rPr>
          <w:rFonts w:ascii="Arial" w:cs="Arial" w:eastAsia="Arial" w:hAnsi="Arial"/>
          <w:sz w:val="18"/>
          <w:szCs w:val="18"/>
          <w:color w:val="auto"/>
        </w:rPr>
        <w:t>For Sempra Energy, the total fair value of this group of derivative instruments in a net liability position at June 30, 2011 is $4 million. As of June 30, 2011, if the credit ratings of Sempra Energy were reduced below investment grade, $4 million of additional assets could be required to be posted as collateral for these derivative contracts.</w:t>
      </w:r>
    </w:p>
    <w:p>
      <w:pPr>
        <w:spacing w:after="0" w:line="181"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For Sempra Energy, SDG&amp;E, and SoCalGas, some of our derivative contracts contain a provision that would permit the counterparty, in certain circumstances, to request adequate assurance of our performance under the contracts. Such additional assurance, if needed, is not material and is not included in the amounts 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193040</wp:posOffset>
            </wp:positionV>
            <wp:extent cx="7263765"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20"/>
          <w:szCs w:val="20"/>
          <w:color w:val="auto"/>
        </w:rPr>
        <w:t>NOTE 8. FAIR VALUE MEASUREMENTS</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Fair Value of Financial Instruments</w:t>
      </w:r>
    </w:p>
    <w:p>
      <w:pPr>
        <w:spacing w:after="0" w:line="205" w:lineRule="exact"/>
        <w:rPr>
          <w:sz w:val="20"/>
          <w:szCs w:val="20"/>
          <w:color w:val="auto"/>
        </w:rPr>
      </w:pPr>
    </w:p>
    <w:p>
      <w:pPr>
        <w:jc w:val="both"/>
        <w:ind w:right="280"/>
        <w:spacing w:after="0" w:line="264" w:lineRule="auto"/>
        <w:rPr>
          <w:sz w:val="20"/>
          <w:szCs w:val="20"/>
          <w:color w:val="auto"/>
        </w:rPr>
      </w:pPr>
      <w:r>
        <w:rPr>
          <w:rFonts w:ascii="Arial" w:cs="Arial" w:eastAsia="Arial" w:hAnsi="Arial"/>
          <w:sz w:val="18"/>
          <w:szCs w:val="18"/>
          <w:color w:val="auto"/>
        </w:rPr>
        <w:t>The fair values of certain of our financial instruments (cash, temporary investments, accounts and notes receivable, dividends and accounts payable, short-term debt and customer deposits) approximate their carrying amounts. The following table provides the carrying amounts and fair values of the remaining financial instruments at June 30, 2011 and December 31, 2010:</w:t>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FAIR VALUE OF FINANCIAL INSTRUMENTS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-104775</wp:posOffset>
            </wp:positionV>
            <wp:extent cx="7246620" cy="22288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46620" cy="222885"/>
                    </a:xfrm>
                    <a:prstGeom prst="rect">
                      <a:avLst/>
                    </a:prstGeom>
                    <a:noFill/>
                  </pic:spPr>
                </pic:pic>
              </a:graphicData>
            </a:graphic>
          </wp:anchor>
        </w:drawing>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460" w:type="dxa"/>
            <w:vAlign w:val="bottom"/>
            <w:gridSpan w:val="2"/>
          </w:tcPr>
          <w:p>
            <w:pPr>
              <w:spacing w:after="0"/>
              <w:rPr>
                <w:sz w:val="20"/>
                <w:szCs w:val="20"/>
                <w:color w:val="auto"/>
              </w:rPr>
            </w:pPr>
            <w:r>
              <w:rPr>
                <w:rFonts w:ascii="Arial" w:cs="Arial" w:eastAsia="Arial" w:hAnsi="Arial"/>
                <w:sz w:val="14"/>
                <w:szCs w:val="14"/>
                <w:i w:val="1"/>
                <w:iCs w:val="1"/>
                <w:color w:val="auto"/>
              </w:rPr>
              <w:t>(Dollars in millions)</w:t>
            </w:r>
          </w:p>
        </w:tc>
        <w:tc>
          <w:tcPr>
            <w:tcW w:w="1020" w:type="dxa"/>
            <w:vAlign w:val="bottom"/>
          </w:tcPr>
          <w:p>
            <w:pPr>
              <w:spacing w:after="0"/>
              <w:rPr>
                <w:sz w:val="16"/>
                <w:szCs w:val="16"/>
                <w:color w:val="auto"/>
              </w:rPr>
            </w:pPr>
          </w:p>
        </w:tc>
        <w:tc>
          <w:tcPr>
            <w:tcW w:w="960" w:type="dxa"/>
            <w:vAlign w:val="bottom"/>
            <w:gridSpan w:val="2"/>
            <w:vMerge w:val="restart"/>
          </w:tcPr>
          <w:p>
            <w:pPr>
              <w:jc w:val="right"/>
              <w:spacing w:after="0"/>
              <w:rPr>
                <w:sz w:val="20"/>
                <w:szCs w:val="20"/>
                <w:color w:val="auto"/>
              </w:rPr>
            </w:pPr>
            <w:r>
              <w:rPr>
                <w:rFonts w:ascii="Arial" w:cs="Arial" w:eastAsia="Arial" w:hAnsi="Arial"/>
                <w:sz w:val="14"/>
                <w:szCs w:val="14"/>
                <w:color w:val="auto"/>
              </w:rPr>
              <w:t>June 30, 2011</w:t>
            </w:r>
          </w:p>
        </w:tc>
        <w:tc>
          <w:tcPr>
            <w:tcW w:w="1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560" w:type="dxa"/>
            <w:vAlign w:val="bottom"/>
            <w:gridSpan w:val="3"/>
            <w:vMerge w:val="restart"/>
          </w:tcPr>
          <w:p>
            <w:pPr>
              <w:jc w:val="right"/>
              <w:ind w:right="781"/>
              <w:spacing w:after="0"/>
              <w:rPr>
                <w:sz w:val="20"/>
                <w:szCs w:val="20"/>
                <w:color w:val="auto"/>
              </w:rPr>
            </w:pPr>
            <w:r>
              <w:rPr>
                <w:rFonts w:ascii="Arial" w:cs="Arial" w:eastAsia="Arial" w:hAnsi="Arial"/>
                <w:sz w:val="14"/>
                <w:szCs w:val="14"/>
                <w:color w:val="auto"/>
              </w:rPr>
              <w:t>December 31, 2010</w:t>
            </w: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5440" w:type="dxa"/>
            <w:vAlign w:val="bottom"/>
          </w:tcPr>
          <w:p>
            <w:pPr>
              <w:spacing w:after="0"/>
              <w:rPr>
                <w:sz w:val="12"/>
                <w:szCs w:val="12"/>
                <w:color w:val="auto"/>
              </w:rPr>
            </w:pPr>
          </w:p>
        </w:tc>
        <w:tc>
          <w:tcPr>
            <w:tcW w:w="102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gridSpan w:val="2"/>
            <w:vMerge w:val="continue"/>
          </w:tcPr>
          <w:p>
            <w:pPr>
              <w:spacing w:after="0"/>
              <w:rPr>
                <w:sz w:val="12"/>
                <w:szCs w:val="12"/>
                <w:color w:val="auto"/>
              </w:rPr>
            </w:pPr>
          </w:p>
        </w:tc>
        <w:tc>
          <w:tcPr>
            <w:tcW w:w="1120" w:type="dxa"/>
            <w:vAlign w:val="bottom"/>
            <w:tcBorders>
              <w:bottom w:val="single" w:sz="8" w:color="auto"/>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2560" w:type="dxa"/>
            <w:vAlign w:val="bottom"/>
            <w:tcBorders>
              <w:bottom w:val="single" w:sz="8" w:color="auto"/>
            </w:tcBorders>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544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Carrying</w:t>
            </w:r>
          </w:p>
        </w:tc>
        <w:tc>
          <w:tcPr>
            <w:tcW w:w="6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20" w:type="dxa"/>
            <w:vAlign w:val="bottom"/>
          </w:tcPr>
          <w:p>
            <w:pPr>
              <w:jc w:val="right"/>
              <w:ind w:right="681"/>
              <w:spacing w:after="0"/>
              <w:rPr>
                <w:sz w:val="20"/>
                <w:szCs w:val="20"/>
                <w:color w:val="auto"/>
              </w:rPr>
            </w:pPr>
            <w:r>
              <w:rPr>
                <w:rFonts w:ascii="Arial" w:cs="Arial" w:eastAsia="Arial" w:hAnsi="Arial"/>
                <w:sz w:val="14"/>
                <w:szCs w:val="14"/>
                <w:color w:val="auto"/>
              </w:rPr>
              <w:t>Fair</w:t>
            </w:r>
          </w:p>
        </w:tc>
        <w:tc>
          <w:tcPr>
            <w:tcW w:w="300" w:type="dxa"/>
            <w:vAlign w:val="bottom"/>
          </w:tcPr>
          <w:p>
            <w:pPr>
              <w:spacing w:after="0"/>
              <w:rPr>
                <w:sz w:val="16"/>
                <w:szCs w:val="16"/>
                <w:color w:val="auto"/>
              </w:rPr>
            </w:pPr>
          </w:p>
        </w:tc>
        <w:tc>
          <w:tcPr>
            <w:tcW w:w="1180" w:type="dxa"/>
            <w:vAlign w:val="bottom"/>
          </w:tcPr>
          <w:p>
            <w:pPr>
              <w:jc w:val="right"/>
              <w:ind w:right="521"/>
              <w:spacing w:after="0"/>
              <w:rPr>
                <w:sz w:val="20"/>
                <w:szCs w:val="20"/>
                <w:color w:val="auto"/>
              </w:rPr>
            </w:pPr>
            <w:r>
              <w:rPr>
                <w:rFonts w:ascii="Arial" w:cs="Arial" w:eastAsia="Arial" w:hAnsi="Arial"/>
                <w:sz w:val="14"/>
                <w:szCs w:val="14"/>
                <w:color w:val="auto"/>
              </w:rPr>
              <w:t>Carrying</w:t>
            </w:r>
          </w:p>
        </w:tc>
        <w:tc>
          <w:tcPr>
            <w:tcW w:w="360" w:type="dxa"/>
            <w:vAlign w:val="bottom"/>
          </w:tcPr>
          <w:p>
            <w:pPr>
              <w:spacing w:after="0"/>
              <w:rPr>
                <w:sz w:val="16"/>
                <w:szCs w:val="16"/>
                <w:color w:val="auto"/>
              </w:rPr>
            </w:pPr>
          </w:p>
        </w:tc>
        <w:tc>
          <w:tcPr>
            <w:tcW w:w="1020" w:type="dxa"/>
            <w:vAlign w:val="bottom"/>
          </w:tcPr>
          <w:p>
            <w:pPr>
              <w:jc w:val="right"/>
              <w:ind w:right="561"/>
              <w:spacing w:after="0"/>
              <w:rPr>
                <w:sz w:val="20"/>
                <w:szCs w:val="20"/>
                <w:color w:val="auto"/>
              </w:rPr>
            </w:pPr>
            <w:r>
              <w:rPr>
                <w:rFonts w:ascii="Arial" w:cs="Arial" w:eastAsia="Arial" w:hAnsi="Arial"/>
                <w:sz w:val="14"/>
                <w:szCs w:val="14"/>
                <w:color w:val="auto"/>
              </w:rPr>
              <w:t>Fair</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544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Amount</w:t>
            </w:r>
          </w:p>
        </w:tc>
        <w:tc>
          <w:tcPr>
            <w:tcW w:w="60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621"/>
              <w:spacing w:after="0"/>
              <w:rPr>
                <w:sz w:val="20"/>
                <w:szCs w:val="20"/>
                <w:color w:val="auto"/>
              </w:rPr>
            </w:pPr>
            <w:r>
              <w:rPr>
                <w:rFonts w:ascii="Arial" w:cs="Arial" w:eastAsia="Arial" w:hAnsi="Arial"/>
                <w:sz w:val="14"/>
                <w:szCs w:val="14"/>
                <w:color w:val="auto"/>
              </w:rPr>
              <w:t>Value</w:t>
            </w:r>
          </w:p>
        </w:tc>
        <w:tc>
          <w:tcPr>
            <w:tcW w:w="30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541"/>
              <w:spacing w:after="0"/>
              <w:rPr>
                <w:sz w:val="20"/>
                <w:szCs w:val="20"/>
                <w:color w:val="auto"/>
              </w:rPr>
            </w:pPr>
            <w:r>
              <w:rPr>
                <w:rFonts w:ascii="Arial" w:cs="Arial" w:eastAsia="Arial" w:hAnsi="Arial"/>
                <w:sz w:val="14"/>
                <w:szCs w:val="14"/>
                <w:color w:val="auto"/>
              </w:rPr>
              <w:t>Amount</w:t>
            </w:r>
          </w:p>
        </w:tc>
        <w:tc>
          <w:tcPr>
            <w:tcW w:w="36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501"/>
              <w:spacing w:after="0"/>
              <w:rPr>
                <w:sz w:val="20"/>
                <w:szCs w:val="20"/>
                <w:color w:val="auto"/>
              </w:rPr>
            </w:pPr>
            <w:r>
              <w:rPr>
                <w:rFonts w:ascii="Arial" w:cs="Arial" w:eastAsia="Arial" w:hAnsi="Arial"/>
                <w:sz w:val="14"/>
                <w:szCs w:val="14"/>
                <w:color w:val="auto"/>
              </w:rPr>
              <w:t>Value</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5440" w:type="dxa"/>
            <w:vAlign w:val="bottom"/>
          </w:tcPr>
          <w:p>
            <w:pPr>
              <w:spacing w:after="0" w:line="164" w:lineRule="exact"/>
              <w:rPr>
                <w:sz w:val="20"/>
                <w:szCs w:val="20"/>
                <w:color w:val="auto"/>
              </w:rPr>
            </w:pPr>
            <w:r>
              <w:rPr>
                <w:rFonts w:ascii="Arial" w:cs="Arial" w:eastAsia="Arial" w:hAnsi="Arial"/>
                <w:sz w:val="16"/>
                <w:szCs w:val="16"/>
                <w:b w:val="1"/>
                <w:bCs w:val="1"/>
                <w:color w:val="auto"/>
              </w:rPr>
              <w:t>Sempra Energy Consolidated:</w:t>
            </w:r>
          </w:p>
        </w:tc>
        <w:tc>
          <w:tcPr>
            <w:tcW w:w="10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5460" w:type="dxa"/>
            <w:vAlign w:val="bottom"/>
            <w:gridSpan w:val="2"/>
          </w:tcPr>
          <w:p>
            <w:pPr>
              <w:spacing w:after="0" w:line="176" w:lineRule="exact"/>
              <w:rPr>
                <w:sz w:val="20"/>
                <w:szCs w:val="20"/>
                <w:color w:val="auto"/>
              </w:rPr>
            </w:pPr>
            <w:r>
              <w:rPr>
                <w:rFonts w:ascii="Arial" w:cs="Arial" w:eastAsia="Arial" w:hAnsi="Arial"/>
                <w:sz w:val="16"/>
                <w:szCs w:val="16"/>
                <w:color w:val="auto"/>
              </w:rPr>
              <w:t>Investments in affordable housing partnerships(1)</w:t>
            </w:r>
          </w:p>
        </w:tc>
        <w:tc>
          <w:tcPr>
            <w:tcW w:w="1020" w:type="dxa"/>
            <w:vAlign w:val="bottom"/>
          </w:tcPr>
          <w:p>
            <w:pPr>
              <w:jc w:val="right"/>
              <w:ind w:right="543"/>
              <w:spacing w:after="0" w:line="176" w:lineRule="exact"/>
              <w:rPr>
                <w:sz w:val="20"/>
                <w:szCs w:val="20"/>
                <w:color w:val="auto"/>
              </w:rPr>
            </w:pPr>
            <w:r>
              <w:rPr>
                <w:rFonts w:ascii="Arial" w:cs="Arial" w:eastAsia="Arial" w:hAnsi="Arial"/>
                <w:sz w:val="16"/>
                <w:szCs w:val="16"/>
                <w:color w:val="auto"/>
              </w:rPr>
              <w:t>$</w:t>
            </w:r>
          </w:p>
        </w:tc>
        <w:tc>
          <w:tcPr>
            <w:tcW w:w="600" w:type="dxa"/>
            <w:vAlign w:val="bottom"/>
          </w:tcPr>
          <w:p>
            <w:pPr>
              <w:jc w:val="right"/>
              <w:ind w:right="100"/>
              <w:spacing w:after="0" w:line="176" w:lineRule="exact"/>
              <w:rPr>
                <w:sz w:val="20"/>
                <w:szCs w:val="20"/>
                <w:color w:val="auto"/>
              </w:rPr>
            </w:pPr>
            <w:r>
              <w:rPr>
                <w:rFonts w:ascii="Arial" w:cs="Arial" w:eastAsia="Arial" w:hAnsi="Arial"/>
                <w:sz w:val="16"/>
                <w:szCs w:val="16"/>
                <w:color w:val="auto"/>
              </w:rPr>
              <w:t>25</w:t>
            </w:r>
          </w:p>
        </w:tc>
        <w:tc>
          <w:tcPr>
            <w:tcW w:w="360" w:type="dxa"/>
            <w:vAlign w:val="bottom"/>
          </w:tcPr>
          <w:p>
            <w:pPr>
              <w:jc w:val="right"/>
              <w:ind w:right="19"/>
              <w:spacing w:after="0" w:line="176" w:lineRule="exact"/>
              <w:rPr>
                <w:sz w:val="20"/>
                <w:szCs w:val="20"/>
                <w:color w:val="auto"/>
              </w:rPr>
            </w:pPr>
            <w:r>
              <w:rPr>
                <w:rFonts w:ascii="Arial" w:cs="Arial" w:eastAsia="Arial" w:hAnsi="Arial"/>
                <w:sz w:val="16"/>
                <w:szCs w:val="16"/>
                <w:color w:val="auto"/>
              </w:rPr>
              <w:t>$</w:t>
            </w:r>
          </w:p>
        </w:tc>
        <w:tc>
          <w:tcPr>
            <w:tcW w:w="1120" w:type="dxa"/>
            <w:vAlign w:val="bottom"/>
          </w:tcPr>
          <w:p>
            <w:pPr>
              <w:jc w:val="right"/>
              <w:ind w:right="101"/>
              <w:spacing w:after="0" w:line="176" w:lineRule="exact"/>
              <w:rPr>
                <w:sz w:val="20"/>
                <w:szCs w:val="20"/>
                <w:color w:val="auto"/>
              </w:rPr>
            </w:pPr>
            <w:r>
              <w:rPr>
                <w:rFonts w:ascii="Arial" w:cs="Arial" w:eastAsia="Arial" w:hAnsi="Arial"/>
                <w:sz w:val="16"/>
                <w:szCs w:val="16"/>
                <w:color w:val="auto"/>
              </w:rPr>
              <w:t>58</w:t>
            </w:r>
          </w:p>
        </w:tc>
        <w:tc>
          <w:tcPr>
            <w:tcW w:w="300" w:type="dxa"/>
            <w:vAlign w:val="bottom"/>
          </w:tcPr>
          <w:p>
            <w:pPr>
              <w:jc w:val="right"/>
              <w:spacing w:after="0" w:line="176" w:lineRule="exact"/>
              <w:rPr>
                <w:sz w:val="20"/>
                <w:szCs w:val="20"/>
                <w:color w:val="auto"/>
              </w:rPr>
            </w:pPr>
            <w:r>
              <w:rPr>
                <w:rFonts w:ascii="Arial" w:cs="Arial" w:eastAsia="Arial" w:hAnsi="Arial"/>
                <w:sz w:val="16"/>
                <w:szCs w:val="16"/>
                <w:color w:val="auto"/>
              </w:rPr>
              <w:t>$</w:t>
            </w:r>
          </w:p>
        </w:tc>
        <w:tc>
          <w:tcPr>
            <w:tcW w:w="1180" w:type="dxa"/>
            <w:vAlign w:val="bottom"/>
          </w:tcPr>
          <w:p>
            <w:pPr>
              <w:jc w:val="right"/>
              <w:ind w:right="101"/>
              <w:spacing w:after="0" w:line="176" w:lineRule="exact"/>
              <w:rPr>
                <w:sz w:val="20"/>
                <w:szCs w:val="20"/>
                <w:color w:val="auto"/>
              </w:rPr>
            </w:pPr>
            <w:r>
              <w:rPr>
                <w:rFonts w:ascii="Arial" w:cs="Arial" w:eastAsia="Arial" w:hAnsi="Arial"/>
                <w:sz w:val="16"/>
                <w:szCs w:val="16"/>
                <w:color w:val="auto"/>
              </w:rPr>
              <w:t>28</w:t>
            </w:r>
          </w:p>
        </w:tc>
        <w:tc>
          <w:tcPr>
            <w:tcW w:w="360" w:type="dxa"/>
            <w:vAlign w:val="bottom"/>
          </w:tcPr>
          <w:p>
            <w:pPr>
              <w:jc w:val="right"/>
              <w:spacing w:after="0" w:line="176" w:lineRule="exact"/>
              <w:rPr>
                <w:sz w:val="20"/>
                <w:szCs w:val="20"/>
                <w:color w:val="auto"/>
              </w:rPr>
            </w:pPr>
            <w:r>
              <w:rPr>
                <w:rFonts w:ascii="Arial" w:cs="Arial" w:eastAsia="Arial" w:hAnsi="Arial"/>
                <w:sz w:val="16"/>
                <w:szCs w:val="16"/>
                <w:color w:val="auto"/>
              </w:rPr>
              <w:t>$</w:t>
            </w:r>
          </w:p>
        </w:tc>
        <w:tc>
          <w:tcPr>
            <w:tcW w:w="1020" w:type="dxa"/>
            <w:vAlign w:val="bottom"/>
          </w:tcPr>
          <w:p>
            <w:pPr>
              <w:jc w:val="right"/>
              <w:spacing w:after="0" w:line="176" w:lineRule="exact"/>
              <w:rPr>
                <w:sz w:val="20"/>
                <w:szCs w:val="20"/>
                <w:color w:val="auto"/>
              </w:rPr>
            </w:pPr>
            <w:r>
              <w:rPr>
                <w:rFonts w:ascii="Arial" w:cs="Arial" w:eastAsia="Arial" w:hAnsi="Arial"/>
                <w:sz w:val="16"/>
                <w:szCs w:val="16"/>
                <w:color w:val="auto"/>
              </w:rPr>
              <w:t>58</w:t>
            </w:r>
          </w:p>
        </w:tc>
        <w:tc>
          <w:tcPr>
            <w:tcW w:w="0" w:type="dxa"/>
            <w:vAlign w:val="bottom"/>
          </w:tcPr>
          <w:p>
            <w:pPr>
              <w:spacing w:after="0"/>
              <w:rPr>
                <w:sz w:val="1"/>
                <w:szCs w:val="1"/>
                <w:color w:val="auto"/>
              </w:rPr>
            </w:pPr>
          </w:p>
        </w:tc>
      </w:tr>
      <w:tr>
        <w:trPr>
          <w:trHeight w:val="176"/>
        </w:trPr>
        <w:tc>
          <w:tcPr>
            <w:tcW w:w="5460" w:type="dxa"/>
            <w:vAlign w:val="bottom"/>
            <w:gridSpan w:val="2"/>
          </w:tcPr>
          <w:p>
            <w:pPr>
              <w:spacing w:after="0" w:line="176" w:lineRule="exact"/>
              <w:rPr>
                <w:sz w:val="20"/>
                <w:szCs w:val="20"/>
                <w:color w:val="auto"/>
              </w:rPr>
            </w:pPr>
            <w:r>
              <w:rPr>
                <w:rFonts w:ascii="Arial" w:cs="Arial" w:eastAsia="Arial" w:hAnsi="Arial"/>
                <w:sz w:val="16"/>
                <w:szCs w:val="16"/>
                <w:color w:val="auto"/>
              </w:rPr>
              <w:t>Total long-term debt(2)</w:t>
            </w:r>
          </w:p>
        </w:tc>
        <w:tc>
          <w:tcPr>
            <w:tcW w:w="1020" w:type="dxa"/>
            <w:vAlign w:val="bottom"/>
          </w:tcPr>
          <w:p>
            <w:pPr>
              <w:spacing w:after="0"/>
              <w:rPr>
                <w:sz w:val="15"/>
                <w:szCs w:val="15"/>
                <w:color w:val="auto"/>
              </w:rPr>
            </w:pPr>
          </w:p>
        </w:tc>
        <w:tc>
          <w:tcPr>
            <w:tcW w:w="600" w:type="dxa"/>
            <w:vAlign w:val="bottom"/>
          </w:tcPr>
          <w:p>
            <w:pPr>
              <w:jc w:val="right"/>
              <w:ind w:right="100"/>
              <w:spacing w:after="0" w:line="176" w:lineRule="exact"/>
              <w:rPr>
                <w:sz w:val="20"/>
                <w:szCs w:val="20"/>
                <w:color w:val="auto"/>
              </w:rPr>
            </w:pPr>
            <w:r>
              <w:rPr>
                <w:rFonts w:ascii="Arial" w:cs="Arial" w:eastAsia="Arial" w:hAnsi="Arial"/>
                <w:sz w:val="16"/>
                <w:szCs w:val="16"/>
                <w:color w:val="auto"/>
                <w:w w:val="99"/>
              </w:rPr>
              <w:t>9,400</w:t>
            </w:r>
          </w:p>
        </w:tc>
        <w:tc>
          <w:tcPr>
            <w:tcW w:w="360" w:type="dxa"/>
            <w:vAlign w:val="bottom"/>
          </w:tcPr>
          <w:p>
            <w:pPr>
              <w:spacing w:after="0"/>
              <w:rPr>
                <w:sz w:val="15"/>
                <w:szCs w:val="15"/>
                <w:color w:val="auto"/>
              </w:rPr>
            </w:pPr>
          </w:p>
        </w:tc>
        <w:tc>
          <w:tcPr>
            <w:tcW w:w="1120" w:type="dxa"/>
            <w:vAlign w:val="bottom"/>
          </w:tcPr>
          <w:p>
            <w:pPr>
              <w:jc w:val="right"/>
              <w:ind w:right="101"/>
              <w:spacing w:after="0" w:line="176" w:lineRule="exact"/>
              <w:rPr>
                <w:sz w:val="20"/>
                <w:szCs w:val="20"/>
                <w:color w:val="auto"/>
              </w:rPr>
            </w:pPr>
            <w:r>
              <w:rPr>
                <w:rFonts w:ascii="Arial" w:cs="Arial" w:eastAsia="Arial" w:hAnsi="Arial"/>
                <w:sz w:val="16"/>
                <w:szCs w:val="16"/>
                <w:color w:val="auto"/>
              </w:rPr>
              <w:t>10,001</w:t>
            </w:r>
          </w:p>
        </w:tc>
        <w:tc>
          <w:tcPr>
            <w:tcW w:w="300" w:type="dxa"/>
            <w:vAlign w:val="bottom"/>
          </w:tcPr>
          <w:p>
            <w:pPr>
              <w:spacing w:after="0"/>
              <w:rPr>
                <w:sz w:val="15"/>
                <w:szCs w:val="15"/>
                <w:color w:val="auto"/>
              </w:rPr>
            </w:pPr>
          </w:p>
        </w:tc>
        <w:tc>
          <w:tcPr>
            <w:tcW w:w="1180" w:type="dxa"/>
            <w:vAlign w:val="bottom"/>
          </w:tcPr>
          <w:p>
            <w:pPr>
              <w:jc w:val="right"/>
              <w:ind w:right="101"/>
              <w:spacing w:after="0" w:line="176" w:lineRule="exact"/>
              <w:rPr>
                <w:sz w:val="20"/>
                <w:szCs w:val="20"/>
                <w:color w:val="auto"/>
              </w:rPr>
            </w:pPr>
            <w:r>
              <w:rPr>
                <w:rFonts w:ascii="Arial" w:cs="Arial" w:eastAsia="Arial" w:hAnsi="Arial"/>
                <w:sz w:val="16"/>
                <w:szCs w:val="16"/>
                <w:color w:val="auto"/>
              </w:rPr>
              <w:t>8,330</w:t>
            </w:r>
          </w:p>
        </w:tc>
        <w:tc>
          <w:tcPr>
            <w:tcW w:w="360" w:type="dxa"/>
            <w:vAlign w:val="bottom"/>
          </w:tcPr>
          <w:p>
            <w:pPr>
              <w:spacing w:after="0"/>
              <w:rPr>
                <w:sz w:val="15"/>
                <w:szCs w:val="15"/>
                <w:color w:val="auto"/>
              </w:rPr>
            </w:pPr>
          </w:p>
        </w:tc>
        <w:tc>
          <w:tcPr>
            <w:tcW w:w="1020" w:type="dxa"/>
            <w:vAlign w:val="bottom"/>
          </w:tcPr>
          <w:p>
            <w:pPr>
              <w:jc w:val="right"/>
              <w:spacing w:after="0" w:line="176" w:lineRule="exact"/>
              <w:rPr>
                <w:sz w:val="20"/>
                <w:szCs w:val="20"/>
                <w:color w:val="auto"/>
              </w:rPr>
            </w:pPr>
            <w:r>
              <w:rPr>
                <w:rFonts w:ascii="Arial" w:cs="Arial" w:eastAsia="Arial" w:hAnsi="Arial"/>
                <w:sz w:val="16"/>
                <w:szCs w:val="16"/>
                <w:color w:val="auto"/>
              </w:rPr>
              <w:t>8,883</w:t>
            </w:r>
          </w:p>
        </w:tc>
        <w:tc>
          <w:tcPr>
            <w:tcW w:w="0" w:type="dxa"/>
            <w:vAlign w:val="bottom"/>
          </w:tcPr>
          <w:p>
            <w:pPr>
              <w:spacing w:after="0"/>
              <w:rPr>
                <w:sz w:val="1"/>
                <w:szCs w:val="1"/>
                <w:color w:val="auto"/>
              </w:rPr>
            </w:pPr>
          </w:p>
        </w:tc>
      </w:tr>
      <w:tr>
        <w:trPr>
          <w:trHeight w:val="176"/>
        </w:trPr>
        <w:tc>
          <w:tcPr>
            <w:tcW w:w="5460" w:type="dxa"/>
            <w:vAlign w:val="bottom"/>
            <w:gridSpan w:val="2"/>
          </w:tcPr>
          <w:p>
            <w:pPr>
              <w:spacing w:after="0" w:line="176" w:lineRule="exact"/>
              <w:rPr>
                <w:sz w:val="20"/>
                <w:szCs w:val="20"/>
                <w:color w:val="auto"/>
              </w:rPr>
            </w:pPr>
            <w:r>
              <w:rPr>
                <w:rFonts w:ascii="Arial" w:cs="Arial" w:eastAsia="Arial" w:hAnsi="Arial"/>
                <w:sz w:val="16"/>
                <w:szCs w:val="16"/>
                <w:color w:val="auto"/>
              </w:rPr>
              <w:t>Due to unconsolidated affiliate(3)</w:t>
            </w:r>
          </w:p>
        </w:tc>
        <w:tc>
          <w:tcPr>
            <w:tcW w:w="1020" w:type="dxa"/>
            <w:vAlign w:val="bottom"/>
          </w:tcPr>
          <w:p>
            <w:pPr>
              <w:spacing w:after="0"/>
              <w:rPr>
                <w:sz w:val="15"/>
                <w:szCs w:val="15"/>
                <w:color w:val="auto"/>
              </w:rPr>
            </w:pPr>
          </w:p>
        </w:tc>
        <w:tc>
          <w:tcPr>
            <w:tcW w:w="600" w:type="dxa"/>
            <w:vAlign w:val="bottom"/>
          </w:tcPr>
          <w:p>
            <w:pPr>
              <w:jc w:val="right"/>
              <w:ind w:right="100"/>
              <w:spacing w:after="0" w:line="176" w:lineRule="exact"/>
              <w:rPr>
                <w:sz w:val="20"/>
                <w:szCs w:val="20"/>
                <w:color w:val="auto"/>
              </w:rPr>
            </w:pPr>
            <w:r>
              <w:rPr>
                <w:rFonts w:ascii="Arial" w:cs="Arial" w:eastAsia="Arial" w:hAnsi="Arial"/>
                <w:sz w:val="16"/>
                <w:szCs w:val="16"/>
                <w:color w:val="auto"/>
              </w:rPr>
              <w:t>―</w:t>
            </w:r>
          </w:p>
        </w:tc>
        <w:tc>
          <w:tcPr>
            <w:tcW w:w="360" w:type="dxa"/>
            <w:vAlign w:val="bottom"/>
          </w:tcPr>
          <w:p>
            <w:pPr>
              <w:spacing w:after="0"/>
              <w:rPr>
                <w:sz w:val="15"/>
                <w:szCs w:val="15"/>
                <w:color w:val="auto"/>
              </w:rPr>
            </w:pPr>
          </w:p>
        </w:tc>
        <w:tc>
          <w:tcPr>
            <w:tcW w:w="1120" w:type="dxa"/>
            <w:vAlign w:val="bottom"/>
          </w:tcPr>
          <w:p>
            <w:pPr>
              <w:jc w:val="right"/>
              <w:ind w:right="101"/>
              <w:spacing w:after="0" w:line="176" w:lineRule="exact"/>
              <w:rPr>
                <w:sz w:val="20"/>
                <w:szCs w:val="20"/>
                <w:color w:val="auto"/>
              </w:rPr>
            </w:pPr>
            <w:r>
              <w:rPr>
                <w:rFonts w:ascii="Arial" w:cs="Arial" w:eastAsia="Arial" w:hAnsi="Arial"/>
                <w:sz w:val="16"/>
                <w:szCs w:val="16"/>
                <w:color w:val="auto"/>
              </w:rPr>
              <w:t>―</w:t>
            </w:r>
          </w:p>
        </w:tc>
        <w:tc>
          <w:tcPr>
            <w:tcW w:w="300" w:type="dxa"/>
            <w:vAlign w:val="bottom"/>
          </w:tcPr>
          <w:p>
            <w:pPr>
              <w:spacing w:after="0"/>
              <w:rPr>
                <w:sz w:val="15"/>
                <w:szCs w:val="15"/>
                <w:color w:val="auto"/>
              </w:rPr>
            </w:pPr>
          </w:p>
        </w:tc>
        <w:tc>
          <w:tcPr>
            <w:tcW w:w="1180" w:type="dxa"/>
            <w:vAlign w:val="bottom"/>
          </w:tcPr>
          <w:p>
            <w:pPr>
              <w:jc w:val="right"/>
              <w:ind w:right="101"/>
              <w:spacing w:after="0" w:line="176" w:lineRule="exact"/>
              <w:rPr>
                <w:sz w:val="20"/>
                <w:szCs w:val="20"/>
                <w:color w:val="auto"/>
              </w:rPr>
            </w:pPr>
            <w:r>
              <w:rPr>
                <w:rFonts w:ascii="Arial" w:cs="Arial" w:eastAsia="Arial" w:hAnsi="Arial"/>
                <w:sz w:val="16"/>
                <w:szCs w:val="16"/>
                <w:color w:val="auto"/>
              </w:rPr>
              <w:t>2</w:t>
            </w:r>
          </w:p>
        </w:tc>
        <w:tc>
          <w:tcPr>
            <w:tcW w:w="360" w:type="dxa"/>
            <w:vAlign w:val="bottom"/>
          </w:tcPr>
          <w:p>
            <w:pPr>
              <w:spacing w:after="0"/>
              <w:rPr>
                <w:sz w:val="15"/>
                <w:szCs w:val="15"/>
                <w:color w:val="auto"/>
              </w:rPr>
            </w:pPr>
          </w:p>
        </w:tc>
        <w:tc>
          <w:tcPr>
            <w:tcW w:w="1020" w:type="dxa"/>
            <w:vAlign w:val="bottom"/>
          </w:tcPr>
          <w:p>
            <w:pPr>
              <w:jc w:val="right"/>
              <w:spacing w:after="0" w:line="176" w:lineRule="exact"/>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194"/>
        </w:trPr>
        <w:tc>
          <w:tcPr>
            <w:tcW w:w="5460" w:type="dxa"/>
            <w:vAlign w:val="bottom"/>
            <w:tcBorders>
              <w:bottom w:val="single" w:sz="8" w:color="auto"/>
            </w:tcBorders>
            <w:gridSpan w:val="2"/>
          </w:tcPr>
          <w:p>
            <w:pPr>
              <w:spacing w:after="0"/>
              <w:rPr>
                <w:sz w:val="20"/>
                <w:szCs w:val="20"/>
                <w:color w:val="auto"/>
              </w:rPr>
            </w:pPr>
            <w:r>
              <w:rPr>
                <w:rFonts w:ascii="Arial" w:cs="Arial" w:eastAsia="Arial" w:hAnsi="Arial"/>
                <w:sz w:val="16"/>
                <w:szCs w:val="16"/>
                <w:color w:val="auto"/>
              </w:rPr>
              <w:t>Preferred stock of subsidiaries</w:t>
            </w:r>
          </w:p>
        </w:tc>
        <w:tc>
          <w:tcPr>
            <w:tcW w:w="102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jc w:val="right"/>
              <w:ind w:right="100"/>
              <w:spacing w:after="0"/>
              <w:rPr>
                <w:sz w:val="20"/>
                <w:szCs w:val="20"/>
                <w:color w:val="auto"/>
              </w:rPr>
            </w:pPr>
            <w:r>
              <w:rPr>
                <w:rFonts w:ascii="Arial" w:cs="Arial" w:eastAsia="Arial" w:hAnsi="Arial"/>
                <w:sz w:val="16"/>
                <w:szCs w:val="16"/>
                <w:color w:val="auto"/>
              </w:rPr>
              <w:t>99</w:t>
            </w: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101"/>
              <w:spacing w:after="0"/>
              <w:rPr>
                <w:sz w:val="20"/>
                <w:szCs w:val="20"/>
                <w:color w:val="auto"/>
              </w:rPr>
            </w:pPr>
            <w:r>
              <w:rPr>
                <w:rFonts w:ascii="Arial" w:cs="Arial" w:eastAsia="Arial" w:hAnsi="Arial"/>
                <w:sz w:val="16"/>
                <w:szCs w:val="16"/>
                <w:color w:val="auto"/>
              </w:rPr>
              <w:t>101</w:t>
            </w:r>
          </w:p>
        </w:tc>
        <w:tc>
          <w:tcPr>
            <w:tcW w:w="3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101"/>
              <w:spacing w:after="0"/>
              <w:rPr>
                <w:sz w:val="20"/>
                <w:szCs w:val="20"/>
                <w:color w:val="auto"/>
              </w:rPr>
            </w:pPr>
            <w:r>
              <w:rPr>
                <w:rFonts w:ascii="Arial" w:cs="Arial" w:eastAsia="Arial" w:hAnsi="Arial"/>
                <w:sz w:val="16"/>
                <w:szCs w:val="16"/>
                <w:color w:val="auto"/>
              </w:rPr>
              <w:t>179</w:t>
            </w:r>
          </w:p>
        </w:tc>
        <w:tc>
          <w:tcPr>
            <w:tcW w:w="3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166</w:t>
            </w:r>
          </w:p>
        </w:tc>
        <w:tc>
          <w:tcPr>
            <w:tcW w:w="0" w:type="dxa"/>
            <w:vAlign w:val="bottom"/>
          </w:tcPr>
          <w:p>
            <w:pPr>
              <w:spacing w:after="0"/>
              <w:rPr>
                <w:sz w:val="1"/>
                <w:szCs w:val="1"/>
                <w:color w:val="auto"/>
              </w:rPr>
            </w:pPr>
          </w:p>
        </w:tc>
      </w:tr>
      <w:tr>
        <w:trPr>
          <w:trHeight w:val="164"/>
        </w:trPr>
        <w:tc>
          <w:tcPr>
            <w:tcW w:w="5460" w:type="dxa"/>
            <w:vAlign w:val="bottom"/>
            <w:gridSpan w:val="2"/>
          </w:tcPr>
          <w:p>
            <w:pPr>
              <w:spacing w:after="0" w:line="164" w:lineRule="exact"/>
              <w:rPr>
                <w:sz w:val="20"/>
                <w:szCs w:val="20"/>
                <w:color w:val="auto"/>
              </w:rPr>
            </w:pPr>
            <w:r>
              <w:rPr>
                <w:rFonts w:ascii="Arial" w:cs="Arial" w:eastAsia="Arial" w:hAnsi="Arial"/>
                <w:sz w:val="16"/>
                <w:szCs w:val="16"/>
                <w:b w:val="1"/>
                <w:bCs w:val="1"/>
                <w:color w:val="auto"/>
              </w:rPr>
              <w:t>SDG&amp;E:</w:t>
            </w:r>
          </w:p>
        </w:tc>
        <w:tc>
          <w:tcPr>
            <w:tcW w:w="10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5460" w:type="dxa"/>
            <w:vAlign w:val="bottom"/>
            <w:gridSpan w:val="2"/>
          </w:tcPr>
          <w:p>
            <w:pPr>
              <w:spacing w:after="0" w:line="176" w:lineRule="exact"/>
              <w:rPr>
                <w:sz w:val="20"/>
                <w:szCs w:val="20"/>
                <w:color w:val="auto"/>
              </w:rPr>
            </w:pPr>
            <w:r>
              <w:rPr>
                <w:rFonts w:ascii="Arial" w:cs="Arial" w:eastAsia="Arial" w:hAnsi="Arial"/>
                <w:sz w:val="16"/>
                <w:szCs w:val="16"/>
                <w:color w:val="auto"/>
              </w:rPr>
              <w:t>Total long-term debt(4)</w:t>
            </w:r>
          </w:p>
        </w:tc>
        <w:tc>
          <w:tcPr>
            <w:tcW w:w="1020" w:type="dxa"/>
            <w:vAlign w:val="bottom"/>
          </w:tcPr>
          <w:p>
            <w:pPr>
              <w:jc w:val="right"/>
              <w:ind w:right="543"/>
              <w:spacing w:after="0" w:line="176" w:lineRule="exact"/>
              <w:rPr>
                <w:sz w:val="20"/>
                <w:szCs w:val="20"/>
                <w:color w:val="auto"/>
              </w:rPr>
            </w:pPr>
            <w:r>
              <w:rPr>
                <w:rFonts w:ascii="Arial" w:cs="Arial" w:eastAsia="Arial" w:hAnsi="Arial"/>
                <w:sz w:val="16"/>
                <w:szCs w:val="16"/>
                <w:color w:val="auto"/>
              </w:rPr>
              <w:t>$</w:t>
            </w:r>
          </w:p>
        </w:tc>
        <w:tc>
          <w:tcPr>
            <w:tcW w:w="600" w:type="dxa"/>
            <w:vAlign w:val="bottom"/>
          </w:tcPr>
          <w:p>
            <w:pPr>
              <w:jc w:val="right"/>
              <w:ind w:right="100"/>
              <w:spacing w:after="0" w:line="176" w:lineRule="exact"/>
              <w:rPr>
                <w:sz w:val="20"/>
                <w:szCs w:val="20"/>
                <w:color w:val="auto"/>
              </w:rPr>
            </w:pPr>
            <w:r>
              <w:rPr>
                <w:rFonts w:ascii="Arial" w:cs="Arial" w:eastAsia="Arial" w:hAnsi="Arial"/>
                <w:sz w:val="16"/>
                <w:szCs w:val="16"/>
                <w:color w:val="auto"/>
                <w:w w:val="99"/>
              </w:rPr>
              <w:t>3,300</w:t>
            </w:r>
          </w:p>
        </w:tc>
        <w:tc>
          <w:tcPr>
            <w:tcW w:w="360" w:type="dxa"/>
            <w:vAlign w:val="bottom"/>
          </w:tcPr>
          <w:p>
            <w:pPr>
              <w:jc w:val="right"/>
              <w:ind w:right="19"/>
              <w:spacing w:after="0" w:line="176" w:lineRule="exact"/>
              <w:rPr>
                <w:sz w:val="20"/>
                <w:szCs w:val="20"/>
                <w:color w:val="auto"/>
              </w:rPr>
            </w:pPr>
            <w:r>
              <w:rPr>
                <w:rFonts w:ascii="Arial" w:cs="Arial" w:eastAsia="Arial" w:hAnsi="Arial"/>
                <w:sz w:val="16"/>
                <w:szCs w:val="16"/>
                <w:color w:val="auto"/>
              </w:rPr>
              <w:t>$</w:t>
            </w:r>
          </w:p>
        </w:tc>
        <w:tc>
          <w:tcPr>
            <w:tcW w:w="1120" w:type="dxa"/>
            <w:vAlign w:val="bottom"/>
          </w:tcPr>
          <w:p>
            <w:pPr>
              <w:jc w:val="right"/>
              <w:ind w:right="101"/>
              <w:spacing w:after="0" w:line="176" w:lineRule="exact"/>
              <w:rPr>
                <w:sz w:val="20"/>
                <w:szCs w:val="20"/>
                <w:color w:val="auto"/>
              </w:rPr>
            </w:pPr>
            <w:r>
              <w:rPr>
                <w:rFonts w:ascii="Arial" w:cs="Arial" w:eastAsia="Arial" w:hAnsi="Arial"/>
                <w:sz w:val="16"/>
                <w:szCs w:val="16"/>
                <w:color w:val="auto"/>
              </w:rPr>
              <w:t>3,346</w:t>
            </w:r>
          </w:p>
        </w:tc>
        <w:tc>
          <w:tcPr>
            <w:tcW w:w="300" w:type="dxa"/>
            <w:vAlign w:val="bottom"/>
          </w:tcPr>
          <w:p>
            <w:pPr>
              <w:jc w:val="right"/>
              <w:spacing w:after="0" w:line="176" w:lineRule="exact"/>
              <w:rPr>
                <w:sz w:val="20"/>
                <w:szCs w:val="20"/>
                <w:color w:val="auto"/>
              </w:rPr>
            </w:pPr>
            <w:r>
              <w:rPr>
                <w:rFonts w:ascii="Arial" w:cs="Arial" w:eastAsia="Arial" w:hAnsi="Arial"/>
                <w:sz w:val="16"/>
                <w:szCs w:val="16"/>
                <w:color w:val="auto"/>
              </w:rPr>
              <w:t>$</w:t>
            </w:r>
          </w:p>
        </w:tc>
        <w:tc>
          <w:tcPr>
            <w:tcW w:w="1180" w:type="dxa"/>
            <w:vAlign w:val="bottom"/>
          </w:tcPr>
          <w:p>
            <w:pPr>
              <w:jc w:val="right"/>
              <w:ind w:right="101"/>
              <w:spacing w:after="0" w:line="176" w:lineRule="exact"/>
              <w:rPr>
                <w:sz w:val="20"/>
                <w:szCs w:val="20"/>
                <w:color w:val="auto"/>
              </w:rPr>
            </w:pPr>
            <w:r>
              <w:rPr>
                <w:rFonts w:ascii="Arial" w:cs="Arial" w:eastAsia="Arial" w:hAnsi="Arial"/>
                <w:sz w:val="16"/>
                <w:szCs w:val="16"/>
                <w:color w:val="auto"/>
              </w:rPr>
              <w:t>3,305</w:t>
            </w:r>
          </w:p>
        </w:tc>
        <w:tc>
          <w:tcPr>
            <w:tcW w:w="360" w:type="dxa"/>
            <w:vAlign w:val="bottom"/>
          </w:tcPr>
          <w:p>
            <w:pPr>
              <w:jc w:val="right"/>
              <w:spacing w:after="0" w:line="176" w:lineRule="exact"/>
              <w:rPr>
                <w:sz w:val="20"/>
                <w:szCs w:val="20"/>
                <w:color w:val="auto"/>
              </w:rPr>
            </w:pPr>
            <w:r>
              <w:rPr>
                <w:rFonts w:ascii="Arial" w:cs="Arial" w:eastAsia="Arial" w:hAnsi="Arial"/>
                <w:sz w:val="16"/>
                <w:szCs w:val="16"/>
                <w:color w:val="auto"/>
              </w:rPr>
              <w:t>$</w:t>
            </w:r>
          </w:p>
        </w:tc>
        <w:tc>
          <w:tcPr>
            <w:tcW w:w="1020" w:type="dxa"/>
            <w:vAlign w:val="bottom"/>
          </w:tcPr>
          <w:p>
            <w:pPr>
              <w:jc w:val="right"/>
              <w:spacing w:after="0" w:line="176" w:lineRule="exact"/>
              <w:rPr>
                <w:sz w:val="20"/>
                <w:szCs w:val="20"/>
                <w:color w:val="auto"/>
              </w:rPr>
            </w:pPr>
            <w:r>
              <w:rPr>
                <w:rFonts w:ascii="Arial" w:cs="Arial" w:eastAsia="Arial" w:hAnsi="Arial"/>
                <w:sz w:val="16"/>
                <w:szCs w:val="16"/>
                <w:color w:val="auto"/>
              </w:rPr>
              <w:t>3,300</w:t>
            </w:r>
          </w:p>
        </w:tc>
        <w:tc>
          <w:tcPr>
            <w:tcW w:w="0" w:type="dxa"/>
            <w:vAlign w:val="bottom"/>
          </w:tcPr>
          <w:p>
            <w:pPr>
              <w:spacing w:after="0"/>
              <w:rPr>
                <w:sz w:val="1"/>
                <w:szCs w:val="1"/>
                <w:color w:val="auto"/>
              </w:rPr>
            </w:pPr>
          </w:p>
        </w:tc>
      </w:tr>
      <w:tr>
        <w:trPr>
          <w:trHeight w:val="194"/>
        </w:trPr>
        <w:tc>
          <w:tcPr>
            <w:tcW w:w="5460" w:type="dxa"/>
            <w:vAlign w:val="bottom"/>
            <w:tcBorders>
              <w:bottom w:val="single" w:sz="8" w:color="auto"/>
            </w:tcBorders>
            <w:gridSpan w:val="2"/>
          </w:tcPr>
          <w:p>
            <w:pPr>
              <w:spacing w:after="0"/>
              <w:rPr>
                <w:sz w:val="20"/>
                <w:szCs w:val="20"/>
                <w:color w:val="auto"/>
              </w:rPr>
            </w:pPr>
            <w:r>
              <w:rPr>
                <w:rFonts w:ascii="Arial" w:cs="Arial" w:eastAsia="Arial" w:hAnsi="Arial"/>
                <w:sz w:val="16"/>
                <w:szCs w:val="16"/>
                <w:color w:val="auto"/>
              </w:rPr>
              <w:t>Contingently redeemable preferred stock</w:t>
            </w:r>
          </w:p>
        </w:tc>
        <w:tc>
          <w:tcPr>
            <w:tcW w:w="102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jc w:val="right"/>
              <w:ind w:right="100"/>
              <w:spacing w:after="0"/>
              <w:rPr>
                <w:sz w:val="20"/>
                <w:szCs w:val="20"/>
                <w:color w:val="auto"/>
              </w:rPr>
            </w:pPr>
            <w:r>
              <w:rPr>
                <w:rFonts w:ascii="Arial" w:cs="Arial" w:eastAsia="Arial" w:hAnsi="Arial"/>
                <w:sz w:val="16"/>
                <w:szCs w:val="16"/>
                <w:color w:val="auto"/>
              </w:rPr>
              <w:t>79</w:t>
            </w: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101"/>
              <w:spacing w:after="0"/>
              <w:rPr>
                <w:sz w:val="20"/>
                <w:szCs w:val="20"/>
                <w:color w:val="auto"/>
              </w:rPr>
            </w:pPr>
            <w:r>
              <w:rPr>
                <w:rFonts w:ascii="Arial" w:cs="Arial" w:eastAsia="Arial" w:hAnsi="Arial"/>
                <w:sz w:val="16"/>
                <w:szCs w:val="16"/>
                <w:color w:val="auto"/>
              </w:rPr>
              <w:t>80</w:t>
            </w:r>
          </w:p>
        </w:tc>
        <w:tc>
          <w:tcPr>
            <w:tcW w:w="3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101"/>
              <w:spacing w:after="0"/>
              <w:rPr>
                <w:sz w:val="20"/>
                <w:szCs w:val="20"/>
                <w:color w:val="auto"/>
              </w:rPr>
            </w:pPr>
            <w:r>
              <w:rPr>
                <w:rFonts w:ascii="Arial" w:cs="Arial" w:eastAsia="Arial" w:hAnsi="Arial"/>
                <w:sz w:val="16"/>
                <w:szCs w:val="16"/>
                <w:color w:val="auto"/>
              </w:rPr>
              <w:t>79</w:t>
            </w:r>
          </w:p>
        </w:tc>
        <w:tc>
          <w:tcPr>
            <w:tcW w:w="3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78</w:t>
            </w:r>
          </w:p>
        </w:tc>
        <w:tc>
          <w:tcPr>
            <w:tcW w:w="0" w:type="dxa"/>
            <w:vAlign w:val="bottom"/>
          </w:tcPr>
          <w:p>
            <w:pPr>
              <w:spacing w:after="0"/>
              <w:rPr>
                <w:sz w:val="1"/>
                <w:szCs w:val="1"/>
                <w:color w:val="auto"/>
              </w:rPr>
            </w:pPr>
          </w:p>
        </w:tc>
      </w:tr>
      <w:tr>
        <w:trPr>
          <w:trHeight w:val="164"/>
        </w:trPr>
        <w:tc>
          <w:tcPr>
            <w:tcW w:w="5460" w:type="dxa"/>
            <w:vAlign w:val="bottom"/>
            <w:gridSpan w:val="2"/>
          </w:tcPr>
          <w:p>
            <w:pPr>
              <w:spacing w:after="0" w:line="164" w:lineRule="exact"/>
              <w:rPr>
                <w:sz w:val="20"/>
                <w:szCs w:val="20"/>
                <w:color w:val="auto"/>
              </w:rPr>
            </w:pPr>
            <w:r>
              <w:rPr>
                <w:rFonts w:ascii="Arial" w:cs="Arial" w:eastAsia="Arial" w:hAnsi="Arial"/>
                <w:sz w:val="16"/>
                <w:szCs w:val="16"/>
                <w:b w:val="1"/>
                <w:bCs w:val="1"/>
                <w:color w:val="auto"/>
              </w:rPr>
              <w:t>SoCalGas:</w:t>
            </w:r>
          </w:p>
        </w:tc>
        <w:tc>
          <w:tcPr>
            <w:tcW w:w="10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5460" w:type="dxa"/>
            <w:vAlign w:val="bottom"/>
            <w:gridSpan w:val="2"/>
          </w:tcPr>
          <w:p>
            <w:pPr>
              <w:spacing w:after="0" w:line="176" w:lineRule="exact"/>
              <w:rPr>
                <w:sz w:val="20"/>
                <w:szCs w:val="20"/>
                <w:color w:val="auto"/>
              </w:rPr>
            </w:pPr>
            <w:r>
              <w:rPr>
                <w:rFonts w:ascii="Arial" w:cs="Arial" w:eastAsia="Arial" w:hAnsi="Arial"/>
                <w:sz w:val="16"/>
                <w:szCs w:val="16"/>
                <w:color w:val="auto"/>
              </w:rPr>
              <w:t>Total long-term debt(5)</w:t>
            </w:r>
          </w:p>
        </w:tc>
        <w:tc>
          <w:tcPr>
            <w:tcW w:w="1020" w:type="dxa"/>
            <w:vAlign w:val="bottom"/>
          </w:tcPr>
          <w:p>
            <w:pPr>
              <w:jc w:val="right"/>
              <w:ind w:right="543"/>
              <w:spacing w:after="0" w:line="176" w:lineRule="exact"/>
              <w:rPr>
                <w:sz w:val="20"/>
                <w:szCs w:val="20"/>
                <w:color w:val="auto"/>
              </w:rPr>
            </w:pPr>
            <w:r>
              <w:rPr>
                <w:rFonts w:ascii="Arial" w:cs="Arial" w:eastAsia="Arial" w:hAnsi="Arial"/>
                <w:sz w:val="16"/>
                <w:szCs w:val="16"/>
                <w:color w:val="auto"/>
              </w:rPr>
              <w:t>$</w:t>
            </w:r>
          </w:p>
        </w:tc>
        <w:tc>
          <w:tcPr>
            <w:tcW w:w="600" w:type="dxa"/>
            <w:vAlign w:val="bottom"/>
          </w:tcPr>
          <w:p>
            <w:pPr>
              <w:jc w:val="right"/>
              <w:ind w:right="100"/>
              <w:spacing w:after="0" w:line="176" w:lineRule="exact"/>
              <w:rPr>
                <w:sz w:val="20"/>
                <w:szCs w:val="20"/>
                <w:color w:val="auto"/>
              </w:rPr>
            </w:pPr>
            <w:r>
              <w:rPr>
                <w:rFonts w:ascii="Arial" w:cs="Arial" w:eastAsia="Arial" w:hAnsi="Arial"/>
                <w:sz w:val="16"/>
                <w:szCs w:val="16"/>
                <w:color w:val="auto"/>
                <w:w w:val="99"/>
              </w:rPr>
              <w:t>1,312</w:t>
            </w:r>
          </w:p>
        </w:tc>
        <w:tc>
          <w:tcPr>
            <w:tcW w:w="360" w:type="dxa"/>
            <w:vAlign w:val="bottom"/>
          </w:tcPr>
          <w:p>
            <w:pPr>
              <w:jc w:val="right"/>
              <w:ind w:right="19"/>
              <w:spacing w:after="0" w:line="176" w:lineRule="exact"/>
              <w:rPr>
                <w:sz w:val="20"/>
                <w:szCs w:val="20"/>
                <w:color w:val="auto"/>
              </w:rPr>
            </w:pPr>
            <w:r>
              <w:rPr>
                <w:rFonts w:ascii="Arial" w:cs="Arial" w:eastAsia="Arial" w:hAnsi="Arial"/>
                <w:sz w:val="16"/>
                <w:szCs w:val="16"/>
                <w:color w:val="auto"/>
              </w:rPr>
              <w:t>$</w:t>
            </w:r>
          </w:p>
        </w:tc>
        <w:tc>
          <w:tcPr>
            <w:tcW w:w="1120" w:type="dxa"/>
            <w:vAlign w:val="bottom"/>
          </w:tcPr>
          <w:p>
            <w:pPr>
              <w:jc w:val="right"/>
              <w:ind w:right="101"/>
              <w:spacing w:after="0" w:line="176" w:lineRule="exact"/>
              <w:rPr>
                <w:sz w:val="20"/>
                <w:szCs w:val="20"/>
                <w:color w:val="auto"/>
              </w:rPr>
            </w:pPr>
            <w:r>
              <w:rPr>
                <w:rFonts w:ascii="Arial" w:cs="Arial" w:eastAsia="Arial" w:hAnsi="Arial"/>
                <w:sz w:val="16"/>
                <w:szCs w:val="16"/>
                <w:color w:val="auto"/>
              </w:rPr>
              <w:t>1,380</w:t>
            </w:r>
          </w:p>
        </w:tc>
        <w:tc>
          <w:tcPr>
            <w:tcW w:w="300" w:type="dxa"/>
            <w:vAlign w:val="bottom"/>
          </w:tcPr>
          <w:p>
            <w:pPr>
              <w:jc w:val="right"/>
              <w:spacing w:after="0" w:line="176" w:lineRule="exact"/>
              <w:rPr>
                <w:sz w:val="20"/>
                <w:szCs w:val="20"/>
                <w:color w:val="auto"/>
              </w:rPr>
            </w:pPr>
            <w:r>
              <w:rPr>
                <w:rFonts w:ascii="Arial" w:cs="Arial" w:eastAsia="Arial" w:hAnsi="Arial"/>
                <w:sz w:val="16"/>
                <w:szCs w:val="16"/>
                <w:color w:val="auto"/>
              </w:rPr>
              <w:t>$</w:t>
            </w:r>
          </w:p>
        </w:tc>
        <w:tc>
          <w:tcPr>
            <w:tcW w:w="1180" w:type="dxa"/>
            <w:vAlign w:val="bottom"/>
          </w:tcPr>
          <w:p>
            <w:pPr>
              <w:jc w:val="right"/>
              <w:ind w:right="101"/>
              <w:spacing w:after="0" w:line="176" w:lineRule="exact"/>
              <w:rPr>
                <w:sz w:val="20"/>
                <w:szCs w:val="20"/>
                <w:color w:val="auto"/>
              </w:rPr>
            </w:pPr>
            <w:r>
              <w:rPr>
                <w:rFonts w:ascii="Arial" w:cs="Arial" w:eastAsia="Arial" w:hAnsi="Arial"/>
                <w:sz w:val="16"/>
                <w:szCs w:val="16"/>
                <w:color w:val="auto"/>
              </w:rPr>
              <w:t>1,566</w:t>
            </w:r>
          </w:p>
        </w:tc>
        <w:tc>
          <w:tcPr>
            <w:tcW w:w="360" w:type="dxa"/>
            <w:vAlign w:val="bottom"/>
          </w:tcPr>
          <w:p>
            <w:pPr>
              <w:jc w:val="right"/>
              <w:spacing w:after="0" w:line="176" w:lineRule="exact"/>
              <w:rPr>
                <w:sz w:val="20"/>
                <w:szCs w:val="20"/>
                <w:color w:val="auto"/>
              </w:rPr>
            </w:pPr>
            <w:r>
              <w:rPr>
                <w:rFonts w:ascii="Arial" w:cs="Arial" w:eastAsia="Arial" w:hAnsi="Arial"/>
                <w:sz w:val="16"/>
                <w:szCs w:val="16"/>
                <w:color w:val="auto"/>
              </w:rPr>
              <w:t>$</w:t>
            </w:r>
          </w:p>
        </w:tc>
        <w:tc>
          <w:tcPr>
            <w:tcW w:w="1020" w:type="dxa"/>
            <w:vAlign w:val="bottom"/>
          </w:tcPr>
          <w:p>
            <w:pPr>
              <w:jc w:val="right"/>
              <w:spacing w:after="0" w:line="176" w:lineRule="exact"/>
              <w:rPr>
                <w:sz w:val="20"/>
                <w:szCs w:val="20"/>
                <w:color w:val="auto"/>
              </w:rPr>
            </w:pPr>
            <w:r>
              <w:rPr>
                <w:rFonts w:ascii="Arial" w:cs="Arial" w:eastAsia="Arial" w:hAnsi="Arial"/>
                <w:sz w:val="16"/>
                <w:szCs w:val="16"/>
                <w:color w:val="auto"/>
              </w:rPr>
              <w:t>1,638</w:t>
            </w:r>
          </w:p>
        </w:tc>
        <w:tc>
          <w:tcPr>
            <w:tcW w:w="0" w:type="dxa"/>
            <w:vAlign w:val="bottom"/>
          </w:tcPr>
          <w:p>
            <w:pPr>
              <w:spacing w:after="0"/>
              <w:rPr>
                <w:sz w:val="1"/>
                <w:szCs w:val="1"/>
                <w:color w:val="auto"/>
              </w:rPr>
            </w:pPr>
          </w:p>
        </w:tc>
      </w:tr>
      <w:tr>
        <w:trPr>
          <w:trHeight w:val="195"/>
        </w:trPr>
        <w:tc>
          <w:tcPr>
            <w:tcW w:w="5460" w:type="dxa"/>
            <w:vAlign w:val="bottom"/>
            <w:gridSpan w:val="2"/>
          </w:tcPr>
          <w:p>
            <w:pPr>
              <w:spacing w:after="0"/>
              <w:rPr>
                <w:sz w:val="20"/>
                <w:szCs w:val="20"/>
                <w:color w:val="auto"/>
              </w:rPr>
            </w:pPr>
            <w:r>
              <w:rPr>
                <w:rFonts w:ascii="Arial" w:cs="Arial" w:eastAsia="Arial" w:hAnsi="Arial"/>
                <w:sz w:val="16"/>
                <w:szCs w:val="16"/>
                <w:color w:val="auto"/>
              </w:rPr>
              <w:t>Preferred stock</w:t>
            </w:r>
          </w:p>
        </w:tc>
        <w:tc>
          <w:tcPr>
            <w:tcW w:w="1020" w:type="dxa"/>
            <w:vAlign w:val="bottom"/>
          </w:tcPr>
          <w:p>
            <w:pPr>
              <w:spacing w:after="0"/>
              <w:rPr>
                <w:sz w:val="16"/>
                <w:szCs w:val="16"/>
                <w:color w:val="auto"/>
              </w:rPr>
            </w:pPr>
          </w:p>
        </w:tc>
        <w:tc>
          <w:tcPr>
            <w:tcW w:w="600" w:type="dxa"/>
            <w:vAlign w:val="bottom"/>
          </w:tcPr>
          <w:p>
            <w:pPr>
              <w:jc w:val="right"/>
              <w:ind w:right="100"/>
              <w:spacing w:after="0"/>
              <w:rPr>
                <w:sz w:val="20"/>
                <w:szCs w:val="20"/>
                <w:color w:val="auto"/>
              </w:rPr>
            </w:pPr>
            <w:r>
              <w:rPr>
                <w:rFonts w:ascii="Arial" w:cs="Arial" w:eastAsia="Arial" w:hAnsi="Arial"/>
                <w:sz w:val="16"/>
                <w:szCs w:val="16"/>
                <w:color w:val="auto"/>
              </w:rPr>
              <w:t>22</w:t>
            </w:r>
          </w:p>
        </w:tc>
        <w:tc>
          <w:tcPr>
            <w:tcW w:w="360" w:type="dxa"/>
            <w:vAlign w:val="bottom"/>
          </w:tcPr>
          <w:p>
            <w:pPr>
              <w:spacing w:after="0"/>
              <w:rPr>
                <w:sz w:val="16"/>
                <w:szCs w:val="16"/>
                <w:color w:val="auto"/>
              </w:rPr>
            </w:pPr>
          </w:p>
        </w:tc>
        <w:tc>
          <w:tcPr>
            <w:tcW w:w="1120" w:type="dxa"/>
            <w:vAlign w:val="bottom"/>
          </w:tcPr>
          <w:p>
            <w:pPr>
              <w:jc w:val="right"/>
              <w:ind w:right="101"/>
              <w:spacing w:after="0"/>
              <w:rPr>
                <w:sz w:val="20"/>
                <w:szCs w:val="20"/>
                <w:color w:val="auto"/>
              </w:rPr>
            </w:pPr>
            <w:r>
              <w:rPr>
                <w:rFonts w:ascii="Arial" w:cs="Arial" w:eastAsia="Arial" w:hAnsi="Arial"/>
                <w:sz w:val="16"/>
                <w:szCs w:val="16"/>
                <w:color w:val="auto"/>
              </w:rPr>
              <w:t>22</w:t>
            </w:r>
          </w:p>
        </w:tc>
        <w:tc>
          <w:tcPr>
            <w:tcW w:w="300" w:type="dxa"/>
            <w:vAlign w:val="bottom"/>
          </w:tcPr>
          <w:p>
            <w:pPr>
              <w:spacing w:after="0"/>
              <w:rPr>
                <w:sz w:val="16"/>
                <w:szCs w:val="16"/>
                <w:color w:val="auto"/>
              </w:rPr>
            </w:pPr>
          </w:p>
        </w:tc>
        <w:tc>
          <w:tcPr>
            <w:tcW w:w="1180" w:type="dxa"/>
            <w:vAlign w:val="bottom"/>
          </w:tcPr>
          <w:p>
            <w:pPr>
              <w:jc w:val="right"/>
              <w:ind w:right="101"/>
              <w:spacing w:after="0"/>
              <w:rPr>
                <w:sz w:val="20"/>
                <w:szCs w:val="20"/>
                <w:color w:val="auto"/>
              </w:rPr>
            </w:pPr>
            <w:r>
              <w:rPr>
                <w:rFonts w:ascii="Arial" w:cs="Arial" w:eastAsia="Arial" w:hAnsi="Arial"/>
                <w:sz w:val="16"/>
                <w:szCs w:val="16"/>
                <w:color w:val="auto"/>
              </w:rPr>
              <w:t>22</w:t>
            </w:r>
          </w:p>
        </w:tc>
        <w:tc>
          <w:tcPr>
            <w:tcW w:w="36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wp:posOffset>
            </wp:positionV>
            <wp:extent cx="724662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ind w:left="680" w:hanging="422"/>
        <w:spacing w:after="0"/>
        <w:tabs>
          <w:tab w:leader="none" w:pos="680" w:val="left"/>
        </w:tabs>
        <w:numPr>
          <w:ilvl w:val="0"/>
          <w:numId w:val="30"/>
        </w:numPr>
        <w:rPr>
          <w:rFonts w:ascii="Arial" w:cs="Arial" w:eastAsia="Arial" w:hAnsi="Arial"/>
          <w:sz w:val="14"/>
          <w:szCs w:val="14"/>
          <w:i w:val="1"/>
          <w:iCs w:val="1"/>
          <w:color w:val="auto"/>
        </w:rPr>
      </w:pPr>
      <w:r>
        <w:rPr>
          <w:rFonts w:ascii="Arial" w:cs="Arial" w:eastAsia="Arial" w:hAnsi="Arial"/>
          <w:sz w:val="14"/>
          <w:szCs w:val="14"/>
          <w:i w:val="1"/>
          <w:iCs w:val="1"/>
          <w:color w:val="auto"/>
        </w:rPr>
        <w:t>We discuss our investments in affordable housing partnerships in Note 4 of the Notes to Consolidated Financial Statements in the Annual Report.</w:t>
      </w:r>
    </w:p>
    <w:p>
      <w:pPr>
        <w:spacing w:after="0" w:line="15" w:lineRule="exact"/>
        <w:rPr>
          <w:rFonts w:ascii="Arial" w:cs="Arial" w:eastAsia="Arial" w:hAnsi="Arial"/>
          <w:sz w:val="14"/>
          <w:szCs w:val="14"/>
          <w:i w:val="1"/>
          <w:iCs w:val="1"/>
          <w:color w:val="auto"/>
        </w:rPr>
      </w:pPr>
    </w:p>
    <w:p>
      <w:pPr>
        <w:ind w:left="680" w:hanging="422"/>
        <w:spacing w:after="0" w:line="241" w:lineRule="auto"/>
        <w:tabs>
          <w:tab w:leader="none" w:pos="680" w:val="left"/>
        </w:tabs>
        <w:numPr>
          <w:ilvl w:val="0"/>
          <w:numId w:val="30"/>
        </w:numPr>
        <w:rPr>
          <w:rFonts w:ascii="Arial" w:cs="Arial" w:eastAsia="Arial" w:hAnsi="Arial"/>
          <w:sz w:val="14"/>
          <w:szCs w:val="14"/>
          <w:i w:val="1"/>
          <w:iCs w:val="1"/>
          <w:color w:val="auto"/>
        </w:rPr>
      </w:pPr>
      <w:r>
        <w:rPr>
          <w:rFonts w:ascii="Arial" w:cs="Arial" w:eastAsia="Arial" w:hAnsi="Arial"/>
          <w:sz w:val="14"/>
          <w:szCs w:val="14"/>
          <w:i w:val="1"/>
          <w:iCs w:val="1"/>
          <w:color w:val="auto"/>
        </w:rPr>
        <w:t>Before reductions for unamortized discount of $22 million at both June 30, 2011 and December 31, 2010, and excluding capital leases of $214 million at June 30, 2011 and $221 million at December 31, 2010, and commercial paper classified as long-term debt of $200 million at June 30, 2011 and $800 million at December 31, 2010. We discuss our long-term debt in Note 6 above and Note 5 of the Notes to Consolidated Financial Statements in the Annual Report.</w:t>
      </w:r>
    </w:p>
    <w:p>
      <w:pPr>
        <w:spacing w:after="0" w:line="1" w:lineRule="exact"/>
        <w:rPr>
          <w:rFonts w:ascii="Arial" w:cs="Arial" w:eastAsia="Arial" w:hAnsi="Arial"/>
          <w:sz w:val="14"/>
          <w:szCs w:val="14"/>
          <w:i w:val="1"/>
          <w:iCs w:val="1"/>
          <w:color w:val="auto"/>
        </w:rPr>
      </w:pPr>
    </w:p>
    <w:p>
      <w:pPr>
        <w:ind w:left="680" w:hanging="422"/>
        <w:spacing w:after="0"/>
        <w:tabs>
          <w:tab w:leader="none" w:pos="680" w:val="left"/>
        </w:tabs>
        <w:numPr>
          <w:ilvl w:val="0"/>
          <w:numId w:val="30"/>
        </w:numPr>
        <w:rPr>
          <w:rFonts w:ascii="Arial" w:cs="Arial" w:eastAsia="Arial" w:hAnsi="Arial"/>
          <w:sz w:val="14"/>
          <w:szCs w:val="14"/>
          <w:i w:val="1"/>
          <w:iCs w:val="1"/>
          <w:color w:val="auto"/>
        </w:rPr>
      </w:pPr>
      <w:r>
        <w:rPr>
          <w:rFonts w:ascii="Arial" w:cs="Arial" w:eastAsia="Arial" w:hAnsi="Arial"/>
          <w:sz w:val="14"/>
          <w:szCs w:val="14"/>
          <w:i w:val="1"/>
          <w:iCs w:val="1"/>
          <w:color w:val="auto"/>
        </w:rPr>
        <w:t>Note payable was extinguished due to the increase in our ownership of Chilquinta Energía S.A. to 100% in the second quarter of 2011.</w:t>
      </w:r>
    </w:p>
    <w:p>
      <w:pPr>
        <w:spacing w:after="0" w:line="1" w:lineRule="exact"/>
        <w:rPr>
          <w:rFonts w:ascii="Arial" w:cs="Arial" w:eastAsia="Arial" w:hAnsi="Arial"/>
          <w:sz w:val="14"/>
          <w:szCs w:val="14"/>
          <w:i w:val="1"/>
          <w:iCs w:val="1"/>
          <w:color w:val="auto"/>
        </w:rPr>
      </w:pPr>
    </w:p>
    <w:p>
      <w:pPr>
        <w:ind w:left="680" w:right="200" w:hanging="422"/>
        <w:spacing w:after="0" w:line="241" w:lineRule="auto"/>
        <w:tabs>
          <w:tab w:leader="none" w:pos="680" w:val="left"/>
        </w:tabs>
        <w:numPr>
          <w:ilvl w:val="0"/>
          <w:numId w:val="30"/>
        </w:numPr>
        <w:rPr>
          <w:rFonts w:ascii="Arial" w:cs="Arial" w:eastAsia="Arial" w:hAnsi="Arial"/>
          <w:sz w:val="14"/>
          <w:szCs w:val="14"/>
          <w:i w:val="1"/>
          <w:iCs w:val="1"/>
          <w:color w:val="auto"/>
        </w:rPr>
      </w:pPr>
      <w:r>
        <w:rPr>
          <w:rFonts w:ascii="Arial" w:cs="Arial" w:eastAsia="Arial" w:hAnsi="Arial"/>
          <w:sz w:val="14"/>
          <w:szCs w:val="14"/>
          <w:i w:val="1"/>
          <w:iCs w:val="1"/>
          <w:color w:val="auto"/>
        </w:rPr>
        <w:t>Before reductions for unamortized discount of $9 million at both June 30, 2011 and December 31, 2010, and excluding capital leases of $198 million at June 30, 2011 and $202 million at December 31, 2010.</w:t>
      </w:r>
    </w:p>
    <w:p>
      <w:pPr>
        <w:ind w:left="680" w:right="160" w:hanging="422"/>
        <w:spacing w:after="0" w:line="258" w:lineRule="auto"/>
        <w:tabs>
          <w:tab w:leader="none" w:pos="680" w:val="left"/>
        </w:tabs>
        <w:numPr>
          <w:ilvl w:val="0"/>
          <w:numId w:val="30"/>
        </w:numPr>
        <w:rPr>
          <w:rFonts w:ascii="Arial" w:cs="Arial" w:eastAsia="Arial" w:hAnsi="Arial"/>
          <w:sz w:val="14"/>
          <w:szCs w:val="14"/>
          <w:i w:val="1"/>
          <w:iCs w:val="1"/>
          <w:color w:val="auto"/>
        </w:rPr>
      </w:pPr>
      <w:r>
        <w:rPr>
          <w:rFonts w:ascii="Arial" w:cs="Arial" w:eastAsia="Arial" w:hAnsi="Arial"/>
          <w:sz w:val="14"/>
          <w:szCs w:val="14"/>
          <w:i w:val="1"/>
          <w:iCs w:val="1"/>
          <w:color w:val="auto"/>
        </w:rPr>
        <w:t>Before reductions for unamortized discount of $2 million at June 30, 2011 and $3 million at December 31, 2010, and excluding capital leases of $15 million at June 30, 2011 and $19 million at December 31, 2010.</w:t>
      </w:r>
    </w:p>
    <w:p>
      <w:pPr>
        <w:spacing w:after="0" w:line="202"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Sempra Energy based the fair values of investments in affordable housing partnerships on the present value of estimated future cash flows, discounted at rates available for similar investments. All entities based the fair values of long-term debt and preferred stock on their quoted market prices or quoted market prices for similar securities.</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Nuclear Decommissioning Trusts</w:t>
      </w:r>
    </w:p>
    <w:p>
      <w:pPr>
        <w:spacing w:after="0" w:line="205" w:lineRule="exact"/>
        <w:rPr>
          <w:sz w:val="20"/>
          <w:szCs w:val="20"/>
          <w:color w:val="auto"/>
        </w:rPr>
      </w:pPr>
    </w:p>
    <w:p>
      <w:pPr>
        <w:spacing w:after="0"/>
        <w:rPr>
          <w:sz w:val="20"/>
          <w:szCs w:val="20"/>
          <w:color w:val="auto"/>
        </w:rPr>
      </w:pPr>
      <w:r>
        <w:rPr>
          <w:rFonts w:ascii="Arial" w:cs="Arial" w:eastAsia="Arial" w:hAnsi="Arial"/>
          <w:sz w:val="16"/>
          <w:szCs w:val="16"/>
          <w:color w:val="auto"/>
        </w:rPr>
        <w:t>We discuss SDG&amp;E's investments in nuclear decommissioning trust funds in Note 6 of the Notes to Consolidated Financial Statements in the Annual Report.</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shows the fair values and gross unrealized gains and losses for the securities held in the trust funds:</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NUCLEAR DECOMMISSIONING TRUSTS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-104775</wp:posOffset>
            </wp:positionV>
            <wp:extent cx="7246620" cy="22288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46620" cy="222885"/>
                    </a:xfrm>
                    <a:prstGeom prst="rect">
                      <a:avLst/>
                    </a:prstGeom>
                    <a:noFill/>
                  </pic:spPr>
                </pic:pic>
              </a:graphicData>
            </a:graphic>
          </wp:anchor>
        </w:drawing>
      </w:r>
    </w:p>
    <w:p>
      <w:pPr>
        <w:sectPr>
          <w:pgSz w:w="11900" w:h="16838" w:orient="portrait"/>
          <w:cols w:equalWidth="0" w:num="1">
            <w:col w:w="11420"/>
          </w:cols>
          <w:pgMar w:left="240" w:top="128" w:right="239" w:bottom="0" w:gutter="0" w:footer="0" w:header="0"/>
        </w:sectPr>
      </w:pPr>
    </w:p>
    <w:p>
      <w:pPr>
        <w:spacing w:after="0" w:line="28"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(Dollars in millions)</w:t>
      </w:r>
    </w:p>
    <w:p>
      <w:pPr>
        <w:sectPr>
          <w:pgSz w:w="11900" w:h="16838" w:orient="portrait"/>
          <w:cols w:equalWidth="0" w:num="1">
            <w:col w:w="11420"/>
          </w:cols>
          <w:pgMar w:left="240" w:top="128" w:right="239" w:bottom="0" w:gutter="0" w:footer="0" w:header="0"/>
          <w:type w:val="continuous"/>
        </w:sectPr>
      </w:pPr>
    </w:p>
    <w:bookmarkStart w:id="39" w:name="page40"/>
    <w:bookmarkEnd w:id="39"/>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50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160" w:type="dxa"/>
            <w:vAlign w:val="bottom"/>
          </w:tcPr>
          <w:p>
            <w:pPr>
              <w:jc w:val="center"/>
              <w:ind w:right="188"/>
              <w:spacing w:after="0"/>
              <w:rPr>
                <w:sz w:val="20"/>
                <w:szCs w:val="20"/>
                <w:color w:val="auto"/>
              </w:rPr>
            </w:pPr>
            <w:r>
              <w:rPr>
                <w:rFonts w:ascii="Arial" w:cs="Arial" w:eastAsia="Arial" w:hAnsi="Arial"/>
                <w:sz w:val="14"/>
                <w:szCs w:val="14"/>
                <w:color w:val="auto"/>
              </w:rPr>
              <w:t>Gross</w:t>
            </w:r>
          </w:p>
        </w:tc>
        <w:tc>
          <w:tcPr>
            <w:tcW w:w="380" w:type="dxa"/>
            <w:vAlign w:val="bottom"/>
          </w:tcPr>
          <w:p>
            <w:pPr>
              <w:spacing w:after="0"/>
              <w:rPr>
                <w:sz w:val="14"/>
                <w:szCs w:val="14"/>
                <w:color w:val="auto"/>
              </w:rPr>
            </w:pPr>
          </w:p>
        </w:tc>
        <w:tc>
          <w:tcPr>
            <w:tcW w:w="1180" w:type="dxa"/>
            <w:vAlign w:val="bottom"/>
          </w:tcPr>
          <w:p>
            <w:pPr>
              <w:jc w:val="center"/>
              <w:ind w:right="208"/>
              <w:spacing w:after="0"/>
              <w:rPr>
                <w:sz w:val="20"/>
                <w:szCs w:val="20"/>
                <w:color w:val="auto"/>
              </w:rPr>
            </w:pPr>
            <w:r>
              <w:rPr>
                <w:rFonts w:ascii="Arial" w:cs="Arial" w:eastAsia="Arial" w:hAnsi="Arial"/>
                <w:sz w:val="14"/>
                <w:szCs w:val="14"/>
                <w:color w:val="auto"/>
              </w:rPr>
              <w:t>Gross</w:t>
            </w:r>
          </w:p>
        </w:tc>
        <w:tc>
          <w:tcPr>
            <w:tcW w:w="400" w:type="dxa"/>
            <w:vAlign w:val="bottom"/>
          </w:tcPr>
          <w:p>
            <w:pPr>
              <w:spacing w:after="0"/>
              <w:rPr>
                <w:sz w:val="14"/>
                <w:szCs w:val="14"/>
                <w:color w:val="auto"/>
              </w:rPr>
            </w:pPr>
          </w:p>
        </w:tc>
        <w:tc>
          <w:tcPr>
            <w:tcW w:w="1140" w:type="dxa"/>
            <w:vAlign w:val="bottom"/>
          </w:tcPr>
          <w:p>
            <w:pPr>
              <w:jc w:val="center"/>
              <w:ind w:right="68"/>
              <w:spacing w:after="0"/>
              <w:rPr>
                <w:sz w:val="20"/>
                <w:szCs w:val="20"/>
                <w:color w:val="auto"/>
              </w:rPr>
            </w:pPr>
            <w:r>
              <w:rPr>
                <w:rFonts w:ascii="Arial" w:cs="Arial" w:eastAsia="Arial" w:hAnsi="Arial"/>
                <w:sz w:val="14"/>
                <w:szCs w:val="14"/>
                <w:color w:val="auto"/>
              </w:rPr>
              <w:t>Estimated</w:t>
            </w:r>
          </w:p>
        </w:tc>
      </w:tr>
      <w:tr>
        <w:trPr>
          <w:trHeight w:val="243"/>
        </w:trPr>
        <w:tc>
          <w:tcPr>
            <w:tcW w:w="20" w:type="dxa"/>
            <w:vAlign w:val="bottom"/>
          </w:tcPr>
          <w:p>
            <w:pPr>
              <w:spacing w:after="0"/>
              <w:rPr>
                <w:sz w:val="21"/>
                <w:szCs w:val="21"/>
                <w:color w:val="auto"/>
              </w:rPr>
            </w:pPr>
          </w:p>
        </w:tc>
        <w:tc>
          <w:tcPr>
            <w:tcW w:w="50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60" w:type="dxa"/>
            <w:vAlign w:val="bottom"/>
          </w:tcPr>
          <w:p>
            <w:pPr>
              <w:jc w:val="center"/>
              <w:ind w:right="208"/>
              <w:spacing w:after="0"/>
              <w:rPr>
                <w:sz w:val="20"/>
                <w:szCs w:val="20"/>
                <w:color w:val="auto"/>
              </w:rPr>
            </w:pPr>
            <w:r>
              <w:rPr>
                <w:rFonts w:ascii="Arial" w:cs="Arial" w:eastAsia="Arial" w:hAnsi="Arial"/>
                <w:sz w:val="14"/>
                <w:szCs w:val="14"/>
                <w:color w:val="auto"/>
              </w:rPr>
              <w:t>Unrealized</w:t>
            </w:r>
          </w:p>
        </w:tc>
        <w:tc>
          <w:tcPr>
            <w:tcW w:w="380" w:type="dxa"/>
            <w:vAlign w:val="bottom"/>
          </w:tcPr>
          <w:p>
            <w:pPr>
              <w:spacing w:after="0"/>
              <w:rPr>
                <w:sz w:val="21"/>
                <w:szCs w:val="21"/>
                <w:color w:val="auto"/>
              </w:rPr>
            </w:pPr>
          </w:p>
        </w:tc>
        <w:tc>
          <w:tcPr>
            <w:tcW w:w="1180" w:type="dxa"/>
            <w:vAlign w:val="bottom"/>
          </w:tcPr>
          <w:p>
            <w:pPr>
              <w:jc w:val="center"/>
              <w:ind w:right="228"/>
              <w:spacing w:after="0"/>
              <w:rPr>
                <w:sz w:val="20"/>
                <w:szCs w:val="20"/>
                <w:color w:val="auto"/>
              </w:rPr>
            </w:pPr>
            <w:r>
              <w:rPr>
                <w:rFonts w:ascii="Arial" w:cs="Arial" w:eastAsia="Arial" w:hAnsi="Arial"/>
                <w:sz w:val="14"/>
                <w:szCs w:val="14"/>
                <w:color w:val="auto"/>
              </w:rPr>
              <w:t>Unrealized</w:t>
            </w:r>
          </w:p>
        </w:tc>
        <w:tc>
          <w:tcPr>
            <w:tcW w:w="400" w:type="dxa"/>
            <w:vAlign w:val="bottom"/>
          </w:tcPr>
          <w:p>
            <w:pPr>
              <w:spacing w:after="0"/>
              <w:rPr>
                <w:sz w:val="21"/>
                <w:szCs w:val="21"/>
                <w:color w:val="auto"/>
              </w:rPr>
            </w:pPr>
          </w:p>
        </w:tc>
        <w:tc>
          <w:tcPr>
            <w:tcW w:w="1140" w:type="dxa"/>
            <w:vAlign w:val="bottom"/>
          </w:tcPr>
          <w:p>
            <w:pPr>
              <w:jc w:val="center"/>
              <w:ind w:right="88"/>
              <w:spacing w:after="0"/>
              <w:rPr>
                <w:sz w:val="20"/>
                <w:szCs w:val="20"/>
                <w:color w:val="auto"/>
              </w:rPr>
            </w:pPr>
            <w:r>
              <w:rPr>
                <w:rFonts w:ascii="Arial" w:cs="Arial" w:eastAsia="Arial" w:hAnsi="Arial"/>
                <w:sz w:val="14"/>
                <w:szCs w:val="14"/>
                <w:color w:val="auto"/>
              </w:rPr>
              <w:t>Fair</w:t>
            </w:r>
          </w:p>
        </w:tc>
      </w:tr>
      <w:tr>
        <w:trPr>
          <w:trHeight w:val="195"/>
        </w:trPr>
        <w:tc>
          <w:tcPr>
            <w:tcW w:w="20" w:type="dxa"/>
            <w:vAlign w:val="bottom"/>
          </w:tcPr>
          <w:p>
            <w:pPr>
              <w:spacing w:after="0"/>
              <w:rPr>
                <w:sz w:val="16"/>
                <w:szCs w:val="16"/>
                <w:color w:val="auto"/>
              </w:rPr>
            </w:pPr>
          </w:p>
        </w:tc>
        <w:tc>
          <w:tcPr>
            <w:tcW w:w="50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Cost</w:t>
            </w:r>
          </w:p>
        </w:tc>
        <w:tc>
          <w:tcPr>
            <w:tcW w:w="50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center"/>
              <w:ind w:right="188"/>
              <w:spacing w:after="0"/>
              <w:rPr>
                <w:sz w:val="20"/>
                <w:szCs w:val="20"/>
                <w:color w:val="auto"/>
              </w:rPr>
            </w:pPr>
            <w:r>
              <w:rPr>
                <w:rFonts w:ascii="Arial" w:cs="Arial" w:eastAsia="Arial" w:hAnsi="Arial"/>
                <w:sz w:val="14"/>
                <w:szCs w:val="14"/>
                <w:color w:val="auto"/>
              </w:rPr>
              <w:t>Gains</w:t>
            </w:r>
          </w:p>
        </w:tc>
        <w:tc>
          <w:tcPr>
            <w:tcW w:w="3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center"/>
              <w:ind w:right="208"/>
              <w:spacing w:after="0"/>
              <w:rPr>
                <w:sz w:val="20"/>
                <w:szCs w:val="20"/>
                <w:color w:val="auto"/>
              </w:rPr>
            </w:pPr>
            <w:r>
              <w:rPr>
                <w:rFonts w:ascii="Arial" w:cs="Arial" w:eastAsia="Arial" w:hAnsi="Arial"/>
                <w:sz w:val="14"/>
                <w:szCs w:val="14"/>
                <w:color w:val="auto"/>
              </w:rPr>
              <w:t>Losses</w:t>
            </w:r>
          </w:p>
        </w:tc>
        <w:tc>
          <w:tcPr>
            <w:tcW w:w="4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center"/>
              <w:ind w:right="68"/>
              <w:spacing w:after="0"/>
              <w:rPr>
                <w:sz w:val="20"/>
                <w:szCs w:val="20"/>
                <w:color w:val="auto"/>
              </w:rPr>
            </w:pPr>
            <w:r>
              <w:rPr>
                <w:rFonts w:ascii="Arial" w:cs="Arial" w:eastAsia="Arial" w:hAnsi="Arial"/>
                <w:sz w:val="14"/>
                <w:szCs w:val="14"/>
                <w:color w:val="auto"/>
              </w:rPr>
              <w:t>Value</w:t>
            </w:r>
          </w:p>
        </w:tc>
      </w:tr>
      <w:tr>
        <w:trPr>
          <w:trHeight w:val="167"/>
        </w:trPr>
        <w:tc>
          <w:tcPr>
            <w:tcW w:w="20" w:type="dxa"/>
            <w:vAlign w:val="bottom"/>
          </w:tcPr>
          <w:p>
            <w:pPr>
              <w:spacing w:after="0"/>
              <w:rPr>
                <w:sz w:val="14"/>
                <w:szCs w:val="14"/>
                <w:color w:val="auto"/>
              </w:rPr>
            </w:pPr>
          </w:p>
        </w:tc>
        <w:tc>
          <w:tcPr>
            <w:tcW w:w="5060" w:type="dxa"/>
            <w:vAlign w:val="bottom"/>
          </w:tcPr>
          <w:p>
            <w:pPr>
              <w:spacing w:after="0"/>
              <w:rPr>
                <w:sz w:val="20"/>
                <w:szCs w:val="20"/>
                <w:color w:val="auto"/>
              </w:rPr>
            </w:pPr>
            <w:r>
              <w:rPr>
                <w:rFonts w:ascii="Arial" w:cs="Arial" w:eastAsia="Arial" w:hAnsi="Arial"/>
                <w:sz w:val="14"/>
                <w:szCs w:val="14"/>
                <w:b w:val="1"/>
                <w:bCs w:val="1"/>
                <w:color w:val="auto"/>
              </w:rPr>
              <w:t>As of June 30, 2011:</w:t>
            </w:r>
          </w:p>
        </w:tc>
        <w:tc>
          <w:tcPr>
            <w:tcW w:w="12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62"/>
        </w:trPr>
        <w:tc>
          <w:tcPr>
            <w:tcW w:w="5080" w:type="dxa"/>
            <w:vAlign w:val="bottom"/>
            <w:gridSpan w:val="2"/>
          </w:tcPr>
          <w:p>
            <w:pPr>
              <w:spacing w:after="0"/>
              <w:rPr>
                <w:sz w:val="20"/>
                <w:szCs w:val="20"/>
                <w:color w:val="auto"/>
              </w:rPr>
            </w:pPr>
            <w:r>
              <w:rPr>
                <w:rFonts w:ascii="Arial" w:cs="Arial" w:eastAsia="Arial" w:hAnsi="Arial"/>
                <w:sz w:val="14"/>
                <w:szCs w:val="14"/>
                <w:color w:val="auto"/>
              </w:rPr>
              <w:t>Debt securities</w:t>
            </w:r>
          </w:p>
        </w:tc>
        <w:tc>
          <w:tcPr>
            <w:tcW w:w="12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62"/>
        </w:trPr>
        <w:tc>
          <w:tcPr>
            <w:tcW w:w="20" w:type="dxa"/>
            <w:vAlign w:val="bottom"/>
          </w:tcPr>
          <w:p>
            <w:pPr>
              <w:spacing w:after="0"/>
              <w:rPr>
                <w:sz w:val="14"/>
                <w:szCs w:val="14"/>
                <w:color w:val="auto"/>
              </w:rPr>
            </w:pPr>
          </w:p>
        </w:tc>
        <w:tc>
          <w:tcPr>
            <w:tcW w:w="5060" w:type="dxa"/>
            <w:vAlign w:val="bottom"/>
          </w:tcPr>
          <w:p>
            <w:pPr>
              <w:ind w:left="140"/>
              <w:spacing w:after="0"/>
              <w:rPr>
                <w:sz w:val="20"/>
                <w:szCs w:val="20"/>
                <w:color w:val="auto"/>
              </w:rPr>
            </w:pPr>
            <w:r>
              <w:rPr>
                <w:rFonts w:ascii="Arial" w:cs="Arial" w:eastAsia="Arial" w:hAnsi="Arial"/>
                <w:sz w:val="14"/>
                <w:szCs w:val="14"/>
                <w:color w:val="auto"/>
              </w:rPr>
              <w:t>Debt securities issued by the U.S. Treasury and other</w:t>
            </w:r>
          </w:p>
        </w:tc>
        <w:tc>
          <w:tcPr>
            <w:tcW w:w="12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62"/>
        </w:trPr>
        <w:tc>
          <w:tcPr>
            <w:tcW w:w="20" w:type="dxa"/>
            <w:vAlign w:val="bottom"/>
          </w:tcPr>
          <w:p>
            <w:pPr>
              <w:spacing w:after="0"/>
              <w:rPr>
                <w:sz w:val="14"/>
                <w:szCs w:val="14"/>
                <w:color w:val="auto"/>
              </w:rPr>
            </w:pPr>
          </w:p>
        </w:tc>
        <w:tc>
          <w:tcPr>
            <w:tcW w:w="5060" w:type="dxa"/>
            <w:vAlign w:val="bottom"/>
          </w:tcPr>
          <w:p>
            <w:pPr>
              <w:ind w:left="340"/>
              <w:spacing w:after="0"/>
              <w:rPr>
                <w:sz w:val="20"/>
                <w:szCs w:val="20"/>
                <w:color w:val="auto"/>
              </w:rPr>
            </w:pPr>
            <w:r>
              <w:rPr>
                <w:rFonts w:ascii="Arial" w:cs="Arial" w:eastAsia="Arial" w:hAnsi="Arial"/>
                <w:sz w:val="14"/>
                <w:szCs w:val="14"/>
                <w:color w:val="auto"/>
              </w:rPr>
              <w:t>U.S. government corporations and agencies(1)</w:t>
            </w:r>
          </w:p>
        </w:tc>
        <w:tc>
          <w:tcPr>
            <w:tcW w:w="1200" w:type="dxa"/>
            <w:vAlign w:val="bottom"/>
          </w:tcPr>
          <w:p>
            <w:pPr>
              <w:jc w:val="right"/>
              <w:ind w:right="708"/>
              <w:spacing w:after="0"/>
              <w:rPr>
                <w:sz w:val="20"/>
                <w:szCs w:val="20"/>
                <w:color w:val="auto"/>
              </w:rPr>
            </w:pPr>
            <w:r>
              <w:rPr>
                <w:rFonts w:ascii="Arial" w:cs="Arial" w:eastAsia="Arial" w:hAnsi="Arial"/>
                <w:sz w:val="14"/>
                <w:szCs w:val="14"/>
                <w:color w:val="auto"/>
              </w:rPr>
              <w:t>$</w:t>
            </w:r>
          </w:p>
        </w:tc>
        <w:tc>
          <w:tcPr>
            <w:tcW w:w="500" w:type="dxa"/>
            <w:vAlign w:val="bottom"/>
          </w:tcPr>
          <w:p>
            <w:pPr>
              <w:jc w:val="right"/>
              <w:ind w:right="128"/>
              <w:spacing w:after="0"/>
              <w:rPr>
                <w:sz w:val="20"/>
                <w:szCs w:val="20"/>
                <w:color w:val="auto"/>
              </w:rPr>
            </w:pPr>
            <w:r>
              <w:rPr>
                <w:rFonts w:ascii="Arial" w:cs="Arial" w:eastAsia="Arial" w:hAnsi="Arial"/>
                <w:sz w:val="14"/>
                <w:szCs w:val="14"/>
                <w:color w:val="auto"/>
              </w:rPr>
              <w:t>159</w:t>
            </w:r>
          </w:p>
        </w:tc>
        <w:tc>
          <w:tcPr>
            <w:tcW w:w="38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160" w:type="dxa"/>
            <w:vAlign w:val="bottom"/>
          </w:tcPr>
          <w:p>
            <w:pPr>
              <w:jc w:val="right"/>
              <w:ind w:right="128"/>
              <w:spacing w:after="0"/>
              <w:rPr>
                <w:sz w:val="20"/>
                <w:szCs w:val="20"/>
                <w:color w:val="auto"/>
              </w:rPr>
            </w:pPr>
            <w:r>
              <w:rPr>
                <w:rFonts w:ascii="Arial" w:cs="Arial" w:eastAsia="Arial" w:hAnsi="Arial"/>
                <w:sz w:val="14"/>
                <w:szCs w:val="14"/>
                <w:color w:val="auto"/>
              </w:rPr>
              <w:t>15</w:t>
            </w:r>
          </w:p>
        </w:tc>
        <w:tc>
          <w:tcPr>
            <w:tcW w:w="38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180" w:type="dxa"/>
            <w:vAlign w:val="bottom"/>
          </w:tcPr>
          <w:p>
            <w:pPr>
              <w:ind w:left="820"/>
              <w:spacing w:after="0"/>
              <w:rPr>
                <w:sz w:val="20"/>
                <w:szCs w:val="20"/>
                <w:color w:val="auto"/>
              </w:rPr>
            </w:pPr>
            <w:r>
              <w:rPr>
                <w:rFonts w:ascii="Arial" w:cs="Arial" w:eastAsia="Arial" w:hAnsi="Arial"/>
                <w:sz w:val="14"/>
                <w:szCs w:val="14"/>
                <w:color w:val="auto"/>
              </w:rPr>
              <w:t>(2)</w:t>
            </w:r>
          </w:p>
        </w:tc>
        <w:tc>
          <w:tcPr>
            <w:tcW w:w="40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140" w:type="dxa"/>
            <w:vAlign w:val="bottom"/>
          </w:tcPr>
          <w:p>
            <w:pPr>
              <w:jc w:val="right"/>
              <w:spacing w:after="0"/>
              <w:rPr>
                <w:sz w:val="20"/>
                <w:szCs w:val="20"/>
                <w:color w:val="auto"/>
              </w:rPr>
            </w:pPr>
            <w:r>
              <w:rPr>
                <w:rFonts w:ascii="Arial" w:cs="Arial" w:eastAsia="Arial" w:hAnsi="Arial"/>
                <w:sz w:val="14"/>
                <w:szCs w:val="14"/>
                <w:color w:val="auto"/>
              </w:rPr>
              <w:t>172</w:t>
            </w:r>
          </w:p>
        </w:tc>
      </w:tr>
      <w:tr>
        <w:trPr>
          <w:trHeight w:val="162"/>
        </w:trPr>
        <w:tc>
          <w:tcPr>
            <w:tcW w:w="20" w:type="dxa"/>
            <w:vAlign w:val="bottom"/>
          </w:tcPr>
          <w:p>
            <w:pPr>
              <w:spacing w:after="0"/>
              <w:rPr>
                <w:sz w:val="14"/>
                <w:szCs w:val="14"/>
                <w:color w:val="auto"/>
              </w:rPr>
            </w:pPr>
          </w:p>
        </w:tc>
        <w:tc>
          <w:tcPr>
            <w:tcW w:w="5060" w:type="dxa"/>
            <w:vAlign w:val="bottom"/>
          </w:tcPr>
          <w:p>
            <w:pPr>
              <w:ind w:left="140"/>
              <w:spacing w:after="0"/>
              <w:rPr>
                <w:sz w:val="20"/>
                <w:szCs w:val="20"/>
                <w:color w:val="auto"/>
              </w:rPr>
            </w:pPr>
            <w:r>
              <w:rPr>
                <w:rFonts w:ascii="Arial" w:cs="Arial" w:eastAsia="Arial" w:hAnsi="Arial"/>
                <w:sz w:val="14"/>
                <w:szCs w:val="14"/>
                <w:color w:val="auto"/>
              </w:rPr>
              <w:t>Municipal bonds(2)</w:t>
            </w:r>
          </w:p>
        </w:tc>
        <w:tc>
          <w:tcPr>
            <w:tcW w:w="1200" w:type="dxa"/>
            <w:vAlign w:val="bottom"/>
          </w:tcPr>
          <w:p>
            <w:pPr>
              <w:spacing w:after="0"/>
              <w:rPr>
                <w:sz w:val="14"/>
                <w:szCs w:val="14"/>
                <w:color w:val="auto"/>
              </w:rPr>
            </w:pPr>
          </w:p>
        </w:tc>
        <w:tc>
          <w:tcPr>
            <w:tcW w:w="500" w:type="dxa"/>
            <w:vAlign w:val="bottom"/>
          </w:tcPr>
          <w:p>
            <w:pPr>
              <w:jc w:val="right"/>
              <w:ind w:right="128"/>
              <w:spacing w:after="0"/>
              <w:rPr>
                <w:sz w:val="20"/>
                <w:szCs w:val="20"/>
                <w:color w:val="auto"/>
              </w:rPr>
            </w:pPr>
            <w:r>
              <w:rPr>
                <w:rFonts w:ascii="Arial" w:cs="Arial" w:eastAsia="Arial" w:hAnsi="Arial"/>
                <w:sz w:val="14"/>
                <w:szCs w:val="14"/>
                <w:color w:val="auto"/>
              </w:rPr>
              <w:t>116</w:t>
            </w:r>
          </w:p>
        </w:tc>
        <w:tc>
          <w:tcPr>
            <w:tcW w:w="380" w:type="dxa"/>
            <w:vAlign w:val="bottom"/>
          </w:tcPr>
          <w:p>
            <w:pPr>
              <w:spacing w:after="0"/>
              <w:rPr>
                <w:sz w:val="14"/>
                <w:szCs w:val="14"/>
                <w:color w:val="auto"/>
              </w:rPr>
            </w:pPr>
          </w:p>
        </w:tc>
        <w:tc>
          <w:tcPr>
            <w:tcW w:w="1160" w:type="dxa"/>
            <w:vAlign w:val="bottom"/>
          </w:tcPr>
          <w:p>
            <w:pPr>
              <w:jc w:val="right"/>
              <w:ind w:right="128"/>
              <w:spacing w:after="0"/>
              <w:rPr>
                <w:sz w:val="20"/>
                <w:szCs w:val="20"/>
                <w:color w:val="auto"/>
              </w:rPr>
            </w:pPr>
            <w:r>
              <w:rPr>
                <w:rFonts w:ascii="Arial" w:cs="Arial" w:eastAsia="Arial" w:hAnsi="Arial"/>
                <w:sz w:val="14"/>
                <w:szCs w:val="14"/>
                <w:color w:val="auto"/>
              </w:rPr>
              <w:t>4</w:t>
            </w:r>
          </w:p>
        </w:tc>
        <w:tc>
          <w:tcPr>
            <w:tcW w:w="380" w:type="dxa"/>
            <w:vAlign w:val="bottom"/>
          </w:tcPr>
          <w:p>
            <w:pPr>
              <w:spacing w:after="0"/>
              <w:rPr>
                <w:sz w:val="14"/>
                <w:szCs w:val="14"/>
                <w:color w:val="auto"/>
              </w:rPr>
            </w:pPr>
          </w:p>
        </w:tc>
        <w:tc>
          <w:tcPr>
            <w:tcW w:w="1180" w:type="dxa"/>
            <w:vAlign w:val="bottom"/>
          </w:tcPr>
          <w:p>
            <w:pPr>
              <w:ind w:left="820"/>
              <w:spacing w:after="0"/>
              <w:rPr>
                <w:sz w:val="20"/>
                <w:szCs w:val="20"/>
                <w:color w:val="auto"/>
              </w:rPr>
            </w:pPr>
            <w:r>
              <w:rPr>
                <w:rFonts w:ascii="Arial" w:cs="Arial" w:eastAsia="Arial" w:hAnsi="Arial"/>
                <w:sz w:val="14"/>
                <w:szCs w:val="14"/>
                <w:color w:val="auto"/>
              </w:rPr>
              <w:t>(2)</w:t>
            </w:r>
          </w:p>
        </w:tc>
        <w:tc>
          <w:tcPr>
            <w:tcW w:w="40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118</w:t>
            </w:r>
          </w:p>
        </w:tc>
      </w:tr>
      <w:tr>
        <w:trPr>
          <w:trHeight w:val="164"/>
        </w:trPr>
        <w:tc>
          <w:tcPr>
            <w:tcW w:w="20" w:type="dxa"/>
            <w:vAlign w:val="bottom"/>
          </w:tcPr>
          <w:p>
            <w:pPr>
              <w:spacing w:after="0"/>
              <w:rPr>
                <w:sz w:val="14"/>
                <w:szCs w:val="14"/>
                <w:color w:val="auto"/>
              </w:rPr>
            </w:pPr>
          </w:p>
        </w:tc>
        <w:tc>
          <w:tcPr>
            <w:tcW w:w="5060" w:type="dxa"/>
            <w:vAlign w:val="bottom"/>
          </w:tcPr>
          <w:p>
            <w:pPr>
              <w:ind w:left="140"/>
              <w:spacing w:after="0" w:line="137" w:lineRule="exact"/>
              <w:rPr>
                <w:sz w:val="20"/>
                <w:szCs w:val="20"/>
                <w:color w:val="auto"/>
              </w:rPr>
            </w:pPr>
            <w:r>
              <w:rPr>
                <w:rFonts w:ascii="Arial" w:cs="Arial" w:eastAsia="Arial" w:hAnsi="Arial"/>
                <w:sz w:val="14"/>
                <w:szCs w:val="14"/>
                <w:color w:val="auto"/>
              </w:rPr>
              <w:t>Other securities(3)</w:t>
            </w:r>
          </w:p>
        </w:tc>
        <w:tc>
          <w:tcPr>
            <w:tcW w:w="12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128"/>
              <w:spacing w:after="0" w:line="137" w:lineRule="exact"/>
              <w:rPr>
                <w:sz w:val="20"/>
                <w:szCs w:val="20"/>
                <w:color w:val="auto"/>
              </w:rPr>
            </w:pPr>
            <w:r>
              <w:rPr>
                <w:rFonts w:ascii="Arial" w:cs="Arial" w:eastAsia="Arial" w:hAnsi="Arial"/>
                <w:sz w:val="14"/>
                <w:szCs w:val="14"/>
                <w:color w:val="auto"/>
              </w:rPr>
              <w:t>21</w:t>
            </w:r>
          </w:p>
        </w:tc>
        <w:tc>
          <w:tcPr>
            <w:tcW w:w="38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128"/>
              <w:spacing w:after="0" w:line="137" w:lineRule="exact"/>
              <w:rPr>
                <w:sz w:val="20"/>
                <w:szCs w:val="20"/>
                <w:color w:val="auto"/>
              </w:rPr>
            </w:pPr>
            <w:r>
              <w:rPr>
                <w:rFonts w:ascii="Arial" w:cs="Arial" w:eastAsia="Arial" w:hAnsi="Arial"/>
                <w:sz w:val="14"/>
                <w:szCs w:val="14"/>
                <w:color w:val="auto"/>
              </w:rPr>
              <w:t>3</w:t>
            </w:r>
          </w:p>
        </w:tc>
        <w:tc>
          <w:tcPr>
            <w:tcW w:w="38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ind w:left="820"/>
              <w:spacing w:after="0" w:line="137" w:lineRule="exact"/>
              <w:rPr>
                <w:sz w:val="20"/>
                <w:szCs w:val="20"/>
                <w:color w:val="auto"/>
              </w:rPr>
            </w:pPr>
            <w:r>
              <w:rPr>
                <w:rFonts w:ascii="Arial" w:cs="Arial" w:eastAsia="Arial" w:hAnsi="Arial"/>
                <w:sz w:val="14"/>
                <w:szCs w:val="14"/>
                <w:color w:val="auto"/>
              </w:rPr>
              <w:t>―</w:t>
            </w:r>
          </w:p>
        </w:tc>
        <w:tc>
          <w:tcPr>
            <w:tcW w:w="40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spacing w:after="0" w:line="137" w:lineRule="exact"/>
              <w:rPr>
                <w:sz w:val="20"/>
                <w:szCs w:val="20"/>
                <w:color w:val="auto"/>
              </w:rPr>
            </w:pPr>
            <w:r>
              <w:rPr>
                <w:rFonts w:ascii="Arial" w:cs="Arial" w:eastAsia="Arial" w:hAnsi="Arial"/>
                <w:sz w:val="14"/>
                <w:szCs w:val="14"/>
                <w:color w:val="auto"/>
              </w:rPr>
              <w:t>24</w:t>
            </w:r>
          </w:p>
        </w:tc>
      </w:tr>
      <w:tr>
        <w:trPr>
          <w:trHeight w:val="167"/>
        </w:trPr>
        <w:tc>
          <w:tcPr>
            <w:tcW w:w="5080" w:type="dxa"/>
            <w:vAlign w:val="bottom"/>
            <w:gridSpan w:val="2"/>
          </w:tcPr>
          <w:p>
            <w:pPr>
              <w:spacing w:after="0"/>
              <w:rPr>
                <w:sz w:val="20"/>
                <w:szCs w:val="20"/>
                <w:color w:val="auto"/>
              </w:rPr>
            </w:pPr>
            <w:r>
              <w:rPr>
                <w:rFonts w:ascii="Arial" w:cs="Arial" w:eastAsia="Arial" w:hAnsi="Arial"/>
                <w:sz w:val="14"/>
                <w:szCs w:val="14"/>
                <w:color w:val="auto"/>
              </w:rPr>
              <w:t>Total debt securities</w:t>
            </w:r>
          </w:p>
        </w:tc>
        <w:tc>
          <w:tcPr>
            <w:tcW w:w="1200" w:type="dxa"/>
            <w:vAlign w:val="bottom"/>
          </w:tcPr>
          <w:p>
            <w:pPr>
              <w:spacing w:after="0"/>
              <w:rPr>
                <w:sz w:val="14"/>
                <w:szCs w:val="14"/>
                <w:color w:val="auto"/>
              </w:rPr>
            </w:pPr>
          </w:p>
        </w:tc>
        <w:tc>
          <w:tcPr>
            <w:tcW w:w="500" w:type="dxa"/>
            <w:vAlign w:val="bottom"/>
          </w:tcPr>
          <w:p>
            <w:pPr>
              <w:jc w:val="right"/>
              <w:ind w:right="128"/>
              <w:spacing w:after="0"/>
              <w:rPr>
                <w:sz w:val="20"/>
                <w:szCs w:val="20"/>
                <w:color w:val="auto"/>
              </w:rPr>
            </w:pPr>
            <w:r>
              <w:rPr>
                <w:rFonts w:ascii="Arial" w:cs="Arial" w:eastAsia="Arial" w:hAnsi="Arial"/>
                <w:sz w:val="14"/>
                <w:szCs w:val="14"/>
                <w:color w:val="auto"/>
              </w:rPr>
              <w:t>296</w:t>
            </w:r>
          </w:p>
        </w:tc>
        <w:tc>
          <w:tcPr>
            <w:tcW w:w="380" w:type="dxa"/>
            <w:vAlign w:val="bottom"/>
          </w:tcPr>
          <w:p>
            <w:pPr>
              <w:spacing w:after="0"/>
              <w:rPr>
                <w:sz w:val="14"/>
                <w:szCs w:val="14"/>
                <w:color w:val="auto"/>
              </w:rPr>
            </w:pPr>
          </w:p>
        </w:tc>
        <w:tc>
          <w:tcPr>
            <w:tcW w:w="1160" w:type="dxa"/>
            <w:vAlign w:val="bottom"/>
          </w:tcPr>
          <w:p>
            <w:pPr>
              <w:jc w:val="right"/>
              <w:ind w:right="128"/>
              <w:spacing w:after="0"/>
              <w:rPr>
                <w:sz w:val="20"/>
                <w:szCs w:val="20"/>
                <w:color w:val="auto"/>
              </w:rPr>
            </w:pPr>
            <w:r>
              <w:rPr>
                <w:rFonts w:ascii="Arial" w:cs="Arial" w:eastAsia="Arial" w:hAnsi="Arial"/>
                <w:sz w:val="14"/>
                <w:szCs w:val="14"/>
                <w:color w:val="auto"/>
              </w:rPr>
              <w:t>22</w:t>
            </w:r>
          </w:p>
        </w:tc>
        <w:tc>
          <w:tcPr>
            <w:tcW w:w="380" w:type="dxa"/>
            <w:vAlign w:val="bottom"/>
          </w:tcPr>
          <w:p>
            <w:pPr>
              <w:spacing w:after="0"/>
              <w:rPr>
                <w:sz w:val="14"/>
                <w:szCs w:val="14"/>
                <w:color w:val="auto"/>
              </w:rPr>
            </w:pPr>
          </w:p>
        </w:tc>
        <w:tc>
          <w:tcPr>
            <w:tcW w:w="1180" w:type="dxa"/>
            <w:vAlign w:val="bottom"/>
          </w:tcPr>
          <w:p>
            <w:pPr>
              <w:ind w:left="820"/>
              <w:spacing w:after="0"/>
              <w:rPr>
                <w:sz w:val="20"/>
                <w:szCs w:val="20"/>
                <w:color w:val="auto"/>
              </w:rPr>
            </w:pPr>
            <w:r>
              <w:rPr>
                <w:rFonts w:ascii="Arial" w:cs="Arial" w:eastAsia="Arial" w:hAnsi="Arial"/>
                <w:sz w:val="14"/>
                <w:szCs w:val="14"/>
                <w:color w:val="auto"/>
              </w:rPr>
              <w:t>(4)</w:t>
            </w:r>
          </w:p>
        </w:tc>
        <w:tc>
          <w:tcPr>
            <w:tcW w:w="40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314</w:t>
            </w:r>
          </w:p>
        </w:tc>
      </w:tr>
      <w:tr>
        <w:trPr>
          <w:trHeight w:val="162"/>
        </w:trPr>
        <w:tc>
          <w:tcPr>
            <w:tcW w:w="5080" w:type="dxa"/>
            <w:vAlign w:val="bottom"/>
            <w:gridSpan w:val="2"/>
          </w:tcPr>
          <w:p>
            <w:pPr>
              <w:spacing w:after="0"/>
              <w:rPr>
                <w:sz w:val="20"/>
                <w:szCs w:val="20"/>
                <w:color w:val="auto"/>
              </w:rPr>
            </w:pPr>
            <w:r>
              <w:rPr>
                <w:rFonts w:ascii="Arial" w:cs="Arial" w:eastAsia="Arial" w:hAnsi="Arial"/>
                <w:sz w:val="14"/>
                <w:szCs w:val="14"/>
                <w:color w:val="auto"/>
              </w:rPr>
              <w:t>Equity securities</w:t>
            </w:r>
          </w:p>
        </w:tc>
        <w:tc>
          <w:tcPr>
            <w:tcW w:w="1200" w:type="dxa"/>
            <w:vAlign w:val="bottom"/>
          </w:tcPr>
          <w:p>
            <w:pPr>
              <w:spacing w:after="0"/>
              <w:rPr>
                <w:sz w:val="14"/>
                <w:szCs w:val="14"/>
                <w:color w:val="auto"/>
              </w:rPr>
            </w:pPr>
          </w:p>
        </w:tc>
        <w:tc>
          <w:tcPr>
            <w:tcW w:w="500" w:type="dxa"/>
            <w:vAlign w:val="bottom"/>
          </w:tcPr>
          <w:p>
            <w:pPr>
              <w:jc w:val="right"/>
              <w:ind w:right="128"/>
              <w:spacing w:after="0"/>
              <w:rPr>
                <w:sz w:val="20"/>
                <w:szCs w:val="20"/>
                <w:color w:val="auto"/>
              </w:rPr>
            </w:pPr>
            <w:r>
              <w:rPr>
                <w:rFonts w:ascii="Arial" w:cs="Arial" w:eastAsia="Arial" w:hAnsi="Arial"/>
                <w:sz w:val="14"/>
                <w:szCs w:val="14"/>
                <w:color w:val="auto"/>
              </w:rPr>
              <w:t>221</w:t>
            </w:r>
          </w:p>
        </w:tc>
        <w:tc>
          <w:tcPr>
            <w:tcW w:w="380" w:type="dxa"/>
            <w:vAlign w:val="bottom"/>
          </w:tcPr>
          <w:p>
            <w:pPr>
              <w:spacing w:after="0"/>
              <w:rPr>
                <w:sz w:val="14"/>
                <w:szCs w:val="14"/>
                <w:color w:val="auto"/>
              </w:rPr>
            </w:pPr>
          </w:p>
        </w:tc>
        <w:tc>
          <w:tcPr>
            <w:tcW w:w="1160" w:type="dxa"/>
            <w:vAlign w:val="bottom"/>
          </w:tcPr>
          <w:p>
            <w:pPr>
              <w:jc w:val="right"/>
              <w:ind w:right="128"/>
              <w:spacing w:after="0"/>
              <w:rPr>
                <w:sz w:val="20"/>
                <w:szCs w:val="20"/>
                <w:color w:val="auto"/>
              </w:rPr>
            </w:pPr>
            <w:r>
              <w:rPr>
                <w:rFonts w:ascii="Arial" w:cs="Arial" w:eastAsia="Arial" w:hAnsi="Arial"/>
                <w:sz w:val="14"/>
                <w:szCs w:val="14"/>
                <w:color w:val="auto"/>
              </w:rPr>
              <w:t>263</w:t>
            </w:r>
          </w:p>
        </w:tc>
        <w:tc>
          <w:tcPr>
            <w:tcW w:w="380" w:type="dxa"/>
            <w:vAlign w:val="bottom"/>
          </w:tcPr>
          <w:p>
            <w:pPr>
              <w:spacing w:after="0"/>
              <w:rPr>
                <w:sz w:val="14"/>
                <w:szCs w:val="14"/>
                <w:color w:val="auto"/>
              </w:rPr>
            </w:pPr>
          </w:p>
        </w:tc>
        <w:tc>
          <w:tcPr>
            <w:tcW w:w="1180" w:type="dxa"/>
            <w:vAlign w:val="bottom"/>
          </w:tcPr>
          <w:p>
            <w:pPr>
              <w:ind w:left="820"/>
              <w:spacing w:after="0"/>
              <w:rPr>
                <w:sz w:val="20"/>
                <w:szCs w:val="20"/>
                <w:color w:val="auto"/>
              </w:rPr>
            </w:pPr>
            <w:r>
              <w:rPr>
                <w:rFonts w:ascii="Arial" w:cs="Arial" w:eastAsia="Arial" w:hAnsi="Arial"/>
                <w:sz w:val="14"/>
                <w:szCs w:val="14"/>
                <w:color w:val="auto"/>
              </w:rPr>
              <w:t>(1)</w:t>
            </w:r>
          </w:p>
        </w:tc>
        <w:tc>
          <w:tcPr>
            <w:tcW w:w="40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483</w:t>
            </w:r>
          </w:p>
        </w:tc>
      </w:tr>
      <w:tr>
        <w:trPr>
          <w:trHeight w:val="164"/>
        </w:trPr>
        <w:tc>
          <w:tcPr>
            <w:tcW w:w="5080" w:type="dxa"/>
            <w:vAlign w:val="bottom"/>
            <w:gridSpan w:val="2"/>
          </w:tcPr>
          <w:p>
            <w:pPr>
              <w:spacing w:after="0" w:line="137" w:lineRule="exact"/>
              <w:rPr>
                <w:sz w:val="20"/>
                <w:szCs w:val="20"/>
                <w:color w:val="auto"/>
              </w:rPr>
            </w:pPr>
            <w:r>
              <w:rPr>
                <w:rFonts w:ascii="Arial" w:cs="Arial" w:eastAsia="Arial" w:hAnsi="Arial"/>
                <w:sz w:val="14"/>
                <w:szCs w:val="14"/>
                <w:color w:val="auto"/>
              </w:rPr>
              <w:t>Cash and cash equivalents</w:t>
            </w:r>
          </w:p>
        </w:tc>
        <w:tc>
          <w:tcPr>
            <w:tcW w:w="12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128"/>
              <w:spacing w:after="0" w:line="137" w:lineRule="exact"/>
              <w:rPr>
                <w:sz w:val="20"/>
                <w:szCs w:val="20"/>
                <w:color w:val="auto"/>
              </w:rPr>
            </w:pPr>
            <w:r>
              <w:rPr>
                <w:rFonts w:ascii="Arial" w:cs="Arial" w:eastAsia="Arial" w:hAnsi="Arial"/>
                <w:sz w:val="14"/>
                <w:szCs w:val="14"/>
                <w:color w:val="auto"/>
              </w:rPr>
              <w:t>11</w:t>
            </w:r>
          </w:p>
        </w:tc>
        <w:tc>
          <w:tcPr>
            <w:tcW w:w="38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128"/>
              <w:spacing w:after="0" w:line="137" w:lineRule="exact"/>
              <w:rPr>
                <w:sz w:val="20"/>
                <w:szCs w:val="20"/>
                <w:color w:val="auto"/>
              </w:rPr>
            </w:pPr>
            <w:r>
              <w:rPr>
                <w:rFonts w:ascii="Arial" w:cs="Arial" w:eastAsia="Arial" w:hAnsi="Arial"/>
                <w:sz w:val="14"/>
                <w:szCs w:val="14"/>
                <w:color w:val="auto"/>
              </w:rPr>
              <w:t>―</w:t>
            </w:r>
          </w:p>
        </w:tc>
        <w:tc>
          <w:tcPr>
            <w:tcW w:w="38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ind w:left="820"/>
              <w:spacing w:after="0" w:line="137" w:lineRule="exact"/>
              <w:rPr>
                <w:sz w:val="20"/>
                <w:szCs w:val="20"/>
                <w:color w:val="auto"/>
              </w:rPr>
            </w:pPr>
            <w:r>
              <w:rPr>
                <w:rFonts w:ascii="Arial" w:cs="Arial" w:eastAsia="Arial" w:hAnsi="Arial"/>
                <w:sz w:val="14"/>
                <w:szCs w:val="14"/>
                <w:color w:val="auto"/>
              </w:rPr>
              <w:t>―</w:t>
            </w:r>
          </w:p>
        </w:tc>
        <w:tc>
          <w:tcPr>
            <w:tcW w:w="40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spacing w:after="0" w:line="137" w:lineRule="exact"/>
              <w:rPr>
                <w:sz w:val="20"/>
                <w:szCs w:val="20"/>
                <w:color w:val="auto"/>
              </w:rPr>
            </w:pPr>
            <w:r>
              <w:rPr>
                <w:rFonts w:ascii="Arial" w:cs="Arial" w:eastAsia="Arial" w:hAnsi="Arial"/>
                <w:sz w:val="14"/>
                <w:szCs w:val="14"/>
                <w:color w:val="auto"/>
              </w:rPr>
              <w:t>11</w:t>
            </w:r>
          </w:p>
        </w:tc>
      </w:tr>
      <w:tr>
        <w:trPr>
          <w:trHeight w:val="169"/>
        </w:trPr>
        <w:tc>
          <w:tcPr>
            <w:tcW w:w="5080" w:type="dxa"/>
            <w:vAlign w:val="bottom"/>
            <w:tcBorders>
              <w:bottom w:val="single" w:sz="8" w:color="auto"/>
            </w:tcBorders>
            <w:gridSpan w:val="2"/>
          </w:tcPr>
          <w:p>
            <w:pPr>
              <w:spacing w:after="0"/>
              <w:rPr>
                <w:sz w:val="20"/>
                <w:szCs w:val="20"/>
                <w:color w:val="auto"/>
              </w:rPr>
            </w:pPr>
            <w:r>
              <w:rPr>
                <w:rFonts w:ascii="Arial" w:cs="Arial" w:eastAsia="Arial" w:hAnsi="Arial"/>
                <w:sz w:val="14"/>
                <w:szCs w:val="14"/>
                <w:color w:val="auto"/>
              </w:rPr>
              <w:t>Total</w:t>
            </w:r>
          </w:p>
        </w:tc>
        <w:tc>
          <w:tcPr>
            <w:tcW w:w="1200" w:type="dxa"/>
            <w:vAlign w:val="bottom"/>
            <w:tcBorders>
              <w:bottom w:val="single" w:sz="8" w:color="auto"/>
            </w:tcBorders>
          </w:tcPr>
          <w:p>
            <w:pPr>
              <w:jc w:val="right"/>
              <w:ind w:right="708"/>
              <w:spacing w:after="0"/>
              <w:rPr>
                <w:sz w:val="20"/>
                <w:szCs w:val="20"/>
                <w:color w:val="auto"/>
              </w:rPr>
            </w:pPr>
            <w:r>
              <w:rPr>
                <w:rFonts w:ascii="Arial" w:cs="Arial" w:eastAsia="Arial" w:hAnsi="Arial"/>
                <w:sz w:val="14"/>
                <w:szCs w:val="14"/>
                <w:color w:val="auto"/>
              </w:rPr>
              <w:t>$</w:t>
            </w:r>
          </w:p>
        </w:tc>
        <w:tc>
          <w:tcPr>
            <w:tcW w:w="5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528</w:t>
            </w:r>
          </w:p>
        </w:tc>
        <w:tc>
          <w:tcPr>
            <w:tcW w:w="3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285</w:t>
            </w:r>
          </w:p>
        </w:tc>
        <w:tc>
          <w:tcPr>
            <w:tcW w:w="3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180" w:type="dxa"/>
            <w:vAlign w:val="bottom"/>
            <w:tcBorders>
              <w:bottom w:val="single" w:sz="8" w:color="auto"/>
            </w:tcBorders>
          </w:tcPr>
          <w:p>
            <w:pPr>
              <w:ind w:left="820"/>
              <w:spacing w:after="0"/>
              <w:rPr>
                <w:sz w:val="20"/>
                <w:szCs w:val="20"/>
                <w:color w:val="auto"/>
              </w:rPr>
            </w:pPr>
            <w:r>
              <w:rPr>
                <w:rFonts w:ascii="Arial" w:cs="Arial" w:eastAsia="Arial" w:hAnsi="Arial"/>
                <w:sz w:val="14"/>
                <w:szCs w:val="14"/>
                <w:color w:val="auto"/>
              </w:rPr>
              <w:t>(5)</w:t>
            </w:r>
          </w:p>
        </w:tc>
        <w:tc>
          <w:tcPr>
            <w:tcW w:w="40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808</w:t>
            </w:r>
          </w:p>
        </w:tc>
      </w:tr>
      <w:tr>
        <w:trPr>
          <w:trHeight w:val="167"/>
        </w:trPr>
        <w:tc>
          <w:tcPr>
            <w:tcW w:w="5080" w:type="dxa"/>
            <w:vAlign w:val="bottom"/>
            <w:gridSpan w:val="2"/>
          </w:tcPr>
          <w:p>
            <w:pPr>
              <w:spacing w:after="0"/>
              <w:rPr>
                <w:sz w:val="20"/>
                <w:szCs w:val="20"/>
                <w:color w:val="auto"/>
              </w:rPr>
            </w:pPr>
            <w:r>
              <w:rPr>
                <w:rFonts w:ascii="Arial" w:cs="Arial" w:eastAsia="Arial" w:hAnsi="Arial"/>
                <w:sz w:val="14"/>
                <w:szCs w:val="14"/>
                <w:b w:val="1"/>
                <w:bCs w:val="1"/>
                <w:color w:val="auto"/>
              </w:rPr>
              <w:t>As of December 31, 2010:</w:t>
            </w:r>
          </w:p>
        </w:tc>
        <w:tc>
          <w:tcPr>
            <w:tcW w:w="12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62"/>
        </w:trPr>
        <w:tc>
          <w:tcPr>
            <w:tcW w:w="5080" w:type="dxa"/>
            <w:vAlign w:val="bottom"/>
            <w:gridSpan w:val="2"/>
          </w:tcPr>
          <w:p>
            <w:pPr>
              <w:spacing w:after="0"/>
              <w:rPr>
                <w:sz w:val="20"/>
                <w:szCs w:val="20"/>
                <w:color w:val="auto"/>
              </w:rPr>
            </w:pPr>
            <w:r>
              <w:rPr>
                <w:rFonts w:ascii="Arial" w:cs="Arial" w:eastAsia="Arial" w:hAnsi="Arial"/>
                <w:sz w:val="14"/>
                <w:szCs w:val="14"/>
                <w:color w:val="auto"/>
              </w:rPr>
              <w:t>Debt securities</w:t>
            </w:r>
          </w:p>
        </w:tc>
        <w:tc>
          <w:tcPr>
            <w:tcW w:w="12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62"/>
        </w:trPr>
        <w:tc>
          <w:tcPr>
            <w:tcW w:w="20" w:type="dxa"/>
            <w:vAlign w:val="bottom"/>
          </w:tcPr>
          <w:p>
            <w:pPr>
              <w:spacing w:after="0"/>
              <w:rPr>
                <w:sz w:val="14"/>
                <w:szCs w:val="14"/>
                <w:color w:val="auto"/>
              </w:rPr>
            </w:pPr>
          </w:p>
        </w:tc>
        <w:tc>
          <w:tcPr>
            <w:tcW w:w="5060" w:type="dxa"/>
            <w:vAlign w:val="bottom"/>
          </w:tcPr>
          <w:p>
            <w:pPr>
              <w:ind w:left="140"/>
              <w:spacing w:after="0"/>
              <w:rPr>
                <w:sz w:val="20"/>
                <w:szCs w:val="20"/>
                <w:color w:val="auto"/>
              </w:rPr>
            </w:pPr>
            <w:r>
              <w:rPr>
                <w:rFonts w:ascii="Arial" w:cs="Arial" w:eastAsia="Arial" w:hAnsi="Arial"/>
                <w:sz w:val="14"/>
                <w:szCs w:val="14"/>
                <w:color w:val="auto"/>
              </w:rPr>
              <w:t>Debt securities issued by the U.S. Treasury and other</w:t>
            </w:r>
          </w:p>
        </w:tc>
        <w:tc>
          <w:tcPr>
            <w:tcW w:w="12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62"/>
        </w:trPr>
        <w:tc>
          <w:tcPr>
            <w:tcW w:w="20" w:type="dxa"/>
            <w:vAlign w:val="bottom"/>
          </w:tcPr>
          <w:p>
            <w:pPr>
              <w:spacing w:after="0"/>
              <w:rPr>
                <w:sz w:val="14"/>
                <w:szCs w:val="14"/>
                <w:color w:val="auto"/>
              </w:rPr>
            </w:pPr>
          </w:p>
        </w:tc>
        <w:tc>
          <w:tcPr>
            <w:tcW w:w="5060" w:type="dxa"/>
            <w:vAlign w:val="bottom"/>
          </w:tcPr>
          <w:p>
            <w:pPr>
              <w:ind w:left="340"/>
              <w:spacing w:after="0"/>
              <w:rPr>
                <w:sz w:val="20"/>
                <w:szCs w:val="20"/>
                <w:color w:val="auto"/>
              </w:rPr>
            </w:pPr>
            <w:r>
              <w:rPr>
                <w:rFonts w:ascii="Arial" w:cs="Arial" w:eastAsia="Arial" w:hAnsi="Arial"/>
                <w:sz w:val="14"/>
                <w:szCs w:val="14"/>
                <w:color w:val="auto"/>
              </w:rPr>
              <w:t>U.S. government corporations and agencies</w:t>
            </w:r>
          </w:p>
        </w:tc>
        <w:tc>
          <w:tcPr>
            <w:tcW w:w="1200" w:type="dxa"/>
            <w:vAlign w:val="bottom"/>
          </w:tcPr>
          <w:p>
            <w:pPr>
              <w:jc w:val="right"/>
              <w:ind w:right="708"/>
              <w:spacing w:after="0"/>
              <w:rPr>
                <w:sz w:val="20"/>
                <w:szCs w:val="20"/>
                <w:color w:val="auto"/>
              </w:rPr>
            </w:pPr>
            <w:r>
              <w:rPr>
                <w:rFonts w:ascii="Arial" w:cs="Arial" w:eastAsia="Arial" w:hAnsi="Arial"/>
                <w:sz w:val="14"/>
                <w:szCs w:val="14"/>
                <w:color w:val="auto"/>
              </w:rPr>
              <w:t>$</w:t>
            </w:r>
          </w:p>
        </w:tc>
        <w:tc>
          <w:tcPr>
            <w:tcW w:w="500" w:type="dxa"/>
            <w:vAlign w:val="bottom"/>
          </w:tcPr>
          <w:p>
            <w:pPr>
              <w:jc w:val="right"/>
              <w:ind w:right="128"/>
              <w:spacing w:after="0"/>
              <w:rPr>
                <w:sz w:val="20"/>
                <w:szCs w:val="20"/>
                <w:color w:val="auto"/>
              </w:rPr>
            </w:pPr>
            <w:r>
              <w:rPr>
                <w:rFonts w:ascii="Arial" w:cs="Arial" w:eastAsia="Arial" w:hAnsi="Arial"/>
                <w:sz w:val="14"/>
                <w:szCs w:val="14"/>
                <w:color w:val="auto"/>
              </w:rPr>
              <w:t>162</w:t>
            </w:r>
          </w:p>
        </w:tc>
        <w:tc>
          <w:tcPr>
            <w:tcW w:w="38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160" w:type="dxa"/>
            <w:vAlign w:val="bottom"/>
          </w:tcPr>
          <w:p>
            <w:pPr>
              <w:jc w:val="right"/>
              <w:ind w:right="128"/>
              <w:spacing w:after="0"/>
              <w:rPr>
                <w:sz w:val="20"/>
                <w:szCs w:val="20"/>
                <w:color w:val="auto"/>
              </w:rPr>
            </w:pPr>
            <w:r>
              <w:rPr>
                <w:rFonts w:ascii="Arial" w:cs="Arial" w:eastAsia="Arial" w:hAnsi="Arial"/>
                <w:sz w:val="14"/>
                <w:szCs w:val="14"/>
                <w:color w:val="auto"/>
              </w:rPr>
              <w:t>14</w:t>
            </w:r>
          </w:p>
        </w:tc>
        <w:tc>
          <w:tcPr>
            <w:tcW w:w="38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180" w:type="dxa"/>
            <w:vAlign w:val="bottom"/>
          </w:tcPr>
          <w:p>
            <w:pPr>
              <w:ind w:left="820"/>
              <w:spacing w:after="0"/>
              <w:rPr>
                <w:sz w:val="20"/>
                <w:szCs w:val="20"/>
                <w:color w:val="auto"/>
              </w:rPr>
            </w:pPr>
            <w:r>
              <w:rPr>
                <w:rFonts w:ascii="Arial" w:cs="Arial" w:eastAsia="Arial" w:hAnsi="Arial"/>
                <w:sz w:val="14"/>
                <w:szCs w:val="14"/>
                <w:color w:val="auto"/>
              </w:rPr>
              <w:t>(2)</w:t>
            </w:r>
          </w:p>
        </w:tc>
        <w:tc>
          <w:tcPr>
            <w:tcW w:w="40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140" w:type="dxa"/>
            <w:vAlign w:val="bottom"/>
          </w:tcPr>
          <w:p>
            <w:pPr>
              <w:jc w:val="right"/>
              <w:spacing w:after="0"/>
              <w:rPr>
                <w:sz w:val="20"/>
                <w:szCs w:val="20"/>
                <w:color w:val="auto"/>
              </w:rPr>
            </w:pPr>
            <w:r>
              <w:rPr>
                <w:rFonts w:ascii="Arial" w:cs="Arial" w:eastAsia="Arial" w:hAnsi="Arial"/>
                <w:sz w:val="14"/>
                <w:szCs w:val="14"/>
                <w:color w:val="auto"/>
              </w:rPr>
              <w:t>174</w:t>
            </w:r>
          </w:p>
        </w:tc>
      </w:tr>
      <w:tr>
        <w:trPr>
          <w:trHeight w:val="162"/>
        </w:trPr>
        <w:tc>
          <w:tcPr>
            <w:tcW w:w="20" w:type="dxa"/>
            <w:vAlign w:val="bottom"/>
          </w:tcPr>
          <w:p>
            <w:pPr>
              <w:spacing w:after="0"/>
              <w:rPr>
                <w:sz w:val="14"/>
                <w:szCs w:val="14"/>
                <w:color w:val="auto"/>
              </w:rPr>
            </w:pPr>
          </w:p>
        </w:tc>
        <w:tc>
          <w:tcPr>
            <w:tcW w:w="5060" w:type="dxa"/>
            <w:vAlign w:val="bottom"/>
          </w:tcPr>
          <w:p>
            <w:pPr>
              <w:ind w:left="140"/>
              <w:spacing w:after="0"/>
              <w:rPr>
                <w:sz w:val="20"/>
                <w:szCs w:val="20"/>
                <w:color w:val="auto"/>
              </w:rPr>
            </w:pPr>
            <w:r>
              <w:rPr>
                <w:rFonts w:ascii="Arial" w:cs="Arial" w:eastAsia="Arial" w:hAnsi="Arial"/>
                <w:sz w:val="14"/>
                <w:szCs w:val="14"/>
                <w:color w:val="auto"/>
              </w:rPr>
              <w:t>Municipal bonds</w:t>
            </w:r>
          </w:p>
        </w:tc>
        <w:tc>
          <w:tcPr>
            <w:tcW w:w="1200" w:type="dxa"/>
            <w:vAlign w:val="bottom"/>
          </w:tcPr>
          <w:p>
            <w:pPr>
              <w:spacing w:after="0"/>
              <w:rPr>
                <w:sz w:val="14"/>
                <w:szCs w:val="14"/>
                <w:color w:val="auto"/>
              </w:rPr>
            </w:pPr>
          </w:p>
        </w:tc>
        <w:tc>
          <w:tcPr>
            <w:tcW w:w="500" w:type="dxa"/>
            <w:vAlign w:val="bottom"/>
          </w:tcPr>
          <w:p>
            <w:pPr>
              <w:jc w:val="right"/>
              <w:ind w:right="128"/>
              <w:spacing w:after="0"/>
              <w:rPr>
                <w:sz w:val="20"/>
                <w:szCs w:val="20"/>
                <w:color w:val="auto"/>
              </w:rPr>
            </w:pPr>
            <w:r>
              <w:rPr>
                <w:rFonts w:ascii="Arial" w:cs="Arial" w:eastAsia="Arial" w:hAnsi="Arial"/>
                <w:sz w:val="14"/>
                <w:szCs w:val="14"/>
                <w:color w:val="auto"/>
              </w:rPr>
              <w:t>101</w:t>
            </w:r>
          </w:p>
        </w:tc>
        <w:tc>
          <w:tcPr>
            <w:tcW w:w="380" w:type="dxa"/>
            <w:vAlign w:val="bottom"/>
          </w:tcPr>
          <w:p>
            <w:pPr>
              <w:spacing w:after="0"/>
              <w:rPr>
                <w:sz w:val="14"/>
                <w:szCs w:val="14"/>
                <w:color w:val="auto"/>
              </w:rPr>
            </w:pPr>
          </w:p>
        </w:tc>
        <w:tc>
          <w:tcPr>
            <w:tcW w:w="1160" w:type="dxa"/>
            <w:vAlign w:val="bottom"/>
          </w:tcPr>
          <w:p>
            <w:pPr>
              <w:jc w:val="right"/>
              <w:ind w:right="128"/>
              <w:spacing w:after="0"/>
              <w:rPr>
                <w:sz w:val="20"/>
                <w:szCs w:val="20"/>
                <w:color w:val="auto"/>
              </w:rPr>
            </w:pPr>
            <w:r>
              <w:rPr>
                <w:rFonts w:ascii="Arial" w:cs="Arial" w:eastAsia="Arial" w:hAnsi="Arial"/>
                <w:sz w:val="14"/>
                <w:szCs w:val="14"/>
                <w:color w:val="auto"/>
              </w:rPr>
              <w:t>2</w:t>
            </w:r>
          </w:p>
        </w:tc>
        <w:tc>
          <w:tcPr>
            <w:tcW w:w="380" w:type="dxa"/>
            <w:vAlign w:val="bottom"/>
          </w:tcPr>
          <w:p>
            <w:pPr>
              <w:spacing w:after="0"/>
              <w:rPr>
                <w:sz w:val="14"/>
                <w:szCs w:val="14"/>
                <w:color w:val="auto"/>
              </w:rPr>
            </w:pPr>
          </w:p>
        </w:tc>
        <w:tc>
          <w:tcPr>
            <w:tcW w:w="1180" w:type="dxa"/>
            <w:vAlign w:val="bottom"/>
          </w:tcPr>
          <w:p>
            <w:pPr>
              <w:ind w:left="820"/>
              <w:spacing w:after="0"/>
              <w:rPr>
                <w:sz w:val="20"/>
                <w:szCs w:val="20"/>
                <w:color w:val="auto"/>
              </w:rPr>
            </w:pPr>
            <w:r>
              <w:rPr>
                <w:rFonts w:ascii="Arial" w:cs="Arial" w:eastAsia="Arial" w:hAnsi="Arial"/>
                <w:sz w:val="14"/>
                <w:szCs w:val="14"/>
                <w:color w:val="auto"/>
              </w:rPr>
              <w:t>(3)</w:t>
            </w:r>
          </w:p>
        </w:tc>
        <w:tc>
          <w:tcPr>
            <w:tcW w:w="40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100</w:t>
            </w:r>
          </w:p>
        </w:tc>
      </w:tr>
      <w:tr>
        <w:trPr>
          <w:trHeight w:val="164"/>
        </w:trPr>
        <w:tc>
          <w:tcPr>
            <w:tcW w:w="20" w:type="dxa"/>
            <w:vAlign w:val="bottom"/>
          </w:tcPr>
          <w:p>
            <w:pPr>
              <w:spacing w:after="0"/>
              <w:rPr>
                <w:sz w:val="14"/>
                <w:szCs w:val="14"/>
                <w:color w:val="auto"/>
              </w:rPr>
            </w:pPr>
          </w:p>
        </w:tc>
        <w:tc>
          <w:tcPr>
            <w:tcW w:w="5060" w:type="dxa"/>
            <w:vAlign w:val="bottom"/>
          </w:tcPr>
          <w:p>
            <w:pPr>
              <w:ind w:left="140"/>
              <w:spacing w:after="0" w:line="137" w:lineRule="exact"/>
              <w:rPr>
                <w:sz w:val="20"/>
                <w:szCs w:val="20"/>
                <w:color w:val="auto"/>
              </w:rPr>
            </w:pPr>
            <w:r>
              <w:rPr>
                <w:rFonts w:ascii="Arial" w:cs="Arial" w:eastAsia="Arial" w:hAnsi="Arial"/>
                <w:sz w:val="14"/>
                <w:szCs w:val="14"/>
                <w:color w:val="auto"/>
              </w:rPr>
              <w:t>Other securities</w:t>
            </w:r>
          </w:p>
        </w:tc>
        <w:tc>
          <w:tcPr>
            <w:tcW w:w="12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128"/>
              <w:spacing w:after="0" w:line="137" w:lineRule="exact"/>
              <w:rPr>
                <w:sz w:val="20"/>
                <w:szCs w:val="20"/>
                <w:color w:val="auto"/>
              </w:rPr>
            </w:pPr>
            <w:r>
              <w:rPr>
                <w:rFonts w:ascii="Arial" w:cs="Arial" w:eastAsia="Arial" w:hAnsi="Arial"/>
                <w:sz w:val="14"/>
                <w:szCs w:val="14"/>
                <w:color w:val="auto"/>
              </w:rPr>
              <w:t>22</w:t>
            </w:r>
          </w:p>
        </w:tc>
        <w:tc>
          <w:tcPr>
            <w:tcW w:w="38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128"/>
              <w:spacing w:after="0" w:line="137" w:lineRule="exact"/>
              <w:rPr>
                <w:sz w:val="20"/>
                <w:szCs w:val="20"/>
                <w:color w:val="auto"/>
              </w:rPr>
            </w:pPr>
            <w:r>
              <w:rPr>
                <w:rFonts w:ascii="Arial" w:cs="Arial" w:eastAsia="Arial" w:hAnsi="Arial"/>
                <w:sz w:val="14"/>
                <w:szCs w:val="14"/>
                <w:color w:val="auto"/>
              </w:rPr>
              <w:t>3</w:t>
            </w:r>
          </w:p>
        </w:tc>
        <w:tc>
          <w:tcPr>
            <w:tcW w:w="38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ind w:left="820"/>
              <w:spacing w:after="0" w:line="137" w:lineRule="exact"/>
              <w:rPr>
                <w:sz w:val="20"/>
                <w:szCs w:val="20"/>
                <w:color w:val="auto"/>
              </w:rPr>
            </w:pPr>
            <w:r>
              <w:rPr>
                <w:rFonts w:ascii="Arial" w:cs="Arial" w:eastAsia="Arial" w:hAnsi="Arial"/>
                <w:sz w:val="14"/>
                <w:szCs w:val="14"/>
                <w:color w:val="auto"/>
              </w:rPr>
              <w:t>―</w:t>
            </w:r>
          </w:p>
        </w:tc>
        <w:tc>
          <w:tcPr>
            <w:tcW w:w="40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spacing w:after="0" w:line="137" w:lineRule="exact"/>
              <w:rPr>
                <w:sz w:val="20"/>
                <w:szCs w:val="20"/>
                <w:color w:val="auto"/>
              </w:rPr>
            </w:pPr>
            <w:r>
              <w:rPr>
                <w:rFonts w:ascii="Arial" w:cs="Arial" w:eastAsia="Arial" w:hAnsi="Arial"/>
                <w:sz w:val="14"/>
                <w:szCs w:val="14"/>
                <w:color w:val="auto"/>
              </w:rPr>
              <w:t>25</w:t>
            </w:r>
          </w:p>
        </w:tc>
      </w:tr>
      <w:tr>
        <w:trPr>
          <w:trHeight w:val="167"/>
        </w:trPr>
        <w:tc>
          <w:tcPr>
            <w:tcW w:w="5080" w:type="dxa"/>
            <w:vAlign w:val="bottom"/>
            <w:gridSpan w:val="2"/>
          </w:tcPr>
          <w:p>
            <w:pPr>
              <w:spacing w:after="0"/>
              <w:rPr>
                <w:sz w:val="20"/>
                <w:szCs w:val="20"/>
                <w:color w:val="auto"/>
              </w:rPr>
            </w:pPr>
            <w:r>
              <w:rPr>
                <w:rFonts w:ascii="Arial" w:cs="Arial" w:eastAsia="Arial" w:hAnsi="Arial"/>
                <w:sz w:val="14"/>
                <w:szCs w:val="14"/>
                <w:color w:val="auto"/>
              </w:rPr>
              <w:t>Total debt securities</w:t>
            </w:r>
          </w:p>
        </w:tc>
        <w:tc>
          <w:tcPr>
            <w:tcW w:w="1200" w:type="dxa"/>
            <w:vAlign w:val="bottom"/>
          </w:tcPr>
          <w:p>
            <w:pPr>
              <w:spacing w:after="0"/>
              <w:rPr>
                <w:sz w:val="14"/>
                <w:szCs w:val="14"/>
                <w:color w:val="auto"/>
              </w:rPr>
            </w:pPr>
          </w:p>
        </w:tc>
        <w:tc>
          <w:tcPr>
            <w:tcW w:w="500" w:type="dxa"/>
            <w:vAlign w:val="bottom"/>
          </w:tcPr>
          <w:p>
            <w:pPr>
              <w:jc w:val="right"/>
              <w:ind w:right="128"/>
              <w:spacing w:after="0"/>
              <w:rPr>
                <w:sz w:val="20"/>
                <w:szCs w:val="20"/>
                <w:color w:val="auto"/>
              </w:rPr>
            </w:pPr>
            <w:r>
              <w:rPr>
                <w:rFonts w:ascii="Arial" w:cs="Arial" w:eastAsia="Arial" w:hAnsi="Arial"/>
                <w:sz w:val="14"/>
                <w:szCs w:val="14"/>
                <w:color w:val="auto"/>
              </w:rPr>
              <w:t>285</w:t>
            </w:r>
          </w:p>
        </w:tc>
        <w:tc>
          <w:tcPr>
            <w:tcW w:w="380" w:type="dxa"/>
            <w:vAlign w:val="bottom"/>
          </w:tcPr>
          <w:p>
            <w:pPr>
              <w:spacing w:after="0"/>
              <w:rPr>
                <w:sz w:val="14"/>
                <w:szCs w:val="14"/>
                <w:color w:val="auto"/>
              </w:rPr>
            </w:pPr>
          </w:p>
        </w:tc>
        <w:tc>
          <w:tcPr>
            <w:tcW w:w="1160" w:type="dxa"/>
            <w:vAlign w:val="bottom"/>
          </w:tcPr>
          <w:p>
            <w:pPr>
              <w:jc w:val="right"/>
              <w:ind w:right="128"/>
              <w:spacing w:after="0"/>
              <w:rPr>
                <w:sz w:val="20"/>
                <w:szCs w:val="20"/>
                <w:color w:val="auto"/>
              </w:rPr>
            </w:pPr>
            <w:r>
              <w:rPr>
                <w:rFonts w:ascii="Arial" w:cs="Arial" w:eastAsia="Arial" w:hAnsi="Arial"/>
                <w:sz w:val="14"/>
                <w:szCs w:val="14"/>
                <w:color w:val="auto"/>
              </w:rPr>
              <w:t>19</w:t>
            </w:r>
          </w:p>
        </w:tc>
        <w:tc>
          <w:tcPr>
            <w:tcW w:w="380" w:type="dxa"/>
            <w:vAlign w:val="bottom"/>
          </w:tcPr>
          <w:p>
            <w:pPr>
              <w:spacing w:after="0"/>
              <w:rPr>
                <w:sz w:val="14"/>
                <w:szCs w:val="14"/>
                <w:color w:val="auto"/>
              </w:rPr>
            </w:pPr>
          </w:p>
        </w:tc>
        <w:tc>
          <w:tcPr>
            <w:tcW w:w="1180" w:type="dxa"/>
            <w:vAlign w:val="bottom"/>
          </w:tcPr>
          <w:p>
            <w:pPr>
              <w:ind w:left="820"/>
              <w:spacing w:after="0"/>
              <w:rPr>
                <w:sz w:val="20"/>
                <w:szCs w:val="20"/>
                <w:color w:val="auto"/>
              </w:rPr>
            </w:pPr>
            <w:r>
              <w:rPr>
                <w:rFonts w:ascii="Arial" w:cs="Arial" w:eastAsia="Arial" w:hAnsi="Arial"/>
                <w:sz w:val="14"/>
                <w:szCs w:val="14"/>
                <w:color w:val="auto"/>
              </w:rPr>
              <w:t>(5)</w:t>
            </w:r>
          </w:p>
        </w:tc>
        <w:tc>
          <w:tcPr>
            <w:tcW w:w="40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299</w:t>
            </w:r>
          </w:p>
        </w:tc>
      </w:tr>
      <w:tr>
        <w:trPr>
          <w:trHeight w:val="162"/>
        </w:trPr>
        <w:tc>
          <w:tcPr>
            <w:tcW w:w="5080" w:type="dxa"/>
            <w:vAlign w:val="bottom"/>
            <w:gridSpan w:val="2"/>
          </w:tcPr>
          <w:p>
            <w:pPr>
              <w:spacing w:after="0"/>
              <w:rPr>
                <w:sz w:val="20"/>
                <w:szCs w:val="20"/>
                <w:color w:val="auto"/>
              </w:rPr>
            </w:pPr>
            <w:r>
              <w:rPr>
                <w:rFonts w:ascii="Arial" w:cs="Arial" w:eastAsia="Arial" w:hAnsi="Arial"/>
                <w:sz w:val="14"/>
                <w:szCs w:val="14"/>
                <w:color w:val="auto"/>
              </w:rPr>
              <w:t>Equity securities</w:t>
            </w:r>
          </w:p>
        </w:tc>
        <w:tc>
          <w:tcPr>
            <w:tcW w:w="1200" w:type="dxa"/>
            <w:vAlign w:val="bottom"/>
          </w:tcPr>
          <w:p>
            <w:pPr>
              <w:spacing w:after="0"/>
              <w:rPr>
                <w:sz w:val="14"/>
                <w:szCs w:val="14"/>
                <w:color w:val="auto"/>
              </w:rPr>
            </w:pPr>
          </w:p>
        </w:tc>
        <w:tc>
          <w:tcPr>
            <w:tcW w:w="500" w:type="dxa"/>
            <w:vAlign w:val="bottom"/>
          </w:tcPr>
          <w:p>
            <w:pPr>
              <w:jc w:val="right"/>
              <w:ind w:right="128"/>
              <w:spacing w:after="0"/>
              <w:rPr>
                <w:sz w:val="20"/>
                <w:szCs w:val="20"/>
                <w:color w:val="auto"/>
              </w:rPr>
            </w:pPr>
            <w:r>
              <w:rPr>
                <w:rFonts w:ascii="Arial" w:cs="Arial" w:eastAsia="Arial" w:hAnsi="Arial"/>
                <w:sz w:val="14"/>
                <w:szCs w:val="14"/>
                <w:color w:val="auto"/>
              </w:rPr>
              <w:t>219</w:t>
            </w:r>
          </w:p>
        </w:tc>
        <w:tc>
          <w:tcPr>
            <w:tcW w:w="380" w:type="dxa"/>
            <w:vAlign w:val="bottom"/>
          </w:tcPr>
          <w:p>
            <w:pPr>
              <w:spacing w:after="0"/>
              <w:rPr>
                <w:sz w:val="14"/>
                <w:szCs w:val="14"/>
                <w:color w:val="auto"/>
              </w:rPr>
            </w:pPr>
          </w:p>
        </w:tc>
        <w:tc>
          <w:tcPr>
            <w:tcW w:w="1160" w:type="dxa"/>
            <w:vAlign w:val="bottom"/>
          </w:tcPr>
          <w:p>
            <w:pPr>
              <w:jc w:val="right"/>
              <w:ind w:right="128"/>
              <w:spacing w:after="0"/>
              <w:rPr>
                <w:sz w:val="20"/>
                <w:szCs w:val="20"/>
                <w:color w:val="auto"/>
              </w:rPr>
            </w:pPr>
            <w:r>
              <w:rPr>
                <w:rFonts w:ascii="Arial" w:cs="Arial" w:eastAsia="Arial" w:hAnsi="Arial"/>
                <w:sz w:val="14"/>
                <w:szCs w:val="14"/>
                <w:color w:val="auto"/>
              </w:rPr>
              <w:t>242</w:t>
            </w:r>
          </w:p>
        </w:tc>
        <w:tc>
          <w:tcPr>
            <w:tcW w:w="380" w:type="dxa"/>
            <w:vAlign w:val="bottom"/>
          </w:tcPr>
          <w:p>
            <w:pPr>
              <w:spacing w:after="0"/>
              <w:rPr>
                <w:sz w:val="14"/>
                <w:szCs w:val="14"/>
                <w:color w:val="auto"/>
              </w:rPr>
            </w:pPr>
          </w:p>
        </w:tc>
        <w:tc>
          <w:tcPr>
            <w:tcW w:w="1180" w:type="dxa"/>
            <w:vAlign w:val="bottom"/>
          </w:tcPr>
          <w:p>
            <w:pPr>
              <w:ind w:left="820"/>
              <w:spacing w:after="0"/>
              <w:rPr>
                <w:sz w:val="20"/>
                <w:szCs w:val="20"/>
                <w:color w:val="auto"/>
              </w:rPr>
            </w:pPr>
            <w:r>
              <w:rPr>
                <w:rFonts w:ascii="Arial" w:cs="Arial" w:eastAsia="Arial" w:hAnsi="Arial"/>
                <w:sz w:val="14"/>
                <w:szCs w:val="14"/>
                <w:color w:val="auto"/>
              </w:rPr>
              <w:t>(1)</w:t>
            </w:r>
          </w:p>
        </w:tc>
        <w:tc>
          <w:tcPr>
            <w:tcW w:w="40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460</w:t>
            </w:r>
          </w:p>
        </w:tc>
      </w:tr>
      <w:tr>
        <w:trPr>
          <w:trHeight w:val="164"/>
        </w:trPr>
        <w:tc>
          <w:tcPr>
            <w:tcW w:w="5080" w:type="dxa"/>
            <w:vAlign w:val="bottom"/>
            <w:gridSpan w:val="2"/>
          </w:tcPr>
          <w:p>
            <w:pPr>
              <w:spacing w:after="0" w:line="137" w:lineRule="exact"/>
              <w:rPr>
                <w:sz w:val="20"/>
                <w:szCs w:val="20"/>
                <w:color w:val="auto"/>
              </w:rPr>
            </w:pPr>
            <w:r>
              <w:rPr>
                <w:rFonts w:ascii="Arial" w:cs="Arial" w:eastAsia="Arial" w:hAnsi="Arial"/>
                <w:sz w:val="14"/>
                <w:szCs w:val="14"/>
                <w:color w:val="auto"/>
              </w:rPr>
              <w:t>Cash and cash equivalents</w:t>
            </w:r>
          </w:p>
        </w:tc>
        <w:tc>
          <w:tcPr>
            <w:tcW w:w="12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128"/>
              <w:spacing w:after="0" w:line="137" w:lineRule="exact"/>
              <w:rPr>
                <w:sz w:val="20"/>
                <w:szCs w:val="20"/>
                <w:color w:val="auto"/>
              </w:rPr>
            </w:pPr>
            <w:r>
              <w:rPr>
                <w:rFonts w:ascii="Arial" w:cs="Arial" w:eastAsia="Arial" w:hAnsi="Arial"/>
                <w:sz w:val="14"/>
                <w:szCs w:val="14"/>
                <w:color w:val="auto"/>
              </w:rPr>
              <w:t>10</w:t>
            </w:r>
          </w:p>
        </w:tc>
        <w:tc>
          <w:tcPr>
            <w:tcW w:w="38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128"/>
              <w:spacing w:after="0" w:line="137" w:lineRule="exact"/>
              <w:rPr>
                <w:sz w:val="20"/>
                <w:szCs w:val="20"/>
                <w:color w:val="auto"/>
              </w:rPr>
            </w:pPr>
            <w:r>
              <w:rPr>
                <w:rFonts w:ascii="Arial" w:cs="Arial" w:eastAsia="Arial" w:hAnsi="Arial"/>
                <w:sz w:val="14"/>
                <w:szCs w:val="14"/>
                <w:color w:val="auto"/>
              </w:rPr>
              <w:t>―</w:t>
            </w:r>
          </w:p>
        </w:tc>
        <w:tc>
          <w:tcPr>
            <w:tcW w:w="38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ind w:left="820"/>
              <w:spacing w:after="0" w:line="137" w:lineRule="exact"/>
              <w:rPr>
                <w:sz w:val="20"/>
                <w:szCs w:val="20"/>
                <w:color w:val="auto"/>
              </w:rPr>
            </w:pPr>
            <w:r>
              <w:rPr>
                <w:rFonts w:ascii="Arial" w:cs="Arial" w:eastAsia="Arial" w:hAnsi="Arial"/>
                <w:sz w:val="14"/>
                <w:szCs w:val="14"/>
                <w:color w:val="auto"/>
              </w:rPr>
              <w:t>―</w:t>
            </w:r>
          </w:p>
        </w:tc>
        <w:tc>
          <w:tcPr>
            <w:tcW w:w="40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spacing w:after="0" w:line="137" w:lineRule="exact"/>
              <w:rPr>
                <w:sz w:val="20"/>
                <w:szCs w:val="20"/>
                <w:color w:val="auto"/>
              </w:rPr>
            </w:pPr>
            <w:r>
              <w:rPr>
                <w:rFonts w:ascii="Arial" w:cs="Arial" w:eastAsia="Arial" w:hAnsi="Arial"/>
                <w:sz w:val="14"/>
                <w:szCs w:val="14"/>
                <w:color w:val="auto"/>
              </w:rPr>
              <w:t>10</w:t>
            </w:r>
          </w:p>
        </w:tc>
      </w:tr>
      <w:tr>
        <w:trPr>
          <w:trHeight w:val="169"/>
        </w:trPr>
        <w:tc>
          <w:tcPr>
            <w:tcW w:w="5080" w:type="dxa"/>
            <w:vAlign w:val="bottom"/>
            <w:tcBorders>
              <w:bottom w:val="single" w:sz="8" w:color="auto"/>
            </w:tcBorders>
            <w:gridSpan w:val="2"/>
          </w:tcPr>
          <w:p>
            <w:pPr>
              <w:spacing w:after="0"/>
              <w:rPr>
                <w:sz w:val="20"/>
                <w:szCs w:val="20"/>
                <w:color w:val="auto"/>
              </w:rPr>
            </w:pPr>
            <w:r>
              <w:rPr>
                <w:rFonts w:ascii="Arial" w:cs="Arial" w:eastAsia="Arial" w:hAnsi="Arial"/>
                <w:sz w:val="14"/>
                <w:szCs w:val="14"/>
                <w:color w:val="auto"/>
              </w:rPr>
              <w:t>Total</w:t>
            </w:r>
          </w:p>
        </w:tc>
        <w:tc>
          <w:tcPr>
            <w:tcW w:w="1200" w:type="dxa"/>
            <w:vAlign w:val="bottom"/>
            <w:tcBorders>
              <w:bottom w:val="single" w:sz="8" w:color="auto"/>
            </w:tcBorders>
          </w:tcPr>
          <w:p>
            <w:pPr>
              <w:jc w:val="right"/>
              <w:ind w:right="708"/>
              <w:spacing w:after="0"/>
              <w:rPr>
                <w:sz w:val="20"/>
                <w:szCs w:val="20"/>
                <w:color w:val="auto"/>
              </w:rPr>
            </w:pPr>
            <w:r>
              <w:rPr>
                <w:rFonts w:ascii="Arial" w:cs="Arial" w:eastAsia="Arial" w:hAnsi="Arial"/>
                <w:sz w:val="14"/>
                <w:szCs w:val="14"/>
                <w:color w:val="auto"/>
              </w:rPr>
              <w:t>$</w:t>
            </w:r>
          </w:p>
        </w:tc>
        <w:tc>
          <w:tcPr>
            <w:tcW w:w="5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514</w:t>
            </w:r>
          </w:p>
        </w:tc>
        <w:tc>
          <w:tcPr>
            <w:tcW w:w="3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261</w:t>
            </w:r>
          </w:p>
        </w:tc>
        <w:tc>
          <w:tcPr>
            <w:tcW w:w="3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180" w:type="dxa"/>
            <w:vAlign w:val="bottom"/>
            <w:tcBorders>
              <w:bottom w:val="single" w:sz="8" w:color="auto"/>
            </w:tcBorders>
          </w:tcPr>
          <w:p>
            <w:pPr>
              <w:ind w:left="820"/>
              <w:spacing w:after="0"/>
              <w:rPr>
                <w:sz w:val="20"/>
                <w:szCs w:val="20"/>
                <w:color w:val="auto"/>
              </w:rPr>
            </w:pPr>
            <w:r>
              <w:rPr>
                <w:rFonts w:ascii="Arial" w:cs="Arial" w:eastAsia="Arial" w:hAnsi="Arial"/>
                <w:sz w:val="14"/>
                <w:szCs w:val="14"/>
                <w:color w:val="auto"/>
              </w:rPr>
              <w:t>(6)</w:t>
            </w:r>
          </w:p>
        </w:tc>
        <w:tc>
          <w:tcPr>
            <w:tcW w:w="40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769</w:t>
            </w:r>
          </w:p>
        </w:tc>
      </w:tr>
    </w:tbl>
    <w:p>
      <w:pPr>
        <w:ind w:left="560" w:hanging="552"/>
        <w:spacing w:after="0"/>
        <w:tabs>
          <w:tab w:leader="none" w:pos="560" w:val="left"/>
        </w:tabs>
        <w:numPr>
          <w:ilvl w:val="0"/>
          <w:numId w:val="31"/>
        </w:numPr>
        <w:rPr>
          <w:rFonts w:ascii="Arial" w:cs="Arial" w:eastAsia="Arial" w:hAnsi="Arial"/>
          <w:sz w:val="14"/>
          <w:szCs w:val="14"/>
          <w:i w:val="1"/>
          <w:iCs w:val="1"/>
          <w:color w:val="auto"/>
        </w:rPr>
      </w:pPr>
      <w:r>
        <w:rPr>
          <w:rFonts w:ascii="Arial" w:cs="Arial" w:eastAsia="Arial" w:hAnsi="Arial"/>
          <w:sz w:val="14"/>
          <w:szCs w:val="14"/>
          <w:i w:val="1"/>
          <w:iCs w:val="1"/>
          <w:color w:val="auto"/>
        </w:rPr>
        <w:t>Maturity dates are 2011-2040.</w:t>
      </w:r>
    </w:p>
    <w:p>
      <w:pPr>
        <w:spacing w:after="0" w:line="5" w:lineRule="exact"/>
        <w:rPr>
          <w:rFonts w:ascii="Arial" w:cs="Arial" w:eastAsia="Arial" w:hAnsi="Arial"/>
          <w:sz w:val="14"/>
          <w:szCs w:val="14"/>
          <w:i w:val="1"/>
          <w:iCs w:val="1"/>
          <w:color w:val="auto"/>
        </w:rPr>
      </w:pPr>
    </w:p>
    <w:p>
      <w:pPr>
        <w:ind w:left="560" w:hanging="552"/>
        <w:spacing w:after="0"/>
        <w:tabs>
          <w:tab w:leader="none" w:pos="560" w:val="left"/>
        </w:tabs>
        <w:numPr>
          <w:ilvl w:val="0"/>
          <w:numId w:val="31"/>
        </w:numPr>
        <w:rPr>
          <w:rFonts w:ascii="Arial" w:cs="Arial" w:eastAsia="Arial" w:hAnsi="Arial"/>
          <w:sz w:val="14"/>
          <w:szCs w:val="14"/>
          <w:i w:val="1"/>
          <w:iCs w:val="1"/>
          <w:color w:val="auto"/>
        </w:rPr>
      </w:pPr>
      <w:r>
        <w:rPr>
          <w:rFonts w:ascii="Arial" w:cs="Arial" w:eastAsia="Arial" w:hAnsi="Arial"/>
          <w:sz w:val="14"/>
          <w:szCs w:val="14"/>
          <w:i w:val="1"/>
          <w:iCs w:val="1"/>
          <w:color w:val="auto"/>
        </w:rPr>
        <w:t>Maturity dates are 2013-2057.</w:t>
      </w:r>
    </w:p>
    <w:p>
      <w:pPr>
        <w:spacing w:after="0" w:line="1" w:lineRule="exact"/>
        <w:rPr>
          <w:rFonts w:ascii="Arial" w:cs="Arial" w:eastAsia="Arial" w:hAnsi="Arial"/>
          <w:sz w:val="14"/>
          <w:szCs w:val="14"/>
          <w:i w:val="1"/>
          <w:iCs w:val="1"/>
          <w:color w:val="auto"/>
        </w:rPr>
      </w:pPr>
    </w:p>
    <w:p>
      <w:pPr>
        <w:ind w:left="560" w:hanging="552"/>
        <w:spacing w:after="0"/>
        <w:tabs>
          <w:tab w:leader="none" w:pos="560" w:val="left"/>
        </w:tabs>
        <w:numPr>
          <w:ilvl w:val="0"/>
          <w:numId w:val="31"/>
        </w:numPr>
        <w:rPr>
          <w:rFonts w:ascii="Arial" w:cs="Arial" w:eastAsia="Arial" w:hAnsi="Arial"/>
          <w:sz w:val="14"/>
          <w:szCs w:val="14"/>
          <w:i w:val="1"/>
          <w:iCs w:val="1"/>
          <w:color w:val="auto"/>
        </w:rPr>
      </w:pPr>
      <w:r>
        <w:rPr>
          <w:rFonts w:ascii="Arial" w:cs="Arial" w:eastAsia="Arial" w:hAnsi="Arial"/>
          <w:sz w:val="14"/>
          <w:szCs w:val="14"/>
          <w:i w:val="1"/>
          <w:iCs w:val="1"/>
          <w:color w:val="auto"/>
        </w:rPr>
        <w:t>Maturity dates are 2011-2049.</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shows the proceeds from sales of securities in the trusts and gross realized gains and losses on those sales:</w:t>
      </w: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SALES OF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-104775</wp:posOffset>
            </wp:positionV>
            <wp:extent cx="7246620" cy="22288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46620" cy="222885"/>
                    </a:xfrm>
                    <a:prstGeom prst="rect">
                      <a:avLst/>
                    </a:prstGeom>
                    <a:noFill/>
                  </pic:spPr>
                </pic:pic>
              </a:graphicData>
            </a:graphic>
          </wp:anchor>
        </w:drawing>
      </w: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740" w:type="dxa"/>
            <w:vAlign w:val="bottom"/>
            <w:gridSpan w:val="2"/>
          </w:tcPr>
          <w:p>
            <w:pPr>
              <w:spacing w:after="0"/>
              <w:rPr>
                <w:sz w:val="20"/>
                <w:szCs w:val="20"/>
                <w:color w:val="auto"/>
              </w:rPr>
            </w:pPr>
            <w:r>
              <w:rPr>
                <w:rFonts w:ascii="Arial" w:cs="Arial" w:eastAsia="Arial" w:hAnsi="Arial"/>
                <w:sz w:val="14"/>
                <w:szCs w:val="14"/>
                <w:i w:val="1"/>
                <w:iCs w:val="1"/>
                <w:color w:val="auto"/>
              </w:rPr>
              <w:t>(Dollars in millions)</w:t>
            </w:r>
          </w:p>
        </w:tc>
        <w:tc>
          <w:tcPr>
            <w:tcW w:w="20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120" w:type="dxa"/>
            <w:vAlign w:val="bottom"/>
            <w:shd w:val="clear" w:color="auto" w:fill="C0C0C0"/>
          </w:tcPr>
          <w:p>
            <w:pPr>
              <w:spacing w:after="0"/>
              <w:rPr>
                <w:sz w:val="14"/>
                <w:szCs w:val="14"/>
                <w:color w:val="auto"/>
              </w:rPr>
            </w:pPr>
          </w:p>
        </w:tc>
        <w:tc>
          <w:tcPr>
            <w:tcW w:w="1060" w:type="dxa"/>
            <w:vAlign w:val="bottom"/>
            <w:shd w:val="clear" w:color="auto" w:fill="C0C0C0"/>
          </w:tcPr>
          <w:p>
            <w:pPr>
              <w:spacing w:after="0"/>
              <w:rPr>
                <w:sz w:val="14"/>
                <w:szCs w:val="14"/>
                <w:color w:val="auto"/>
              </w:rPr>
            </w:pPr>
          </w:p>
        </w:tc>
        <w:tc>
          <w:tcPr>
            <w:tcW w:w="1220" w:type="dxa"/>
            <w:vAlign w:val="bottom"/>
            <w:shd w:val="clear" w:color="auto" w:fill="C0C0C0"/>
          </w:tcPr>
          <w:p>
            <w:pPr>
              <w:spacing w:after="0"/>
              <w:rPr>
                <w:sz w:val="14"/>
                <w:szCs w:val="14"/>
                <w:color w:val="auto"/>
              </w:rPr>
            </w:pPr>
          </w:p>
        </w:tc>
        <w:tc>
          <w:tcPr>
            <w:tcW w:w="620" w:type="dxa"/>
            <w:vAlign w:val="bottom"/>
            <w:shd w:val="clear" w:color="auto" w:fill="C0C0C0"/>
          </w:tcPr>
          <w:p>
            <w:pPr>
              <w:spacing w:after="0"/>
              <w:rPr>
                <w:sz w:val="14"/>
                <w:szCs w:val="14"/>
                <w:color w:val="auto"/>
              </w:rPr>
            </w:pPr>
          </w:p>
        </w:tc>
      </w:tr>
      <w:tr>
        <w:trPr>
          <w:trHeight w:val="191"/>
        </w:trPr>
        <w:tc>
          <w:tcPr>
            <w:tcW w:w="20" w:type="dxa"/>
            <w:vAlign w:val="bottom"/>
          </w:tcPr>
          <w:p>
            <w:pPr>
              <w:spacing w:after="0"/>
              <w:rPr>
                <w:sz w:val="16"/>
                <w:szCs w:val="16"/>
                <w:color w:val="auto"/>
              </w:rPr>
            </w:pPr>
          </w:p>
        </w:tc>
        <w:tc>
          <w:tcPr>
            <w:tcW w:w="2720" w:type="dxa"/>
            <w:vAlign w:val="bottom"/>
          </w:tcPr>
          <w:p>
            <w:pPr>
              <w:spacing w:after="0"/>
              <w:rPr>
                <w:sz w:val="16"/>
                <w:szCs w:val="16"/>
                <w:color w:val="auto"/>
              </w:rPr>
            </w:pPr>
          </w:p>
        </w:tc>
        <w:tc>
          <w:tcPr>
            <w:tcW w:w="4040" w:type="dxa"/>
            <w:vAlign w:val="bottom"/>
            <w:gridSpan w:val="3"/>
          </w:tcPr>
          <w:p>
            <w:pPr>
              <w:jc w:val="right"/>
              <w:ind w:right="343"/>
              <w:spacing w:after="0"/>
              <w:rPr>
                <w:sz w:val="20"/>
                <w:szCs w:val="20"/>
                <w:color w:val="auto"/>
              </w:rPr>
            </w:pPr>
            <w:r>
              <w:rPr>
                <w:rFonts w:ascii="Arial" w:cs="Arial" w:eastAsia="Arial" w:hAnsi="Arial"/>
                <w:sz w:val="14"/>
                <w:szCs w:val="14"/>
                <w:color w:val="auto"/>
              </w:rPr>
              <w:t>Three months ended June 30,</w:t>
            </w:r>
          </w:p>
        </w:tc>
        <w:tc>
          <w:tcPr>
            <w:tcW w:w="6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280" w:type="dxa"/>
            <w:vAlign w:val="bottom"/>
            <w:gridSpan w:val="2"/>
          </w:tcPr>
          <w:p>
            <w:pPr>
              <w:jc w:val="right"/>
              <w:ind w:right="443"/>
              <w:spacing w:after="0"/>
              <w:rPr>
                <w:sz w:val="20"/>
                <w:szCs w:val="20"/>
                <w:color w:val="auto"/>
              </w:rPr>
            </w:pPr>
            <w:r>
              <w:rPr>
                <w:rFonts w:ascii="Arial" w:cs="Arial" w:eastAsia="Arial" w:hAnsi="Arial"/>
                <w:sz w:val="14"/>
                <w:szCs w:val="14"/>
                <w:color w:val="auto"/>
              </w:rPr>
              <w:t>Six months ended June 30,</w:t>
            </w:r>
          </w:p>
        </w:tc>
        <w:tc>
          <w:tcPr>
            <w:tcW w:w="620" w:type="dxa"/>
            <w:vAlign w:val="bottom"/>
          </w:tcPr>
          <w:p>
            <w:pPr>
              <w:spacing w:after="0"/>
              <w:rPr>
                <w:sz w:val="16"/>
                <w:szCs w:val="16"/>
                <w:color w:val="auto"/>
              </w:rPr>
            </w:pPr>
          </w:p>
        </w:tc>
      </w:tr>
      <w:tr>
        <w:trPr>
          <w:trHeight w:val="168"/>
        </w:trPr>
        <w:tc>
          <w:tcPr>
            <w:tcW w:w="20" w:type="dxa"/>
            <w:vAlign w:val="bottom"/>
          </w:tcPr>
          <w:p>
            <w:pPr>
              <w:spacing w:after="0"/>
              <w:rPr>
                <w:sz w:val="14"/>
                <w:szCs w:val="14"/>
                <w:color w:val="auto"/>
              </w:rPr>
            </w:pPr>
          </w:p>
        </w:tc>
        <w:tc>
          <w:tcPr>
            <w:tcW w:w="2720" w:type="dxa"/>
            <w:vAlign w:val="bottom"/>
            <w:tcBorders>
              <w:bottom w:val="single" w:sz="8" w:color="auto"/>
            </w:tcBorders>
          </w:tcPr>
          <w:p>
            <w:pPr>
              <w:spacing w:after="0"/>
              <w:rPr>
                <w:sz w:val="14"/>
                <w:szCs w:val="14"/>
                <w:color w:val="auto"/>
              </w:rPr>
            </w:pPr>
          </w:p>
        </w:tc>
        <w:tc>
          <w:tcPr>
            <w:tcW w:w="2040" w:type="dxa"/>
            <w:vAlign w:val="bottom"/>
            <w:tcBorders>
              <w:bottom w:val="single" w:sz="8" w:color="auto"/>
            </w:tcBorders>
          </w:tcPr>
          <w:p>
            <w:pPr>
              <w:jc w:val="right"/>
              <w:ind w:right="225"/>
              <w:spacing w:after="0"/>
              <w:rPr>
                <w:sz w:val="20"/>
                <w:szCs w:val="20"/>
                <w:color w:val="auto"/>
              </w:rPr>
            </w:pPr>
            <w:r>
              <w:rPr>
                <w:rFonts w:ascii="Arial" w:cs="Arial" w:eastAsia="Arial" w:hAnsi="Arial"/>
                <w:sz w:val="14"/>
                <w:szCs w:val="14"/>
                <w:color w:val="auto"/>
              </w:rPr>
              <w:t>2011</w:t>
            </w:r>
          </w:p>
        </w:tc>
        <w:tc>
          <w:tcPr>
            <w:tcW w:w="80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223"/>
              <w:spacing w:after="0"/>
              <w:rPr>
                <w:sz w:val="20"/>
                <w:szCs w:val="20"/>
                <w:color w:val="auto"/>
              </w:rPr>
            </w:pPr>
            <w:r>
              <w:rPr>
                <w:rFonts w:ascii="Arial" w:cs="Arial" w:eastAsia="Arial" w:hAnsi="Arial"/>
                <w:sz w:val="14"/>
                <w:szCs w:val="14"/>
                <w:color w:val="auto"/>
              </w:rPr>
              <w:t>2010</w:t>
            </w:r>
          </w:p>
        </w:tc>
        <w:tc>
          <w:tcPr>
            <w:tcW w:w="62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2011</w:t>
            </w:r>
          </w:p>
        </w:tc>
        <w:tc>
          <w:tcPr>
            <w:tcW w:w="106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ind w:right="223"/>
              <w:spacing w:after="0"/>
              <w:rPr>
                <w:sz w:val="20"/>
                <w:szCs w:val="20"/>
                <w:color w:val="auto"/>
              </w:rPr>
            </w:pPr>
            <w:r>
              <w:rPr>
                <w:rFonts w:ascii="Arial" w:cs="Arial" w:eastAsia="Arial" w:hAnsi="Arial"/>
                <w:sz w:val="14"/>
                <w:szCs w:val="14"/>
                <w:color w:val="auto"/>
              </w:rPr>
              <w:t>2010</w:t>
            </w:r>
          </w:p>
        </w:tc>
        <w:tc>
          <w:tcPr>
            <w:tcW w:w="620" w:type="dxa"/>
            <w:vAlign w:val="bottom"/>
            <w:tcBorders>
              <w:bottom w:val="single" w:sz="8" w:color="auto"/>
            </w:tcBorders>
          </w:tcPr>
          <w:p>
            <w:pPr>
              <w:spacing w:after="0"/>
              <w:rPr>
                <w:sz w:val="14"/>
                <w:szCs w:val="14"/>
                <w:color w:val="auto"/>
              </w:rPr>
            </w:pPr>
          </w:p>
        </w:tc>
      </w:tr>
      <w:tr>
        <w:trPr>
          <w:trHeight w:val="164"/>
        </w:trPr>
        <w:tc>
          <w:tcPr>
            <w:tcW w:w="20" w:type="dxa"/>
            <w:vAlign w:val="bottom"/>
          </w:tcPr>
          <w:p>
            <w:pPr>
              <w:spacing w:after="0"/>
              <w:rPr>
                <w:sz w:val="14"/>
                <w:szCs w:val="14"/>
                <w:color w:val="auto"/>
              </w:rPr>
            </w:pPr>
          </w:p>
        </w:tc>
        <w:tc>
          <w:tcPr>
            <w:tcW w:w="2720" w:type="dxa"/>
            <w:vAlign w:val="bottom"/>
          </w:tcPr>
          <w:p>
            <w:pPr>
              <w:spacing w:after="0" w:line="164" w:lineRule="exact"/>
              <w:rPr>
                <w:sz w:val="20"/>
                <w:szCs w:val="20"/>
                <w:color w:val="auto"/>
              </w:rPr>
            </w:pPr>
            <w:r>
              <w:rPr>
                <w:rFonts w:ascii="Arial" w:cs="Arial" w:eastAsia="Arial" w:hAnsi="Arial"/>
                <w:sz w:val="16"/>
                <w:szCs w:val="16"/>
                <w:color w:val="auto"/>
              </w:rPr>
              <w:t>Proceeds from sales</w:t>
            </w:r>
          </w:p>
        </w:tc>
        <w:tc>
          <w:tcPr>
            <w:tcW w:w="2040" w:type="dxa"/>
            <w:vAlign w:val="bottom"/>
          </w:tcPr>
          <w:p>
            <w:pPr>
              <w:jc w:val="right"/>
              <w:ind w:right="685"/>
              <w:spacing w:after="0" w:line="164" w:lineRule="exact"/>
              <w:rPr>
                <w:sz w:val="20"/>
                <w:szCs w:val="20"/>
                <w:color w:val="auto"/>
              </w:rPr>
            </w:pPr>
            <w:r>
              <w:rPr>
                <w:rFonts w:ascii="Arial" w:cs="Arial" w:eastAsia="Arial" w:hAnsi="Arial"/>
                <w:sz w:val="16"/>
                <w:szCs w:val="16"/>
                <w:color w:val="auto"/>
              </w:rPr>
              <w:t>$</w:t>
            </w:r>
          </w:p>
        </w:tc>
        <w:tc>
          <w:tcPr>
            <w:tcW w:w="800" w:type="dxa"/>
            <w:vAlign w:val="bottom"/>
          </w:tcPr>
          <w:p>
            <w:pPr>
              <w:jc w:val="right"/>
              <w:ind w:right="239"/>
              <w:spacing w:after="0" w:line="164" w:lineRule="exact"/>
              <w:rPr>
                <w:sz w:val="20"/>
                <w:szCs w:val="20"/>
                <w:color w:val="auto"/>
              </w:rPr>
            </w:pPr>
            <w:r>
              <w:rPr>
                <w:rFonts w:ascii="Arial" w:cs="Arial" w:eastAsia="Arial" w:hAnsi="Arial"/>
                <w:sz w:val="16"/>
                <w:szCs w:val="16"/>
                <w:color w:val="auto"/>
              </w:rPr>
              <w:t>48</w:t>
            </w:r>
          </w:p>
        </w:tc>
        <w:tc>
          <w:tcPr>
            <w:tcW w:w="1200" w:type="dxa"/>
            <w:vAlign w:val="bottom"/>
          </w:tcPr>
          <w:p>
            <w:pPr>
              <w:jc w:val="right"/>
              <w:ind w:right="763"/>
              <w:spacing w:after="0" w:line="164" w:lineRule="exact"/>
              <w:rPr>
                <w:sz w:val="20"/>
                <w:szCs w:val="20"/>
                <w:color w:val="auto"/>
              </w:rPr>
            </w:pPr>
            <w:r>
              <w:rPr>
                <w:rFonts w:ascii="Arial" w:cs="Arial" w:eastAsia="Arial" w:hAnsi="Arial"/>
                <w:sz w:val="16"/>
                <w:szCs w:val="16"/>
                <w:color w:val="auto"/>
              </w:rPr>
              <w:t>$</w:t>
            </w:r>
          </w:p>
        </w:tc>
        <w:tc>
          <w:tcPr>
            <w:tcW w:w="620" w:type="dxa"/>
            <w:vAlign w:val="bottom"/>
          </w:tcPr>
          <w:p>
            <w:pPr>
              <w:jc w:val="right"/>
              <w:spacing w:after="0" w:line="164" w:lineRule="exact"/>
              <w:rPr>
                <w:sz w:val="20"/>
                <w:szCs w:val="20"/>
                <w:color w:val="auto"/>
              </w:rPr>
            </w:pPr>
            <w:r>
              <w:rPr>
                <w:rFonts w:ascii="Arial" w:cs="Arial" w:eastAsia="Arial" w:hAnsi="Arial"/>
                <w:sz w:val="16"/>
                <w:szCs w:val="16"/>
                <w:color w:val="auto"/>
              </w:rPr>
              <w:t>110</w:t>
            </w:r>
          </w:p>
        </w:tc>
        <w:tc>
          <w:tcPr>
            <w:tcW w:w="1120" w:type="dxa"/>
            <w:vAlign w:val="bottom"/>
          </w:tcPr>
          <w:p>
            <w:pPr>
              <w:jc w:val="right"/>
              <w:ind w:right="403"/>
              <w:spacing w:after="0" w:line="164" w:lineRule="exact"/>
              <w:rPr>
                <w:sz w:val="20"/>
                <w:szCs w:val="20"/>
                <w:color w:val="auto"/>
              </w:rPr>
            </w:pPr>
            <w:r>
              <w:rPr>
                <w:rFonts w:ascii="Arial" w:cs="Arial" w:eastAsia="Arial" w:hAnsi="Arial"/>
                <w:sz w:val="16"/>
                <w:szCs w:val="16"/>
                <w:color w:val="auto"/>
              </w:rPr>
              <w:t>$</w:t>
            </w:r>
          </w:p>
        </w:tc>
        <w:tc>
          <w:tcPr>
            <w:tcW w:w="1060" w:type="dxa"/>
            <w:vAlign w:val="bottom"/>
          </w:tcPr>
          <w:p>
            <w:pPr>
              <w:jc w:val="right"/>
              <w:ind w:right="241"/>
              <w:spacing w:after="0" w:line="164" w:lineRule="exact"/>
              <w:rPr>
                <w:sz w:val="20"/>
                <w:szCs w:val="20"/>
                <w:color w:val="auto"/>
              </w:rPr>
            </w:pPr>
            <w:r>
              <w:rPr>
                <w:rFonts w:ascii="Arial" w:cs="Arial" w:eastAsia="Arial" w:hAnsi="Arial"/>
                <w:sz w:val="16"/>
                <w:szCs w:val="16"/>
                <w:color w:val="auto"/>
              </w:rPr>
              <w:t>90</w:t>
            </w:r>
          </w:p>
        </w:tc>
        <w:tc>
          <w:tcPr>
            <w:tcW w:w="1220" w:type="dxa"/>
            <w:vAlign w:val="bottom"/>
          </w:tcPr>
          <w:p>
            <w:pPr>
              <w:jc w:val="right"/>
              <w:ind w:right="783"/>
              <w:spacing w:after="0" w:line="164" w:lineRule="exact"/>
              <w:rPr>
                <w:sz w:val="20"/>
                <w:szCs w:val="20"/>
                <w:color w:val="auto"/>
              </w:rPr>
            </w:pPr>
            <w:r>
              <w:rPr>
                <w:rFonts w:ascii="Arial" w:cs="Arial" w:eastAsia="Arial" w:hAnsi="Arial"/>
                <w:sz w:val="16"/>
                <w:szCs w:val="16"/>
                <w:color w:val="auto"/>
              </w:rPr>
              <w:t>$</w:t>
            </w:r>
          </w:p>
        </w:tc>
        <w:tc>
          <w:tcPr>
            <w:tcW w:w="620" w:type="dxa"/>
            <w:vAlign w:val="bottom"/>
          </w:tcPr>
          <w:p>
            <w:pPr>
              <w:jc w:val="right"/>
              <w:spacing w:after="0" w:line="164" w:lineRule="exact"/>
              <w:rPr>
                <w:sz w:val="20"/>
                <w:szCs w:val="20"/>
                <w:color w:val="auto"/>
              </w:rPr>
            </w:pPr>
            <w:r>
              <w:rPr>
                <w:rFonts w:ascii="Arial" w:cs="Arial" w:eastAsia="Arial" w:hAnsi="Arial"/>
                <w:sz w:val="16"/>
                <w:szCs w:val="16"/>
                <w:color w:val="auto"/>
              </w:rPr>
              <w:t>150</w:t>
            </w:r>
          </w:p>
        </w:tc>
      </w:tr>
      <w:tr>
        <w:trPr>
          <w:trHeight w:val="176"/>
        </w:trPr>
        <w:tc>
          <w:tcPr>
            <w:tcW w:w="2740" w:type="dxa"/>
            <w:vAlign w:val="bottom"/>
            <w:gridSpan w:val="2"/>
          </w:tcPr>
          <w:p>
            <w:pPr>
              <w:spacing w:after="0" w:line="176" w:lineRule="exact"/>
              <w:rPr>
                <w:sz w:val="20"/>
                <w:szCs w:val="20"/>
                <w:color w:val="auto"/>
              </w:rPr>
            </w:pPr>
            <w:r>
              <w:rPr>
                <w:rFonts w:ascii="Arial" w:cs="Arial" w:eastAsia="Arial" w:hAnsi="Arial"/>
                <w:sz w:val="16"/>
                <w:szCs w:val="16"/>
                <w:color w:val="auto"/>
              </w:rPr>
              <w:t>Gross realized gains</w:t>
            </w:r>
          </w:p>
        </w:tc>
        <w:tc>
          <w:tcPr>
            <w:tcW w:w="2040" w:type="dxa"/>
            <w:vAlign w:val="bottom"/>
          </w:tcPr>
          <w:p>
            <w:pPr>
              <w:spacing w:after="0"/>
              <w:rPr>
                <w:sz w:val="15"/>
                <w:szCs w:val="15"/>
                <w:color w:val="auto"/>
              </w:rPr>
            </w:pPr>
          </w:p>
        </w:tc>
        <w:tc>
          <w:tcPr>
            <w:tcW w:w="800" w:type="dxa"/>
            <w:vAlign w:val="bottom"/>
          </w:tcPr>
          <w:p>
            <w:pPr>
              <w:jc w:val="right"/>
              <w:ind w:right="239"/>
              <w:spacing w:after="0" w:line="176" w:lineRule="exact"/>
              <w:rPr>
                <w:sz w:val="20"/>
                <w:szCs w:val="20"/>
                <w:color w:val="auto"/>
              </w:rPr>
            </w:pPr>
            <w:r>
              <w:rPr>
                <w:rFonts w:ascii="Arial" w:cs="Arial" w:eastAsia="Arial" w:hAnsi="Arial"/>
                <w:sz w:val="16"/>
                <w:szCs w:val="16"/>
                <w:color w:val="auto"/>
              </w:rPr>
              <w:t>1</w:t>
            </w:r>
          </w:p>
        </w:tc>
        <w:tc>
          <w:tcPr>
            <w:tcW w:w="1200" w:type="dxa"/>
            <w:vAlign w:val="bottom"/>
          </w:tcPr>
          <w:p>
            <w:pPr>
              <w:spacing w:after="0"/>
              <w:rPr>
                <w:sz w:val="15"/>
                <w:szCs w:val="15"/>
                <w:color w:val="auto"/>
              </w:rPr>
            </w:pPr>
          </w:p>
        </w:tc>
        <w:tc>
          <w:tcPr>
            <w:tcW w:w="620" w:type="dxa"/>
            <w:vAlign w:val="bottom"/>
          </w:tcPr>
          <w:p>
            <w:pPr>
              <w:jc w:val="right"/>
              <w:spacing w:after="0" w:line="176" w:lineRule="exact"/>
              <w:rPr>
                <w:sz w:val="20"/>
                <w:szCs w:val="20"/>
                <w:color w:val="auto"/>
              </w:rPr>
            </w:pPr>
            <w:r>
              <w:rPr>
                <w:rFonts w:ascii="Arial" w:cs="Arial" w:eastAsia="Arial" w:hAnsi="Arial"/>
                <w:sz w:val="16"/>
                <w:szCs w:val="16"/>
                <w:color w:val="auto"/>
              </w:rPr>
              <w:t>2</w:t>
            </w:r>
          </w:p>
        </w:tc>
        <w:tc>
          <w:tcPr>
            <w:tcW w:w="1120" w:type="dxa"/>
            <w:vAlign w:val="bottom"/>
          </w:tcPr>
          <w:p>
            <w:pPr>
              <w:spacing w:after="0"/>
              <w:rPr>
                <w:sz w:val="15"/>
                <w:szCs w:val="15"/>
                <w:color w:val="auto"/>
              </w:rPr>
            </w:pPr>
          </w:p>
        </w:tc>
        <w:tc>
          <w:tcPr>
            <w:tcW w:w="1060" w:type="dxa"/>
            <w:vAlign w:val="bottom"/>
          </w:tcPr>
          <w:p>
            <w:pPr>
              <w:jc w:val="right"/>
              <w:ind w:right="241"/>
              <w:spacing w:after="0" w:line="176" w:lineRule="exact"/>
              <w:rPr>
                <w:sz w:val="20"/>
                <w:szCs w:val="20"/>
                <w:color w:val="auto"/>
              </w:rPr>
            </w:pPr>
            <w:r>
              <w:rPr>
                <w:rFonts w:ascii="Arial" w:cs="Arial" w:eastAsia="Arial" w:hAnsi="Arial"/>
                <w:sz w:val="16"/>
                <w:szCs w:val="16"/>
                <w:color w:val="auto"/>
              </w:rPr>
              <w:t>2</w:t>
            </w:r>
          </w:p>
        </w:tc>
        <w:tc>
          <w:tcPr>
            <w:tcW w:w="1220" w:type="dxa"/>
            <w:vAlign w:val="bottom"/>
          </w:tcPr>
          <w:p>
            <w:pPr>
              <w:spacing w:after="0"/>
              <w:rPr>
                <w:sz w:val="15"/>
                <w:szCs w:val="15"/>
                <w:color w:val="auto"/>
              </w:rPr>
            </w:pPr>
          </w:p>
        </w:tc>
        <w:tc>
          <w:tcPr>
            <w:tcW w:w="620" w:type="dxa"/>
            <w:vAlign w:val="bottom"/>
          </w:tcPr>
          <w:p>
            <w:pPr>
              <w:jc w:val="right"/>
              <w:spacing w:after="0" w:line="176" w:lineRule="exact"/>
              <w:rPr>
                <w:sz w:val="20"/>
                <w:szCs w:val="20"/>
                <w:color w:val="auto"/>
              </w:rPr>
            </w:pPr>
            <w:r>
              <w:rPr>
                <w:rFonts w:ascii="Arial" w:cs="Arial" w:eastAsia="Arial" w:hAnsi="Arial"/>
                <w:sz w:val="16"/>
                <w:szCs w:val="16"/>
                <w:color w:val="auto"/>
              </w:rPr>
              <w:t>3</w:t>
            </w:r>
          </w:p>
        </w:tc>
      </w:tr>
      <w:tr>
        <w:trPr>
          <w:trHeight w:val="194"/>
        </w:trPr>
        <w:tc>
          <w:tcPr>
            <w:tcW w:w="2740" w:type="dxa"/>
            <w:vAlign w:val="bottom"/>
            <w:tcBorders>
              <w:bottom w:val="single" w:sz="8" w:color="auto"/>
            </w:tcBorders>
            <w:gridSpan w:val="2"/>
          </w:tcPr>
          <w:p>
            <w:pPr>
              <w:spacing w:after="0"/>
              <w:rPr>
                <w:sz w:val="20"/>
                <w:szCs w:val="20"/>
                <w:color w:val="auto"/>
              </w:rPr>
            </w:pPr>
            <w:r>
              <w:rPr>
                <w:rFonts w:ascii="Arial" w:cs="Arial" w:eastAsia="Arial" w:hAnsi="Arial"/>
                <w:sz w:val="16"/>
                <w:szCs w:val="16"/>
                <w:color w:val="auto"/>
              </w:rPr>
              <w:t>Gross realized losses</w:t>
            </w:r>
          </w:p>
        </w:tc>
        <w:tc>
          <w:tcPr>
            <w:tcW w:w="20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(1)</w:t>
            </w:r>
          </w:p>
        </w:tc>
        <w:tc>
          <w:tcPr>
            <w:tcW w:w="120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w:t>
            </w:r>
          </w:p>
        </w:tc>
        <w:tc>
          <w:tcPr>
            <w:tcW w:w="11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181"/>
              <w:spacing w:after="0"/>
              <w:rPr>
                <w:sz w:val="20"/>
                <w:szCs w:val="20"/>
                <w:color w:val="auto"/>
              </w:rPr>
            </w:pPr>
            <w:r>
              <w:rPr>
                <w:rFonts w:ascii="Arial" w:cs="Arial" w:eastAsia="Arial" w:hAnsi="Arial"/>
                <w:sz w:val="16"/>
                <w:szCs w:val="16"/>
                <w:color w:val="auto"/>
              </w:rPr>
              <w:t>(2)</w:t>
            </w:r>
          </w:p>
        </w:tc>
        <w:tc>
          <w:tcPr>
            <w:tcW w:w="122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w:t>
            </w:r>
          </w:p>
        </w:tc>
      </w:tr>
    </w:tbl>
    <w:p>
      <w:pPr>
        <w:spacing w:after="0" w:line="229"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Net unrealized gains (losses) are included in Regulatory Liabilities Arising from Removal Obligations on the Condensed Consolidated Balance Sheets. We determine the cost of securities in the trusts on the basis of specific identification.</w:t>
      </w: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Derivative Positions Net of Cash Collateral</w:t>
      </w:r>
    </w:p>
    <w:p>
      <w:pPr>
        <w:spacing w:after="0" w:line="205"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Each Condensed Consolidated Balance Sheet reflects the offsetting of net derivative positions with fair value amounts for cash collateral with the same counterparty when management believes a legal right of offset exists.</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provides the amount of fair value of cash collateral receivables that were not offset in the Condensed Consolidated Balance Sheets as of</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June 30, 2011 and December 31, 2010:</w:t>
      </w:r>
    </w:p>
    <w:p>
      <w:pPr>
        <w:spacing w:after="0" w:line="200" w:lineRule="exact"/>
        <w:rPr>
          <w:sz w:val="20"/>
          <w:szCs w:val="20"/>
          <w:color w:val="auto"/>
        </w:rPr>
      </w:pPr>
    </w:p>
    <w:p>
      <w:pPr>
        <w:spacing w:after="0" w:line="28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680" w:type="dxa"/>
            <w:vAlign w:val="bottom"/>
            <w:vMerge w:val="restart"/>
          </w:tcPr>
          <w:p>
            <w:pPr>
              <w:spacing w:after="0"/>
              <w:rPr>
                <w:sz w:val="20"/>
                <w:szCs w:val="20"/>
                <w:color w:val="auto"/>
              </w:rPr>
            </w:pPr>
            <w:r>
              <w:rPr>
                <w:rFonts w:ascii="Arial" w:cs="Arial" w:eastAsia="Arial" w:hAnsi="Arial"/>
                <w:sz w:val="14"/>
                <w:szCs w:val="14"/>
                <w:i w:val="1"/>
                <w:iCs w:val="1"/>
                <w:color w:val="auto"/>
              </w:rPr>
              <w:t>(Dollars in millions)</w:t>
            </w:r>
          </w:p>
        </w:tc>
        <w:tc>
          <w:tcPr>
            <w:tcW w:w="3860" w:type="dxa"/>
            <w:vAlign w:val="bottom"/>
          </w:tcPr>
          <w:p>
            <w:pPr>
              <w:jc w:val="center"/>
              <w:ind w:left="2565"/>
              <w:spacing w:after="0"/>
              <w:rPr>
                <w:sz w:val="20"/>
                <w:szCs w:val="20"/>
                <w:color w:val="auto"/>
              </w:rPr>
            </w:pPr>
            <w:r>
              <w:rPr>
                <w:rFonts w:ascii="Arial" w:cs="Arial" w:eastAsia="Arial" w:hAnsi="Arial"/>
                <w:sz w:val="14"/>
                <w:szCs w:val="14"/>
                <w:color w:val="auto"/>
              </w:rPr>
              <w:t>June 30,</w:t>
            </w: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680" w:type="dxa"/>
            <w:vAlign w:val="bottom"/>
          </w:tcPr>
          <w:p>
            <w:pPr>
              <w:jc w:val="right"/>
              <w:ind w:right="643"/>
              <w:spacing w:after="0"/>
              <w:rPr>
                <w:sz w:val="20"/>
                <w:szCs w:val="20"/>
                <w:color w:val="auto"/>
              </w:rPr>
            </w:pPr>
            <w:r>
              <w:rPr>
                <w:rFonts w:ascii="Arial" w:cs="Arial" w:eastAsia="Arial" w:hAnsi="Arial"/>
                <w:sz w:val="14"/>
                <w:szCs w:val="14"/>
                <w:color w:val="auto"/>
              </w:rPr>
              <w:t>December 31,</w:t>
            </w:r>
          </w:p>
        </w:tc>
        <w:tc>
          <w:tcPr>
            <w:tcW w:w="0" w:type="dxa"/>
            <w:vAlign w:val="bottom"/>
          </w:tcPr>
          <w:p>
            <w:pPr>
              <w:spacing w:after="0"/>
              <w:rPr>
                <w:sz w:val="1"/>
                <w:szCs w:val="1"/>
                <w:color w:val="auto"/>
              </w:rPr>
            </w:pPr>
          </w:p>
        </w:tc>
      </w:tr>
      <w:tr>
        <w:trPr>
          <w:trHeight w:val="164"/>
        </w:trPr>
        <w:tc>
          <w:tcPr>
            <w:tcW w:w="4680" w:type="dxa"/>
            <w:vAlign w:val="bottom"/>
            <w:tcBorders>
              <w:bottom w:val="single" w:sz="8" w:color="auto"/>
            </w:tcBorders>
            <w:vMerge w:val="continue"/>
          </w:tcPr>
          <w:p>
            <w:pPr>
              <w:spacing w:after="0"/>
              <w:rPr>
                <w:sz w:val="14"/>
                <w:szCs w:val="14"/>
                <w:color w:val="auto"/>
              </w:rPr>
            </w:pPr>
          </w:p>
        </w:tc>
        <w:tc>
          <w:tcPr>
            <w:tcW w:w="3860" w:type="dxa"/>
            <w:vAlign w:val="bottom"/>
            <w:tcBorders>
              <w:bottom w:val="single" w:sz="8" w:color="auto"/>
            </w:tcBorders>
          </w:tcPr>
          <w:p>
            <w:pPr>
              <w:jc w:val="right"/>
              <w:ind w:right="405"/>
              <w:spacing w:after="0" w:line="157" w:lineRule="exact"/>
              <w:rPr>
                <w:sz w:val="20"/>
                <w:szCs w:val="20"/>
                <w:color w:val="auto"/>
              </w:rPr>
            </w:pPr>
            <w:r>
              <w:rPr>
                <w:rFonts w:ascii="Arial" w:cs="Arial" w:eastAsia="Arial" w:hAnsi="Arial"/>
                <w:sz w:val="14"/>
                <w:szCs w:val="14"/>
                <w:color w:val="auto"/>
              </w:rPr>
              <w:t>2011</w:t>
            </w:r>
          </w:p>
        </w:tc>
        <w:tc>
          <w:tcPr>
            <w:tcW w:w="76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680" w:type="dxa"/>
            <w:vAlign w:val="bottom"/>
            <w:tcBorders>
              <w:bottom w:val="single" w:sz="8" w:color="auto"/>
            </w:tcBorders>
          </w:tcPr>
          <w:p>
            <w:pPr>
              <w:jc w:val="right"/>
              <w:ind w:right="943"/>
              <w:spacing w:after="0" w:line="157" w:lineRule="exact"/>
              <w:rPr>
                <w:sz w:val="20"/>
                <w:szCs w:val="20"/>
                <w:color w:val="auto"/>
              </w:rPr>
            </w:pPr>
            <w:r>
              <w:rPr>
                <w:rFonts w:ascii="Arial" w:cs="Arial" w:eastAsia="Arial" w:hAnsi="Arial"/>
                <w:sz w:val="14"/>
                <w:szCs w:val="14"/>
                <w:color w:val="auto"/>
              </w:rPr>
              <w:t>2010</w:t>
            </w:r>
          </w:p>
        </w:tc>
        <w:tc>
          <w:tcPr>
            <w:tcW w:w="0" w:type="dxa"/>
            <w:vAlign w:val="bottom"/>
          </w:tcPr>
          <w:p>
            <w:pPr>
              <w:spacing w:after="0"/>
              <w:rPr>
                <w:sz w:val="1"/>
                <w:szCs w:val="1"/>
                <w:color w:val="auto"/>
              </w:rPr>
            </w:pPr>
          </w:p>
        </w:tc>
      </w:tr>
      <w:tr>
        <w:trPr>
          <w:trHeight w:val="164"/>
        </w:trPr>
        <w:tc>
          <w:tcPr>
            <w:tcW w:w="4680" w:type="dxa"/>
            <w:vAlign w:val="bottom"/>
          </w:tcPr>
          <w:p>
            <w:pPr>
              <w:spacing w:after="0" w:line="164" w:lineRule="exact"/>
              <w:rPr>
                <w:sz w:val="20"/>
                <w:szCs w:val="20"/>
                <w:color w:val="auto"/>
              </w:rPr>
            </w:pPr>
            <w:r>
              <w:rPr>
                <w:rFonts w:ascii="Arial" w:cs="Arial" w:eastAsia="Arial" w:hAnsi="Arial"/>
                <w:sz w:val="16"/>
                <w:szCs w:val="16"/>
                <w:color w:val="auto"/>
              </w:rPr>
              <w:t>Sempra Energy Consolidated</w:t>
            </w:r>
          </w:p>
        </w:tc>
        <w:tc>
          <w:tcPr>
            <w:tcW w:w="3860" w:type="dxa"/>
            <w:vAlign w:val="bottom"/>
          </w:tcPr>
          <w:p>
            <w:pPr>
              <w:jc w:val="right"/>
              <w:ind w:right="1125"/>
              <w:spacing w:after="0" w:line="164" w:lineRule="exact"/>
              <w:rPr>
                <w:sz w:val="20"/>
                <w:szCs w:val="20"/>
                <w:color w:val="auto"/>
              </w:rPr>
            </w:pPr>
            <w:r>
              <w:rPr>
                <w:rFonts w:ascii="Arial" w:cs="Arial" w:eastAsia="Arial" w:hAnsi="Arial"/>
                <w:sz w:val="16"/>
                <w:szCs w:val="16"/>
                <w:color w:val="auto"/>
              </w:rPr>
              <w:t>$</w:t>
            </w:r>
          </w:p>
        </w:tc>
        <w:tc>
          <w:tcPr>
            <w:tcW w:w="760" w:type="dxa"/>
            <w:vAlign w:val="bottom"/>
          </w:tcPr>
          <w:p>
            <w:pPr>
              <w:jc w:val="right"/>
              <w:ind w:right="179"/>
              <w:spacing w:after="0" w:line="164" w:lineRule="exact"/>
              <w:rPr>
                <w:sz w:val="20"/>
                <w:szCs w:val="20"/>
                <w:color w:val="auto"/>
              </w:rPr>
            </w:pPr>
            <w:r>
              <w:rPr>
                <w:rFonts w:ascii="Arial" w:cs="Arial" w:eastAsia="Arial" w:hAnsi="Arial"/>
                <w:sz w:val="16"/>
                <w:szCs w:val="16"/>
                <w:color w:val="auto"/>
              </w:rPr>
              <w:t>30</w:t>
            </w:r>
          </w:p>
        </w:tc>
        <w:tc>
          <w:tcPr>
            <w:tcW w:w="440" w:type="dxa"/>
            <w:vAlign w:val="bottom"/>
          </w:tcPr>
          <w:p>
            <w:pPr>
              <w:jc w:val="right"/>
              <w:spacing w:after="0" w:line="164" w:lineRule="exact"/>
              <w:rPr>
                <w:sz w:val="20"/>
                <w:szCs w:val="20"/>
                <w:color w:val="auto"/>
              </w:rPr>
            </w:pPr>
            <w:r>
              <w:rPr>
                <w:rFonts w:ascii="Arial" w:cs="Arial" w:eastAsia="Arial" w:hAnsi="Arial"/>
                <w:sz w:val="16"/>
                <w:szCs w:val="16"/>
                <w:color w:val="auto"/>
              </w:rPr>
              <w:t>$</w:t>
            </w:r>
          </w:p>
        </w:tc>
        <w:tc>
          <w:tcPr>
            <w:tcW w:w="1680" w:type="dxa"/>
            <w:vAlign w:val="bottom"/>
          </w:tcPr>
          <w:p>
            <w:pPr>
              <w:jc w:val="right"/>
              <w:spacing w:after="0" w:line="164" w:lineRule="exact"/>
              <w:rPr>
                <w:sz w:val="20"/>
                <w:szCs w:val="20"/>
                <w:color w:val="auto"/>
              </w:rPr>
            </w:pPr>
            <w:r>
              <w:rPr>
                <w:rFonts w:ascii="Arial" w:cs="Arial" w:eastAsia="Arial" w:hAnsi="Arial"/>
                <w:sz w:val="16"/>
                <w:szCs w:val="16"/>
                <w:color w:val="auto"/>
              </w:rPr>
              <w:t>32</w:t>
            </w:r>
          </w:p>
        </w:tc>
        <w:tc>
          <w:tcPr>
            <w:tcW w:w="0" w:type="dxa"/>
            <w:vAlign w:val="bottom"/>
          </w:tcPr>
          <w:p>
            <w:pPr>
              <w:spacing w:after="0"/>
              <w:rPr>
                <w:sz w:val="1"/>
                <w:szCs w:val="1"/>
                <w:color w:val="auto"/>
              </w:rPr>
            </w:pPr>
          </w:p>
        </w:tc>
      </w:tr>
      <w:tr>
        <w:trPr>
          <w:trHeight w:val="176"/>
        </w:trPr>
        <w:tc>
          <w:tcPr>
            <w:tcW w:w="4680" w:type="dxa"/>
            <w:vAlign w:val="bottom"/>
          </w:tcPr>
          <w:p>
            <w:pPr>
              <w:spacing w:after="0" w:line="176" w:lineRule="exact"/>
              <w:rPr>
                <w:sz w:val="20"/>
                <w:szCs w:val="20"/>
                <w:color w:val="auto"/>
              </w:rPr>
            </w:pPr>
            <w:r>
              <w:rPr>
                <w:rFonts w:ascii="Arial" w:cs="Arial" w:eastAsia="Arial" w:hAnsi="Arial"/>
                <w:sz w:val="16"/>
                <w:szCs w:val="16"/>
                <w:color w:val="auto"/>
              </w:rPr>
              <w:t>SDG&amp;E</w:t>
            </w:r>
          </w:p>
        </w:tc>
        <w:tc>
          <w:tcPr>
            <w:tcW w:w="3860" w:type="dxa"/>
            <w:vAlign w:val="bottom"/>
          </w:tcPr>
          <w:p>
            <w:pPr>
              <w:spacing w:after="0"/>
              <w:rPr>
                <w:sz w:val="15"/>
                <w:szCs w:val="15"/>
                <w:color w:val="auto"/>
              </w:rPr>
            </w:pPr>
          </w:p>
        </w:tc>
        <w:tc>
          <w:tcPr>
            <w:tcW w:w="760" w:type="dxa"/>
            <w:vAlign w:val="bottom"/>
          </w:tcPr>
          <w:p>
            <w:pPr>
              <w:jc w:val="right"/>
              <w:ind w:right="179"/>
              <w:spacing w:after="0" w:line="176" w:lineRule="exact"/>
              <w:rPr>
                <w:sz w:val="20"/>
                <w:szCs w:val="20"/>
                <w:color w:val="auto"/>
              </w:rPr>
            </w:pPr>
            <w:r>
              <w:rPr>
                <w:rFonts w:ascii="Arial" w:cs="Arial" w:eastAsia="Arial" w:hAnsi="Arial"/>
                <w:sz w:val="16"/>
                <w:szCs w:val="16"/>
                <w:color w:val="auto"/>
              </w:rPr>
              <w:t>18</w:t>
            </w:r>
          </w:p>
        </w:tc>
        <w:tc>
          <w:tcPr>
            <w:tcW w:w="440" w:type="dxa"/>
            <w:vAlign w:val="bottom"/>
          </w:tcPr>
          <w:p>
            <w:pPr>
              <w:spacing w:after="0"/>
              <w:rPr>
                <w:sz w:val="15"/>
                <w:szCs w:val="15"/>
                <w:color w:val="auto"/>
              </w:rPr>
            </w:pPr>
          </w:p>
        </w:tc>
        <w:tc>
          <w:tcPr>
            <w:tcW w:w="1680" w:type="dxa"/>
            <w:vAlign w:val="bottom"/>
          </w:tcPr>
          <w:p>
            <w:pPr>
              <w:jc w:val="right"/>
              <w:spacing w:after="0" w:line="176" w:lineRule="exact"/>
              <w:rPr>
                <w:sz w:val="20"/>
                <w:szCs w:val="20"/>
                <w:color w:val="auto"/>
              </w:rPr>
            </w:pPr>
            <w:r>
              <w:rPr>
                <w:rFonts w:ascii="Arial" w:cs="Arial" w:eastAsia="Arial" w:hAnsi="Arial"/>
                <w:sz w:val="16"/>
                <w:szCs w:val="16"/>
                <w:color w:val="auto"/>
              </w:rPr>
              <w:t>25</w:t>
            </w:r>
          </w:p>
        </w:tc>
        <w:tc>
          <w:tcPr>
            <w:tcW w:w="0" w:type="dxa"/>
            <w:vAlign w:val="bottom"/>
          </w:tcPr>
          <w:p>
            <w:pPr>
              <w:spacing w:after="0"/>
              <w:rPr>
                <w:sz w:val="1"/>
                <w:szCs w:val="1"/>
                <w:color w:val="auto"/>
              </w:rPr>
            </w:pPr>
          </w:p>
        </w:tc>
      </w:tr>
      <w:tr>
        <w:trPr>
          <w:trHeight w:val="194"/>
        </w:trPr>
        <w:tc>
          <w:tcPr>
            <w:tcW w:w="468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SoCalGas</w:t>
            </w:r>
          </w:p>
        </w:tc>
        <w:tc>
          <w:tcPr>
            <w:tcW w:w="386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3</w:t>
            </w:r>
          </w:p>
        </w:tc>
        <w:tc>
          <w:tcPr>
            <w:tcW w:w="44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Fair Value Hierarchy</w:t>
      </w:r>
    </w:p>
    <w:p>
      <w:pPr>
        <w:spacing w:after="0" w:line="205"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We discuss the valuation techniques and inputs we use to measure fair value and the definition of the three levels of the fair value hierarchy in Notes 1 and 2 of the Notes to Consolidated Financial Statements in the Annual Report. We have not changed the valuation techniques or inputs we use to measure fair value during the six months ended June 30, 2011.</w:t>
      </w:r>
    </w:p>
    <w:p>
      <w:pPr>
        <w:spacing w:after="0" w:line="181"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three tables below, by level within the fair value hierarchy, set forth our financial assets and liabilities that were accounted for at fair value on a recurring basis as of June 30, 2011 and December 31, 2010. We also discuss our financial assets and liabilities recorded at fair value on a non-recurring basis. We classify financial assets and liabilities in their entirety based on the lowest level of input that is significant to the fair value measurement. Our assessment of the significance of a particular input to the fair value measurement requires judgment, and may affect the valuation of fair value assets and liabilities, and their placement within the fair value hierarchy levels.</w:t>
      </w:r>
    </w:p>
    <w:p>
      <w:pPr>
        <w:spacing w:after="0" w:line="188"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color w:val="auto"/>
        </w:rPr>
        <w:t>The fair value of commodity derivative assets and liabilities is determined in accordance with our netting policy, as discussed above under "Derivative Positions Net of Cash Collateral."</w:t>
      </w:r>
    </w:p>
    <w:p>
      <w:pPr>
        <w:spacing w:after="0" w:line="170"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The determination of fair values, shown in the tables below, incorporates various factors, including but not limited to, the credit standing of the counterparties involved and the impact of credit enhancements (such as cash deposits, letters of credit and priority interests).</w:t>
      </w:r>
    </w:p>
    <w:p>
      <w:pPr>
        <w:spacing w:after="0" w:line="170"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We provide detail about our financial assets and liabilities that were accounted for at fair value on a recurring basis in Note 11 of the Notes to Consolidated Financial Statements in the Annual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580390</wp:posOffset>
            </wp:positionV>
            <wp:extent cx="7246620" cy="5334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46620" cy="53340"/>
                    </a:xfrm>
                    <a:prstGeom prst="rect">
                      <a:avLst/>
                    </a:prstGeom>
                    <a:noFill/>
                  </pic:spPr>
                </pic:pic>
              </a:graphicData>
            </a:graphic>
          </wp:anchor>
        </w:drawing>
      </w:r>
    </w:p>
    <w:p>
      <w:pPr>
        <w:sectPr>
          <w:pgSz w:w="11900" w:h="16838" w:orient="portrait"/>
          <w:cols w:equalWidth="0" w:num="1">
            <w:col w:w="11420"/>
          </w:cols>
          <w:pgMar w:left="240" w:top="144" w:right="239" w:bottom="572" w:gutter="0" w:footer="0" w:header="0"/>
        </w:sectPr>
      </w:pPr>
    </w:p>
    <w:bookmarkStart w:id="40" w:name="page41"/>
    <w:bookmarkEnd w:id="40"/>
    <w:p>
      <w:pPr>
        <w:ind w:right="5520"/>
        <w:spacing w:after="0" w:line="244" w:lineRule="auto"/>
        <w:rPr>
          <w:sz w:val="20"/>
          <w:szCs w:val="20"/>
          <w:color w:val="auto"/>
        </w:rPr>
      </w:pPr>
      <w:r>
        <w:rPr>
          <w:rFonts w:ascii="Arial" w:cs="Arial" w:eastAsia="Arial" w:hAnsi="Arial"/>
          <w:sz w:val="16"/>
          <w:szCs w:val="16"/>
          <w:b w:val="1"/>
          <w:bCs w:val="1"/>
          <w:color w:val="auto"/>
        </w:rPr>
        <w:t xml:space="preserve">RECURRING FAIR VALUE MEASURES -- SEMPRA ENERGY CONSOLIDATED </w:t>
      </w:r>
      <w:r>
        <w:rPr>
          <w:rFonts w:ascii="Arial" w:cs="Arial" w:eastAsia="Arial" w:hAnsi="Arial"/>
          <w:sz w:val="14"/>
          <w:szCs w:val="14"/>
          <w:i w:val="1"/>
          <w:iCs w:val="1"/>
          <w:color w:val="auto"/>
        </w:rPr>
        <w:t>(Dollars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-216535</wp:posOffset>
            </wp:positionV>
            <wp:extent cx="7246620" cy="21463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46620" cy="21463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65"/>
        </w:trPr>
        <w:tc>
          <w:tcPr>
            <w:tcW w:w="5020" w:type="dxa"/>
            <w:vAlign w:val="bottom"/>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2580" w:type="dxa"/>
            <w:vAlign w:val="bottom"/>
            <w:tcBorders>
              <w:bottom w:val="single" w:sz="8" w:color="auto"/>
            </w:tcBorders>
            <w:gridSpan w:val="4"/>
          </w:tcPr>
          <w:p>
            <w:pPr>
              <w:jc w:val="right"/>
              <w:spacing w:after="0" w:line="157" w:lineRule="exact"/>
              <w:rPr>
                <w:sz w:val="20"/>
                <w:szCs w:val="20"/>
                <w:color w:val="auto"/>
              </w:rPr>
            </w:pPr>
            <w:r>
              <w:rPr>
                <w:rFonts w:ascii="Arial" w:cs="Arial" w:eastAsia="Arial" w:hAnsi="Arial"/>
                <w:sz w:val="14"/>
                <w:szCs w:val="14"/>
                <w:color w:val="auto"/>
              </w:rPr>
              <w:t>At fair value as of June 30, 2011</w:t>
            </w:r>
          </w:p>
        </w:tc>
        <w:tc>
          <w:tcPr>
            <w:tcW w:w="100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50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0" w:type="dxa"/>
            <w:vAlign w:val="bottom"/>
          </w:tcPr>
          <w:p>
            <w:pPr>
              <w:jc w:val="center"/>
              <w:ind w:right="248"/>
              <w:spacing w:after="0"/>
              <w:rPr>
                <w:sz w:val="20"/>
                <w:szCs w:val="20"/>
                <w:color w:val="auto"/>
              </w:rPr>
            </w:pPr>
            <w:r>
              <w:rPr>
                <w:rFonts w:ascii="Arial" w:cs="Arial" w:eastAsia="Arial" w:hAnsi="Arial"/>
                <w:sz w:val="14"/>
                <w:szCs w:val="14"/>
                <w:color w:val="auto"/>
              </w:rPr>
              <w:t>Collateral</w:t>
            </w:r>
          </w:p>
        </w:tc>
        <w:tc>
          <w:tcPr>
            <w:tcW w:w="3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5020" w:type="dxa"/>
            <w:vAlign w:val="bottom"/>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248"/>
              <w:spacing w:after="0" w:line="157" w:lineRule="exact"/>
              <w:rPr>
                <w:sz w:val="20"/>
                <w:szCs w:val="20"/>
                <w:color w:val="auto"/>
              </w:rPr>
            </w:pPr>
            <w:r>
              <w:rPr>
                <w:rFonts w:ascii="Arial" w:cs="Arial" w:eastAsia="Arial" w:hAnsi="Arial"/>
                <w:sz w:val="14"/>
                <w:szCs w:val="14"/>
                <w:color w:val="auto"/>
              </w:rPr>
              <w:t>Level 1</w:t>
            </w:r>
          </w:p>
        </w:tc>
        <w:tc>
          <w:tcPr>
            <w:tcW w:w="3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248"/>
              <w:spacing w:after="0" w:line="157" w:lineRule="exact"/>
              <w:rPr>
                <w:sz w:val="20"/>
                <w:szCs w:val="20"/>
                <w:color w:val="auto"/>
              </w:rPr>
            </w:pPr>
            <w:r>
              <w:rPr>
                <w:rFonts w:ascii="Arial" w:cs="Arial" w:eastAsia="Arial" w:hAnsi="Arial"/>
                <w:sz w:val="14"/>
                <w:szCs w:val="14"/>
                <w:color w:val="auto"/>
              </w:rPr>
              <w:t>Level 2</w:t>
            </w:r>
          </w:p>
        </w:tc>
        <w:tc>
          <w:tcPr>
            <w:tcW w:w="3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268"/>
              <w:spacing w:after="0" w:line="157" w:lineRule="exact"/>
              <w:rPr>
                <w:sz w:val="20"/>
                <w:szCs w:val="20"/>
                <w:color w:val="auto"/>
              </w:rPr>
            </w:pPr>
            <w:r>
              <w:rPr>
                <w:rFonts w:ascii="Arial" w:cs="Arial" w:eastAsia="Arial" w:hAnsi="Arial"/>
                <w:sz w:val="14"/>
                <w:szCs w:val="14"/>
                <w:color w:val="auto"/>
              </w:rPr>
              <w:t>Level 3</w:t>
            </w:r>
          </w:p>
        </w:tc>
        <w:tc>
          <w:tcPr>
            <w:tcW w:w="4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center"/>
              <w:ind w:right="248"/>
              <w:spacing w:after="0" w:line="157" w:lineRule="exact"/>
              <w:rPr>
                <w:sz w:val="20"/>
                <w:szCs w:val="20"/>
                <w:color w:val="auto"/>
              </w:rPr>
            </w:pPr>
            <w:r>
              <w:rPr>
                <w:rFonts w:ascii="Arial" w:cs="Arial" w:eastAsia="Arial" w:hAnsi="Arial"/>
                <w:sz w:val="14"/>
                <w:szCs w:val="14"/>
                <w:color w:val="auto"/>
              </w:rPr>
              <w:t>netted</w:t>
            </w:r>
          </w:p>
        </w:tc>
        <w:tc>
          <w:tcPr>
            <w:tcW w:w="3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228"/>
              <w:spacing w:after="0" w:line="157" w:lineRule="exact"/>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167"/>
        </w:trPr>
        <w:tc>
          <w:tcPr>
            <w:tcW w:w="5020" w:type="dxa"/>
            <w:vAlign w:val="bottom"/>
          </w:tcPr>
          <w:p>
            <w:pPr>
              <w:spacing w:after="0"/>
              <w:rPr>
                <w:sz w:val="20"/>
                <w:szCs w:val="20"/>
                <w:color w:val="auto"/>
              </w:rPr>
            </w:pPr>
            <w:r>
              <w:rPr>
                <w:rFonts w:ascii="Arial" w:cs="Arial" w:eastAsia="Arial" w:hAnsi="Arial"/>
                <w:sz w:val="14"/>
                <w:szCs w:val="14"/>
                <w:color w:val="auto"/>
              </w:rPr>
              <w:t>Assets:</w:t>
            </w:r>
          </w:p>
        </w:tc>
        <w:tc>
          <w:tcPr>
            <w:tcW w:w="4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5020" w:type="dxa"/>
            <w:vAlign w:val="bottom"/>
          </w:tcPr>
          <w:p>
            <w:pPr>
              <w:ind w:left="160"/>
              <w:spacing w:after="0"/>
              <w:rPr>
                <w:sz w:val="20"/>
                <w:szCs w:val="20"/>
                <w:color w:val="auto"/>
              </w:rPr>
            </w:pPr>
            <w:r>
              <w:rPr>
                <w:rFonts w:ascii="Arial" w:cs="Arial" w:eastAsia="Arial" w:hAnsi="Arial"/>
                <w:sz w:val="14"/>
                <w:szCs w:val="14"/>
                <w:color w:val="auto"/>
              </w:rPr>
              <w:t>Nuclear decommissioning trusts</w:t>
            </w:r>
          </w:p>
        </w:tc>
        <w:tc>
          <w:tcPr>
            <w:tcW w:w="460" w:type="dxa"/>
            <w:vAlign w:val="bottom"/>
            <w:vMerge w:val="restart"/>
          </w:tcPr>
          <w:p>
            <w:pPr>
              <w:jc w:val="right"/>
              <w:ind w:right="28"/>
              <w:spacing w:after="0"/>
              <w:rPr>
                <w:sz w:val="20"/>
                <w:szCs w:val="20"/>
                <w:color w:val="auto"/>
              </w:rPr>
            </w:pPr>
            <w:r>
              <w:rPr>
                <w:rFonts w:ascii="Arial" w:cs="Arial" w:eastAsia="Arial" w:hAnsi="Arial"/>
                <w:sz w:val="14"/>
                <w:szCs w:val="14"/>
                <w:color w:val="auto"/>
              </w:rPr>
              <w:t>$</w:t>
            </w:r>
          </w:p>
        </w:tc>
        <w:tc>
          <w:tcPr>
            <w:tcW w:w="900" w:type="dxa"/>
            <w:vAlign w:val="bottom"/>
            <w:vMerge w:val="restart"/>
          </w:tcPr>
          <w:p>
            <w:pPr>
              <w:jc w:val="right"/>
              <w:ind w:right="88"/>
              <w:spacing w:after="0"/>
              <w:rPr>
                <w:sz w:val="20"/>
                <w:szCs w:val="20"/>
                <w:color w:val="auto"/>
              </w:rPr>
            </w:pPr>
            <w:r>
              <w:rPr>
                <w:rFonts w:ascii="Arial" w:cs="Arial" w:eastAsia="Arial" w:hAnsi="Arial"/>
                <w:sz w:val="14"/>
                <w:szCs w:val="14"/>
                <w:color w:val="auto"/>
              </w:rPr>
              <w:t>483</w:t>
            </w:r>
          </w:p>
        </w:tc>
        <w:tc>
          <w:tcPr>
            <w:tcW w:w="340" w:type="dxa"/>
            <w:vAlign w:val="bottom"/>
            <w:vMerge w:val="restart"/>
          </w:tcPr>
          <w:p>
            <w:pPr>
              <w:jc w:val="right"/>
              <w:ind w:right="28"/>
              <w:spacing w:after="0"/>
              <w:rPr>
                <w:sz w:val="20"/>
                <w:szCs w:val="20"/>
                <w:color w:val="auto"/>
              </w:rPr>
            </w:pPr>
            <w:r>
              <w:rPr>
                <w:rFonts w:ascii="Arial" w:cs="Arial" w:eastAsia="Arial" w:hAnsi="Arial"/>
                <w:sz w:val="14"/>
                <w:szCs w:val="14"/>
                <w:color w:val="auto"/>
              </w:rPr>
              <w:t>$</w:t>
            </w:r>
          </w:p>
        </w:tc>
        <w:tc>
          <w:tcPr>
            <w:tcW w:w="900" w:type="dxa"/>
            <w:vAlign w:val="bottom"/>
            <w:vMerge w:val="restart"/>
          </w:tcPr>
          <w:p>
            <w:pPr>
              <w:jc w:val="right"/>
              <w:ind w:right="88"/>
              <w:spacing w:after="0"/>
              <w:rPr>
                <w:sz w:val="20"/>
                <w:szCs w:val="20"/>
                <w:color w:val="auto"/>
              </w:rPr>
            </w:pPr>
            <w:r>
              <w:rPr>
                <w:rFonts w:ascii="Arial" w:cs="Arial" w:eastAsia="Arial" w:hAnsi="Arial"/>
                <w:sz w:val="14"/>
                <w:szCs w:val="14"/>
                <w:color w:val="auto"/>
              </w:rPr>
              <w:t>―</w:t>
            </w:r>
          </w:p>
        </w:tc>
        <w:tc>
          <w:tcPr>
            <w:tcW w:w="360" w:type="dxa"/>
            <w:vAlign w:val="bottom"/>
            <w:vMerge w:val="restart"/>
          </w:tcPr>
          <w:p>
            <w:pPr>
              <w:jc w:val="right"/>
              <w:ind w:right="48"/>
              <w:spacing w:after="0"/>
              <w:rPr>
                <w:sz w:val="20"/>
                <w:szCs w:val="20"/>
                <w:color w:val="auto"/>
              </w:rPr>
            </w:pPr>
            <w:r>
              <w:rPr>
                <w:rFonts w:ascii="Arial" w:cs="Arial" w:eastAsia="Arial" w:hAnsi="Arial"/>
                <w:sz w:val="14"/>
                <w:szCs w:val="14"/>
                <w:color w:val="auto"/>
              </w:rPr>
              <w:t>$</w:t>
            </w:r>
          </w:p>
        </w:tc>
        <w:tc>
          <w:tcPr>
            <w:tcW w:w="900" w:type="dxa"/>
            <w:vAlign w:val="bottom"/>
            <w:vMerge w:val="restart"/>
          </w:tcPr>
          <w:p>
            <w:pPr>
              <w:jc w:val="right"/>
              <w:ind w:right="88"/>
              <w:spacing w:after="0"/>
              <w:rPr>
                <w:sz w:val="20"/>
                <w:szCs w:val="20"/>
                <w:color w:val="auto"/>
              </w:rPr>
            </w:pPr>
            <w:r>
              <w:rPr>
                <w:rFonts w:ascii="Arial" w:cs="Arial" w:eastAsia="Arial" w:hAnsi="Arial"/>
                <w:sz w:val="14"/>
                <w:szCs w:val="14"/>
                <w:color w:val="auto"/>
              </w:rPr>
              <w:t>―</w:t>
            </w:r>
          </w:p>
        </w:tc>
        <w:tc>
          <w:tcPr>
            <w:tcW w:w="420" w:type="dxa"/>
            <w:vAlign w:val="bottom"/>
            <w:vMerge w:val="restart"/>
          </w:tcPr>
          <w:p>
            <w:pPr>
              <w:jc w:val="right"/>
              <w:ind w:right="88"/>
              <w:spacing w:after="0"/>
              <w:rPr>
                <w:sz w:val="20"/>
                <w:szCs w:val="20"/>
                <w:color w:val="auto"/>
              </w:rPr>
            </w:pPr>
            <w:r>
              <w:rPr>
                <w:rFonts w:ascii="Arial" w:cs="Arial" w:eastAsia="Arial" w:hAnsi="Arial"/>
                <w:sz w:val="14"/>
                <w:szCs w:val="14"/>
                <w:color w:val="auto"/>
              </w:rPr>
              <w:t>$</w:t>
            </w:r>
          </w:p>
        </w:tc>
        <w:tc>
          <w:tcPr>
            <w:tcW w:w="1000" w:type="dxa"/>
            <w:vAlign w:val="bottom"/>
            <w:vMerge w:val="restart"/>
          </w:tcPr>
          <w:p>
            <w:pPr>
              <w:jc w:val="right"/>
              <w:ind w:right="108"/>
              <w:spacing w:after="0"/>
              <w:rPr>
                <w:sz w:val="20"/>
                <w:szCs w:val="20"/>
                <w:color w:val="auto"/>
              </w:rPr>
            </w:pPr>
            <w:r>
              <w:rPr>
                <w:rFonts w:ascii="Arial" w:cs="Arial" w:eastAsia="Arial" w:hAnsi="Arial"/>
                <w:sz w:val="14"/>
                <w:szCs w:val="14"/>
                <w:color w:val="auto"/>
              </w:rPr>
              <w:t>―</w:t>
            </w:r>
          </w:p>
        </w:tc>
        <w:tc>
          <w:tcPr>
            <w:tcW w:w="380" w:type="dxa"/>
            <w:vAlign w:val="bottom"/>
            <w:vMerge w:val="restart"/>
          </w:tcPr>
          <w:p>
            <w:pPr>
              <w:jc w:val="right"/>
              <w:ind w:right="88"/>
              <w:spacing w:after="0"/>
              <w:rPr>
                <w:sz w:val="20"/>
                <w:szCs w:val="20"/>
                <w:color w:val="auto"/>
              </w:rPr>
            </w:pPr>
            <w:r>
              <w:rPr>
                <w:rFonts w:ascii="Arial" w:cs="Arial" w:eastAsia="Arial" w:hAnsi="Arial"/>
                <w:sz w:val="14"/>
                <w:szCs w:val="14"/>
                <w:color w:val="auto"/>
              </w:rPr>
              <w:t>$</w:t>
            </w:r>
          </w:p>
        </w:tc>
        <w:tc>
          <w:tcPr>
            <w:tcW w:w="740" w:type="dxa"/>
            <w:vAlign w:val="bottom"/>
            <w:vMerge w:val="restart"/>
          </w:tcPr>
          <w:p>
            <w:pPr>
              <w:jc w:val="right"/>
              <w:spacing w:after="0"/>
              <w:rPr>
                <w:sz w:val="20"/>
                <w:szCs w:val="20"/>
                <w:color w:val="auto"/>
              </w:rPr>
            </w:pPr>
            <w:r>
              <w:rPr>
                <w:rFonts w:ascii="Arial" w:cs="Arial" w:eastAsia="Arial" w:hAnsi="Arial"/>
                <w:sz w:val="14"/>
                <w:szCs w:val="14"/>
                <w:color w:val="auto"/>
              </w:rPr>
              <w:t>483</w:t>
            </w:r>
          </w:p>
        </w:tc>
        <w:tc>
          <w:tcPr>
            <w:tcW w:w="0" w:type="dxa"/>
            <w:vAlign w:val="bottom"/>
          </w:tcPr>
          <w:p>
            <w:pPr>
              <w:spacing w:after="0"/>
              <w:rPr>
                <w:sz w:val="1"/>
                <w:szCs w:val="1"/>
                <w:color w:val="auto"/>
              </w:rPr>
            </w:pPr>
          </w:p>
        </w:tc>
      </w:tr>
      <w:tr>
        <w:trPr>
          <w:trHeight w:val="159"/>
        </w:trPr>
        <w:tc>
          <w:tcPr>
            <w:tcW w:w="5020" w:type="dxa"/>
            <w:vAlign w:val="bottom"/>
          </w:tcPr>
          <w:p>
            <w:pPr>
              <w:ind w:left="400"/>
              <w:spacing w:after="0" w:line="127" w:lineRule="exact"/>
              <w:rPr>
                <w:sz w:val="20"/>
                <w:szCs w:val="20"/>
                <w:color w:val="auto"/>
              </w:rPr>
            </w:pPr>
            <w:r>
              <w:rPr>
                <w:rFonts w:ascii="Arial" w:cs="Arial" w:eastAsia="Arial" w:hAnsi="Arial"/>
                <w:sz w:val="14"/>
                <w:szCs w:val="14"/>
                <w:color w:val="auto"/>
              </w:rPr>
              <w:t>Equity securities</w:t>
            </w:r>
          </w:p>
        </w:tc>
        <w:tc>
          <w:tcPr>
            <w:tcW w:w="460" w:type="dxa"/>
            <w:vAlign w:val="bottom"/>
            <w:tcBorders>
              <w:bottom w:val="single" w:sz="8" w:color="auto"/>
            </w:tcBorders>
            <w:vMerge w:val="continue"/>
          </w:tcPr>
          <w:p>
            <w:pPr>
              <w:spacing w:after="0"/>
              <w:rPr>
                <w:sz w:val="13"/>
                <w:szCs w:val="13"/>
                <w:color w:val="auto"/>
              </w:rPr>
            </w:pPr>
          </w:p>
        </w:tc>
        <w:tc>
          <w:tcPr>
            <w:tcW w:w="900" w:type="dxa"/>
            <w:vAlign w:val="bottom"/>
            <w:tcBorders>
              <w:bottom w:val="single" w:sz="8" w:color="auto"/>
            </w:tcBorders>
            <w:vMerge w:val="continue"/>
          </w:tcPr>
          <w:p>
            <w:pPr>
              <w:spacing w:after="0"/>
              <w:rPr>
                <w:sz w:val="13"/>
                <w:szCs w:val="13"/>
                <w:color w:val="auto"/>
              </w:rPr>
            </w:pPr>
          </w:p>
        </w:tc>
        <w:tc>
          <w:tcPr>
            <w:tcW w:w="340" w:type="dxa"/>
            <w:vAlign w:val="bottom"/>
            <w:tcBorders>
              <w:bottom w:val="single" w:sz="8" w:color="auto"/>
            </w:tcBorders>
            <w:vMerge w:val="continue"/>
          </w:tcPr>
          <w:p>
            <w:pPr>
              <w:spacing w:after="0"/>
              <w:rPr>
                <w:sz w:val="13"/>
                <w:szCs w:val="13"/>
                <w:color w:val="auto"/>
              </w:rPr>
            </w:pPr>
          </w:p>
        </w:tc>
        <w:tc>
          <w:tcPr>
            <w:tcW w:w="900" w:type="dxa"/>
            <w:vAlign w:val="bottom"/>
            <w:tcBorders>
              <w:bottom w:val="single" w:sz="8" w:color="auto"/>
            </w:tcBorders>
            <w:vMerge w:val="continue"/>
          </w:tcPr>
          <w:p>
            <w:pPr>
              <w:spacing w:after="0"/>
              <w:rPr>
                <w:sz w:val="13"/>
                <w:szCs w:val="13"/>
                <w:color w:val="auto"/>
              </w:rPr>
            </w:pPr>
          </w:p>
        </w:tc>
        <w:tc>
          <w:tcPr>
            <w:tcW w:w="360" w:type="dxa"/>
            <w:vAlign w:val="bottom"/>
            <w:tcBorders>
              <w:bottom w:val="single" w:sz="8" w:color="auto"/>
            </w:tcBorders>
            <w:vMerge w:val="continue"/>
          </w:tcPr>
          <w:p>
            <w:pPr>
              <w:spacing w:after="0"/>
              <w:rPr>
                <w:sz w:val="13"/>
                <w:szCs w:val="13"/>
                <w:color w:val="auto"/>
              </w:rPr>
            </w:pPr>
          </w:p>
        </w:tc>
        <w:tc>
          <w:tcPr>
            <w:tcW w:w="900" w:type="dxa"/>
            <w:vAlign w:val="bottom"/>
            <w:tcBorders>
              <w:bottom w:val="single" w:sz="8" w:color="auto"/>
            </w:tcBorders>
            <w:vMerge w:val="continue"/>
          </w:tcPr>
          <w:p>
            <w:pPr>
              <w:spacing w:after="0"/>
              <w:rPr>
                <w:sz w:val="13"/>
                <w:szCs w:val="13"/>
                <w:color w:val="auto"/>
              </w:rPr>
            </w:pPr>
          </w:p>
        </w:tc>
        <w:tc>
          <w:tcPr>
            <w:tcW w:w="420" w:type="dxa"/>
            <w:vAlign w:val="bottom"/>
            <w:tcBorders>
              <w:bottom w:val="single" w:sz="8" w:color="auto"/>
            </w:tcBorders>
            <w:vMerge w:val="continue"/>
          </w:tcPr>
          <w:p>
            <w:pPr>
              <w:spacing w:after="0"/>
              <w:rPr>
                <w:sz w:val="13"/>
                <w:szCs w:val="13"/>
                <w:color w:val="auto"/>
              </w:rPr>
            </w:pPr>
          </w:p>
        </w:tc>
        <w:tc>
          <w:tcPr>
            <w:tcW w:w="1000" w:type="dxa"/>
            <w:vAlign w:val="bottom"/>
            <w:tcBorders>
              <w:bottom w:val="single" w:sz="8" w:color="auto"/>
            </w:tcBorders>
            <w:vMerge w:val="continue"/>
          </w:tcPr>
          <w:p>
            <w:pPr>
              <w:spacing w:after="0"/>
              <w:rPr>
                <w:sz w:val="13"/>
                <w:szCs w:val="13"/>
                <w:color w:val="auto"/>
              </w:rPr>
            </w:pPr>
          </w:p>
        </w:tc>
        <w:tc>
          <w:tcPr>
            <w:tcW w:w="380" w:type="dxa"/>
            <w:vAlign w:val="bottom"/>
            <w:tcBorders>
              <w:bottom w:val="single" w:sz="8" w:color="auto"/>
            </w:tcBorders>
            <w:vMerge w:val="continue"/>
          </w:tcPr>
          <w:p>
            <w:pPr>
              <w:spacing w:after="0"/>
              <w:rPr>
                <w:sz w:val="13"/>
                <w:szCs w:val="13"/>
                <w:color w:val="auto"/>
              </w:rPr>
            </w:pPr>
          </w:p>
        </w:tc>
        <w:tc>
          <w:tcPr>
            <w:tcW w:w="740" w:type="dxa"/>
            <w:vAlign w:val="bottom"/>
            <w:tcBorders>
              <w:bottom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67"/>
        </w:trPr>
        <w:tc>
          <w:tcPr>
            <w:tcW w:w="5020" w:type="dxa"/>
            <w:vAlign w:val="bottom"/>
          </w:tcPr>
          <w:p>
            <w:pPr>
              <w:ind w:left="400"/>
              <w:spacing w:after="0"/>
              <w:rPr>
                <w:sz w:val="20"/>
                <w:szCs w:val="20"/>
                <w:color w:val="auto"/>
              </w:rPr>
            </w:pPr>
            <w:r>
              <w:rPr>
                <w:rFonts w:ascii="Arial" w:cs="Arial" w:eastAsia="Arial" w:hAnsi="Arial"/>
                <w:sz w:val="14"/>
                <w:szCs w:val="14"/>
                <w:color w:val="auto"/>
              </w:rPr>
              <w:t>Debt securities:</w:t>
            </w:r>
          </w:p>
        </w:tc>
        <w:tc>
          <w:tcPr>
            <w:tcW w:w="4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020" w:type="dxa"/>
            <w:vAlign w:val="bottom"/>
          </w:tcPr>
          <w:p>
            <w:pPr>
              <w:ind w:left="560"/>
              <w:spacing w:after="0"/>
              <w:rPr>
                <w:sz w:val="20"/>
                <w:szCs w:val="20"/>
                <w:color w:val="auto"/>
              </w:rPr>
            </w:pPr>
            <w:r>
              <w:rPr>
                <w:rFonts w:ascii="Arial" w:cs="Arial" w:eastAsia="Arial" w:hAnsi="Arial"/>
                <w:sz w:val="14"/>
                <w:szCs w:val="14"/>
                <w:color w:val="auto"/>
              </w:rPr>
              <w:t>Debt securities issued by the U.S. Treasury and other</w:t>
            </w:r>
          </w:p>
        </w:tc>
        <w:tc>
          <w:tcPr>
            <w:tcW w:w="4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020" w:type="dxa"/>
            <w:vAlign w:val="bottom"/>
          </w:tcPr>
          <w:p>
            <w:pPr>
              <w:ind w:left="760"/>
              <w:spacing w:after="0"/>
              <w:rPr>
                <w:sz w:val="20"/>
                <w:szCs w:val="20"/>
                <w:color w:val="auto"/>
              </w:rPr>
            </w:pPr>
            <w:r>
              <w:rPr>
                <w:rFonts w:ascii="Arial" w:cs="Arial" w:eastAsia="Arial" w:hAnsi="Arial"/>
                <w:sz w:val="14"/>
                <w:szCs w:val="14"/>
                <w:color w:val="auto"/>
              </w:rPr>
              <w:t>U.S. government corporations and agencies</w:t>
            </w:r>
          </w:p>
        </w:tc>
        <w:tc>
          <w:tcPr>
            <w:tcW w:w="460" w:type="dxa"/>
            <w:vAlign w:val="bottom"/>
          </w:tcPr>
          <w:p>
            <w:pPr>
              <w:spacing w:after="0"/>
              <w:rPr>
                <w:sz w:val="14"/>
                <w:szCs w:val="14"/>
                <w:color w:val="auto"/>
              </w:rPr>
            </w:pPr>
          </w:p>
        </w:tc>
        <w:tc>
          <w:tcPr>
            <w:tcW w:w="900" w:type="dxa"/>
            <w:vAlign w:val="bottom"/>
          </w:tcPr>
          <w:p>
            <w:pPr>
              <w:jc w:val="right"/>
              <w:ind w:right="88"/>
              <w:spacing w:after="0"/>
              <w:rPr>
                <w:sz w:val="20"/>
                <w:szCs w:val="20"/>
                <w:color w:val="auto"/>
              </w:rPr>
            </w:pPr>
            <w:r>
              <w:rPr>
                <w:rFonts w:ascii="Arial" w:cs="Arial" w:eastAsia="Arial" w:hAnsi="Arial"/>
                <w:sz w:val="14"/>
                <w:szCs w:val="14"/>
                <w:color w:val="auto"/>
              </w:rPr>
              <w:t>144</w:t>
            </w:r>
          </w:p>
        </w:tc>
        <w:tc>
          <w:tcPr>
            <w:tcW w:w="340" w:type="dxa"/>
            <w:vAlign w:val="bottom"/>
          </w:tcPr>
          <w:p>
            <w:pPr>
              <w:spacing w:after="0"/>
              <w:rPr>
                <w:sz w:val="14"/>
                <w:szCs w:val="14"/>
                <w:color w:val="auto"/>
              </w:rPr>
            </w:pPr>
          </w:p>
        </w:tc>
        <w:tc>
          <w:tcPr>
            <w:tcW w:w="900" w:type="dxa"/>
            <w:vAlign w:val="bottom"/>
          </w:tcPr>
          <w:p>
            <w:pPr>
              <w:jc w:val="right"/>
              <w:ind w:right="88"/>
              <w:spacing w:after="0"/>
              <w:rPr>
                <w:sz w:val="20"/>
                <w:szCs w:val="20"/>
                <w:color w:val="auto"/>
              </w:rPr>
            </w:pPr>
            <w:r>
              <w:rPr>
                <w:rFonts w:ascii="Arial" w:cs="Arial" w:eastAsia="Arial" w:hAnsi="Arial"/>
                <w:sz w:val="14"/>
                <w:szCs w:val="14"/>
                <w:color w:val="auto"/>
              </w:rPr>
              <w:t>28</w:t>
            </w:r>
          </w:p>
        </w:tc>
        <w:tc>
          <w:tcPr>
            <w:tcW w:w="360" w:type="dxa"/>
            <w:vAlign w:val="bottom"/>
          </w:tcPr>
          <w:p>
            <w:pPr>
              <w:spacing w:after="0"/>
              <w:rPr>
                <w:sz w:val="14"/>
                <w:szCs w:val="14"/>
                <w:color w:val="auto"/>
              </w:rPr>
            </w:pPr>
          </w:p>
        </w:tc>
        <w:tc>
          <w:tcPr>
            <w:tcW w:w="90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420" w:type="dxa"/>
            <w:vAlign w:val="bottom"/>
          </w:tcPr>
          <w:p>
            <w:pPr>
              <w:spacing w:after="0"/>
              <w:rPr>
                <w:sz w:val="14"/>
                <w:szCs w:val="14"/>
                <w:color w:val="auto"/>
              </w:rPr>
            </w:pPr>
          </w:p>
        </w:tc>
        <w:tc>
          <w:tcPr>
            <w:tcW w:w="100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172</w:t>
            </w:r>
          </w:p>
        </w:tc>
        <w:tc>
          <w:tcPr>
            <w:tcW w:w="0" w:type="dxa"/>
            <w:vAlign w:val="bottom"/>
          </w:tcPr>
          <w:p>
            <w:pPr>
              <w:spacing w:after="0"/>
              <w:rPr>
                <w:sz w:val="1"/>
                <w:szCs w:val="1"/>
                <w:color w:val="auto"/>
              </w:rPr>
            </w:pPr>
          </w:p>
        </w:tc>
      </w:tr>
      <w:tr>
        <w:trPr>
          <w:trHeight w:val="162"/>
        </w:trPr>
        <w:tc>
          <w:tcPr>
            <w:tcW w:w="5020" w:type="dxa"/>
            <w:vAlign w:val="bottom"/>
          </w:tcPr>
          <w:p>
            <w:pPr>
              <w:ind w:left="560"/>
              <w:spacing w:after="0"/>
              <w:rPr>
                <w:sz w:val="20"/>
                <w:szCs w:val="20"/>
                <w:color w:val="auto"/>
              </w:rPr>
            </w:pPr>
            <w:r>
              <w:rPr>
                <w:rFonts w:ascii="Arial" w:cs="Arial" w:eastAsia="Arial" w:hAnsi="Arial"/>
                <w:sz w:val="14"/>
                <w:szCs w:val="14"/>
                <w:color w:val="auto"/>
              </w:rPr>
              <w:t>Municipal bonds</w:t>
            </w:r>
          </w:p>
        </w:tc>
        <w:tc>
          <w:tcPr>
            <w:tcW w:w="460" w:type="dxa"/>
            <w:vAlign w:val="bottom"/>
          </w:tcPr>
          <w:p>
            <w:pPr>
              <w:spacing w:after="0"/>
              <w:rPr>
                <w:sz w:val="14"/>
                <w:szCs w:val="14"/>
                <w:color w:val="auto"/>
              </w:rPr>
            </w:pPr>
          </w:p>
        </w:tc>
        <w:tc>
          <w:tcPr>
            <w:tcW w:w="90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4"/>
                <w:szCs w:val="14"/>
                <w:color w:val="auto"/>
              </w:rPr>
            </w:pPr>
          </w:p>
        </w:tc>
        <w:tc>
          <w:tcPr>
            <w:tcW w:w="900" w:type="dxa"/>
            <w:vAlign w:val="bottom"/>
          </w:tcPr>
          <w:p>
            <w:pPr>
              <w:jc w:val="right"/>
              <w:ind w:right="88"/>
              <w:spacing w:after="0"/>
              <w:rPr>
                <w:sz w:val="20"/>
                <w:szCs w:val="20"/>
                <w:color w:val="auto"/>
              </w:rPr>
            </w:pPr>
            <w:r>
              <w:rPr>
                <w:rFonts w:ascii="Arial" w:cs="Arial" w:eastAsia="Arial" w:hAnsi="Arial"/>
                <w:sz w:val="14"/>
                <w:szCs w:val="14"/>
                <w:color w:val="auto"/>
              </w:rPr>
              <w:t>118</w:t>
            </w:r>
          </w:p>
        </w:tc>
        <w:tc>
          <w:tcPr>
            <w:tcW w:w="360" w:type="dxa"/>
            <w:vAlign w:val="bottom"/>
          </w:tcPr>
          <w:p>
            <w:pPr>
              <w:spacing w:after="0"/>
              <w:rPr>
                <w:sz w:val="14"/>
                <w:szCs w:val="14"/>
                <w:color w:val="auto"/>
              </w:rPr>
            </w:pPr>
          </w:p>
        </w:tc>
        <w:tc>
          <w:tcPr>
            <w:tcW w:w="90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420" w:type="dxa"/>
            <w:vAlign w:val="bottom"/>
          </w:tcPr>
          <w:p>
            <w:pPr>
              <w:spacing w:after="0"/>
              <w:rPr>
                <w:sz w:val="14"/>
                <w:szCs w:val="14"/>
                <w:color w:val="auto"/>
              </w:rPr>
            </w:pPr>
          </w:p>
        </w:tc>
        <w:tc>
          <w:tcPr>
            <w:tcW w:w="100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118</w:t>
            </w:r>
          </w:p>
        </w:tc>
        <w:tc>
          <w:tcPr>
            <w:tcW w:w="0" w:type="dxa"/>
            <w:vAlign w:val="bottom"/>
          </w:tcPr>
          <w:p>
            <w:pPr>
              <w:spacing w:after="0"/>
              <w:rPr>
                <w:sz w:val="1"/>
                <w:szCs w:val="1"/>
                <w:color w:val="auto"/>
              </w:rPr>
            </w:pPr>
          </w:p>
        </w:tc>
      </w:tr>
      <w:tr>
        <w:trPr>
          <w:trHeight w:val="164"/>
        </w:trPr>
        <w:tc>
          <w:tcPr>
            <w:tcW w:w="5020" w:type="dxa"/>
            <w:vAlign w:val="bottom"/>
          </w:tcPr>
          <w:p>
            <w:pPr>
              <w:ind w:left="560"/>
              <w:spacing w:after="0" w:line="137" w:lineRule="exact"/>
              <w:rPr>
                <w:sz w:val="20"/>
                <w:szCs w:val="20"/>
                <w:color w:val="auto"/>
              </w:rPr>
            </w:pPr>
            <w:r>
              <w:rPr>
                <w:rFonts w:ascii="Arial" w:cs="Arial" w:eastAsia="Arial" w:hAnsi="Arial"/>
                <w:sz w:val="14"/>
                <w:szCs w:val="14"/>
                <w:color w:val="auto"/>
              </w:rPr>
              <w:t>Other securities</w:t>
            </w:r>
          </w:p>
        </w:tc>
        <w:tc>
          <w:tcPr>
            <w:tcW w:w="4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88"/>
              <w:spacing w:after="0" w:line="137" w:lineRule="exact"/>
              <w:rPr>
                <w:sz w:val="20"/>
                <w:szCs w:val="20"/>
                <w:color w:val="auto"/>
              </w:rPr>
            </w:pPr>
            <w:r>
              <w:rPr>
                <w:rFonts w:ascii="Arial" w:cs="Arial" w:eastAsia="Arial" w:hAnsi="Arial"/>
                <w:sz w:val="14"/>
                <w:szCs w:val="14"/>
                <w:color w:val="auto"/>
              </w:rPr>
              <w:t>―</w:t>
            </w:r>
          </w:p>
        </w:tc>
        <w:tc>
          <w:tcPr>
            <w:tcW w:w="3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88"/>
              <w:spacing w:after="0" w:line="137" w:lineRule="exact"/>
              <w:rPr>
                <w:sz w:val="20"/>
                <w:szCs w:val="20"/>
                <w:color w:val="auto"/>
              </w:rPr>
            </w:pPr>
            <w:r>
              <w:rPr>
                <w:rFonts w:ascii="Arial" w:cs="Arial" w:eastAsia="Arial" w:hAnsi="Arial"/>
                <w:sz w:val="14"/>
                <w:szCs w:val="14"/>
                <w:color w:val="auto"/>
              </w:rPr>
              <w:t>24</w:t>
            </w:r>
          </w:p>
        </w:tc>
        <w:tc>
          <w:tcPr>
            <w:tcW w:w="3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88"/>
              <w:spacing w:after="0" w:line="137" w:lineRule="exact"/>
              <w:rPr>
                <w:sz w:val="20"/>
                <w:szCs w:val="20"/>
                <w:color w:val="auto"/>
              </w:rPr>
            </w:pPr>
            <w:r>
              <w:rPr>
                <w:rFonts w:ascii="Arial" w:cs="Arial" w:eastAsia="Arial" w:hAnsi="Arial"/>
                <w:sz w:val="14"/>
                <w:szCs w:val="14"/>
                <w:color w:val="auto"/>
              </w:rPr>
              <w:t>―</w:t>
            </w:r>
          </w:p>
        </w:tc>
        <w:tc>
          <w:tcPr>
            <w:tcW w:w="4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108"/>
              <w:spacing w:after="0" w:line="137" w:lineRule="exact"/>
              <w:rPr>
                <w:sz w:val="20"/>
                <w:szCs w:val="20"/>
                <w:color w:val="auto"/>
              </w:rPr>
            </w:pPr>
            <w:r>
              <w:rPr>
                <w:rFonts w:ascii="Arial" w:cs="Arial" w:eastAsia="Arial" w:hAnsi="Arial"/>
                <w:sz w:val="14"/>
                <w:szCs w:val="14"/>
                <w:color w:val="auto"/>
              </w:rPr>
              <w:t>―</w:t>
            </w:r>
          </w:p>
        </w:tc>
        <w:tc>
          <w:tcPr>
            <w:tcW w:w="3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spacing w:after="0" w:line="137" w:lineRule="exact"/>
              <w:rPr>
                <w:sz w:val="20"/>
                <w:szCs w:val="20"/>
                <w:color w:val="auto"/>
              </w:rPr>
            </w:pPr>
            <w:r>
              <w:rPr>
                <w:rFonts w:ascii="Arial" w:cs="Arial" w:eastAsia="Arial" w:hAnsi="Arial"/>
                <w:sz w:val="14"/>
                <w:szCs w:val="14"/>
                <w:color w:val="auto"/>
              </w:rPr>
              <w:t>24</w:t>
            </w:r>
          </w:p>
        </w:tc>
        <w:tc>
          <w:tcPr>
            <w:tcW w:w="0" w:type="dxa"/>
            <w:vAlign w:val="bottom"/>
          </w:tcPr>
          <w:p>
            <w:pPr>
              <w:spacing w:after="0"/>
              <w:rPr>
                <w:sz w:val="1"/>
                <w:szCs w:val="1"/>
                <w:color w:val="auto"/>
              </w:rPr>
            </w:pPr>
          </w:p>
        </w:tc>
      </w:tr>
      <w:tr>
        <w:trPr>
          <w:trHeight w:val="169"/>
        </w:trPr>
        <w:tc>
          <w:tcPr>
            <w:tcW w:w="5020" w:type="dxa"/>
            <w:vAlign w:val="bottom"/>
          </w:tcPr>
          <w:p>
            <w:pPr>
              <w:ind w:left="400"/>
              <w:spacing w:after="0" w:line="142" w:lineRule="exact"/>
              <w:rPr>
                <w:sz w:val="20"/>
                <w:szCs w:val="20"/>
                <w:color w:val="auto"/>
              </w:rPr>
            </w:pPr>
            <w:r>
              <w:rPr>
                <w:rFonts w:ascii="Arial" w:cs="Arial" w:eastAsia="Arial" w:hAnsi="Arial"/>
                <w:sz w:val="14"/>
                <w:szCs w:val="14"/>
                <w:color w:val="auto"/>
              </w:rPr>
              <w:t>Total debt securities</w:t>
            </w:r>
          </w:p>
        </w:tc>
        <w:tc>
          <w:tcPr>
            <w:tcW w:w="4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88"/>
              <w:spacing w:after="0" w:line="142" w:lineRule="exact"/>
              <w:rPr>
                <w:sz w:val="20"/>
                <w:szCs w:val="20"/>
                <w:color w:val="auto"/>
              </w:rPr>
            </w:pPr>
            <w:r>
              <w:rPr>
                <w:rFonts w:ascii="Arial" w:cs="Arial" w:eastAsia="Arial" w:hAnsi="Arial"/>
                <w:sz w:val="14"/>
                <w:szCs w:val="14"/>
                <w:color w:val="auto"/>
              </w:rPr>
              <w:t>144</w:t>
            </w:r>
          </w:p>
        </w:tc>
        <w:tc>
          <w:tcPr>
            <w:tcW w:w="3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88"/>
              <w:spacing w:after="0" w:line="142" w:lineRule="exact"/>
              <w:rPr>
                <w:sz w:val="20"/>
                <w:szCs w:val="20"/>
                <w:color w:val="auto"/>
              </w:rPr>
            </w:pPr>
            <w:r>
              <w:rPr>
                <w:rFonts w:ascii="Arial" w:cs="Arial" w:eastAsia="Arial" w:hAnsi="Arial"/>
                <w:sz w:val="14"/>
                <w:szCs w:val="14"/>
                <w:color w:val="auto"/>
              </w:rPr>
              <w:t>170</w:t>
            </w:r>
          </w:p>
        </w:tc>
        <w:tc>
          <w:tcPr>
            <w:tcW w:w="3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88"/>
              <w:spacing w:after="0" w:line="142" w:lineRule="exact"/>
              <w:rPr>
                <w:sz w:val="20"/>
                <w:szCs w:val="20"/>
                <w:color w:val="auto"/>
              </w:rPr>
            </w:pPr>
            <w:r>
              <w:rPr>
                <w:rFonts w:ascii="Arial" w:cs="Arial" w:eastAsia="Arial" w:hAnsi="Arial"/>
                <w:sz w:val="14"/>
                <w:szCs w:val="14"/>
                <w:color w:val="auto"/>
              </w:rPr>
              <w:t>―</w:t>
            </w:r>
          </w:p>
        </w:tc>
        <w:tc>
          <w:tcPr>
            <w:tcW w:w="4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108"/>
              <w:spacing w:after="0" w:line="142" w:lineRule="exact"/>
              <w:rPr>
                <w:sz w:val="20"/>
                <w:szCs w:val="20"/>
                <w:color w:val="auto"/>
              </w:rPr>
            </w:pPr>
            <w:r>
              <w:rPr>
                <w:rFonts w:ascii="Arial" w:cs="Arial" w:eastAsia="Arial" w:hAnsi="Arial"/>
                <w:sz w:val="14"/>
                <w:szCs w:val="14"/>
                <w:color w:val="auto"/>
              </w:rPr>
              <w:t>―</w:t>
            </w:r>
          </w:p>
        </w:tc>
        <w:tc>
          <w:tcPr>
            <w:tcW w:w="3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314</w:t>
            </w:r>
          </w:p>
        </w:tc>
        <w:tc>
          <w:tcPr>
            <w:tcW w:w="0" w:type="dxa"/>
            <w:vAlign w:val="bottom"/>
          </w:tcPr>
          <w:p>
            <w:pPr>
              <w:spacing w:after="0"/>
              <w:rPr>
                <w:sz w:val="1"/>
                <w:szCs w:val="1"/>
                <w:color w:val="auto"/>
              </w:rPr>
            </w:pPr>
          </w:p>
        </w:tc>
      </w:tr>
      <w:tr>
        <w:trPr>
          <w:trHeight w:val="169"/>
        </w:trPr>
        <w:tc>
          <w:tcPr>
            <w:tcW w:w="5020" w:type="dxa"/>
            <w:vAlign w:val="bottom"/>
          </w:tcPr>
          <w:p>
            <w:pPr>
              <w:ind w:left="160"/>
              <w:spacing w:after="0" w:line="142" w:lineRule="exact"/>
              <w:rPr>
                <w:sz w:val="20"/>
                <w:szCs w:val="20"/>
                <w:color w:val="auto"/>
              </w:rPr>
            </w:pPr>
            <w:r>
              <w:rPr>
                <w:rFonts w:ascii="Arial" w:cs="Arial" w:eastAsia="Arial" w:hAnsi="Arial"/>
                <w:sz w:val="14"/>
                <w:szCs w:val="14"/>
                <w:color w:val="auto"/>
              </w:rPr>
              <w:t>Total nuclear decommissioning trusts(1)</w:t>
            </w:r>
          </w:p>
        </w:tc>
        <w:tc>
          <w:tcPr>
            <w:tcW w:w="4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88"/>
              <w:spacing w:after="0" w:line="142" w:lineRule="exact"/>
              <w:rPr>
                <w:sz w:val="20"/>
                <w:szCs w:val="20"/>
                <w:color w:val="auto"/>
              </w:rPr>
            </w:pPr>
            <w:r>
              <w:rPr>
                <w:rFonts w:ascii="Arial" w:cs="Arial" w:eastAsia="Arial" w:hAnsi="Arial"/>
                <w:sz w:val="14"/>
                <w:szCs w:val="14"/>
                <w:color w:val="auto"/>
              </w:rPr>
              <w:t>627</w:t>
            </w:r>
          </w:p>
        </w:tc>
        <w:tc>
          <w:tcPr>
            <w:tcW w:w="3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88"/>
              <w:spacing w:after="0" w:line="142" w:lineRule="exact"/>
              <w:rPr>
                <w:sz w:val="20"/>
                <w:szCs w:val="20"/>
                <w:color w:val="auto"/>
              </w:rPr>
            </w:pPr>
            <w:r>
              <w:rPr>
                <w:rFonts w:ascii="Arial" w:cs="Arial" w:eastAsia="Arial" w:hAnsi="Arial"/>
                <w:sz w:val="14"/>
                <w:szCs w:val="14"/>
                <w:color w:val="auto"/>
              </w:rPr>
              <w:t>170</w:t>
            </w:r>
          </w:p>
        </w:tc>
        <w:tc>
          <w:tcPr>
            <w:tcW w:w="3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88"/>
              <w:spacing w:after="0" w:line="142" w:lineRule="exact"/>
              <w:rPr>
                <w:sz w:val="20"/>
                <w:szCs w:val="20"/>
                <w:color w:val="auto"/>
              </w:rPr>
            </w:pPr>
            <w:r>
              <w:rPr>
                <w:rFonts w:ascii="Arial" w:cs="Arial" w:eastAsia="Arial" w:hAnsi="Arial"/>
                <w:sz w:val="14"/>
                <w:szCs w:val="14"/>
                <w:color w:val="auto"/>
              </w:rPr>
              <w:t>―</w:t>
            </w:r>
          </w:p>
        </w:tc>
        <w:tc>
          <w:tcPr>
            <w:tcW w:w="4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108"/>
              <w:spacing w:after="0" w:line="142" w:lineRule="exact"/>
              <w:rPr>
                <w:sz w:val="20"/>
                <w:szCs w:val="20"/>
                <w:color w:val="auto"/>
              </w:rPr>
            </w:pPr>
            <w:r>
              <w:rPr>
                <w:rFonts w:ascii="Arial" w:cs="Arial" w:eastAsia="Arial" w:hAnsi="Arial"/>
                <w:sz w:val="14"/>
                <w:szCs w:val="14"/>
                <w:color w:val="auto"/>
              </w:rPr>
              <w:t>―</w:t>
            </w:r>
          </w:p>
        </w:tc>
        <w:tc>
          <w:tcPr>
            <w:tcW w:w="3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797</w:t>
            </w:r>
          </w:p>
        </w:tc>
        <w:tc>
          <w:tcPr>
            <w:tcW w:w="0" w:type="dxa"/>
            <w:vAlign w:val="bottom"/>
          </w:tcPr>
          <w:p>
            <w:pPr>
              <w:spacing w:after="0"/>
              <w:rPr>
                <w:sz w:val="1"/>
                <w:szCs w:val="1"/>
                <w:color w:val="auto"/>
              </w:rPr>
            </w:pPr>
          </w:p>
        </w:tc>
      </w:tr>
      <w:tr>
        <w:trPr>
          <w:trHeight w:val="167"/>
        </w:trPr>
        <w:tc>
          <w:tcPr>
            <w:tcW w:w="5020" w:type="dxa"/>
            <w:vAlign w:val="bottom"/>
          </w:tcPr>
          <w:p>
            <w:pPr>
              <w:ind w:left="160"/>
              <w:spacing w:after="0"/>
              <w:rPr>
                <w:sz w:val="20"/>
                <w:szCs w:val="20"/>
                <w:color w:val="auto"/>
              </w:rPr>
            </w:pPr>
            <w:r>
              <w:rPr>
                <w:rFonts w:ascii="Arial" w:cs="Arial" w:eastAsia="Arial" w:hAnsi="Arial"/>
                <w:sz w:val="14"/>
                <w:szCs w:val="14"/>
                <w:color w:val="auto"/>
              </w:rPr>
              <w:t>Interest rate instruments</w:t>
            </w:r>
          </w:p>
        </w:tc>
        <w:tc>
          <w:tcPr>
            <w:tcW w:w="460" w:type="dxa"/>
            <w:vAlign w:val="bottom"/>
          </w:tcPr>
          <w:p>
            <w:pPr>
              <w:spacing w:after="0"/>
              <w:rPr>
                <w:sz w:val="14"/>
                <w:szCs w:val="14"/>
                <w:color w:val="auto"/>
              </w:rPr>
            </w:pPr>
          </w:p>
        </w:tc>
        <w:tc>
          <w:tcPr>
            <w:tcW w:w="90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4"/>
                <w:szCs w:val="14"/>
                <w:color w:val="auto"/>
              </w:rPr>
            </w:pPr>
          </w:p>
        </w:tc>
        <w:tc>
          <w:tcPr>
            <w:tcW w:w="900" w:type="dxa"/>
            <w:vAlign w:val="bottom"/>
          </w:tcPr>
          <w:p>
            <w:pPr>
              <w:jc w:val="right"/>
              <w:ind w:right="88"/>
              <w:spacing w:after="0"/>
              <w:rPr>
                <w:sz w:val="20"/>
                <w:szCs w:val="20"/>
                <w:color w:val="auto"/>
              </w:rPr>
            </w:pPr>
            <w:r>
              <w:rPr>
                <w:rFonts w:ascii="Arial" w:cs="Arial" w:eastAsia="Arial" w:hAnsi="Arial"/>
                <w:sz w:val="14"/>
                <w:szCs w:val="14"/>
                <w:color w:val="auto"/>
              </w:rPr>
              <w:t>39</w:t>
            </w:r>
          </w:p>
        </w:tc>
        <w:tc>
          <w:tcPr>
            <w:tcW w:w="360" w:type="dxa"/>
            <w:vAlign w:val="bottom"/>
          </w:tcPr>
          <w:p>
            <w:pPr>
              <w:spacing w:after="0"/>
              <w:rPr>
                <w:sz w:val="14"/>
                <w:szCs w:val="14"/>
                <w:color w:val="auto"/>
              </w:rPr>
            </w:pPr>
          </w:p>
        </w:tc>
        <w:tc>
          <w:tcPr>
            <w:tcW w:w="90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420" w:type="dxa"/>
            <w:vAlign w:val="bottom"/>
          </w:tcPr>
          <w:p>
            <w:pPr>
              <w:spacing w:after="0"/>
              <w:rPr>
                <w:sz w:val="14"/>
                <w:szCs w:val="14"/>
                <w:color w:val="auto"/>
              </w:rPr>
            </w:pPr>
          </w:p>
        </w:tc>
        <w:tc>
          <w:tcPr>
            <w:tcW w:w="100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39</w:t>
            </w:r>
          </w:p>
        </w:tc>
        <w:tc>
          <w:tcPr>
            <w:tcW w:w="0" w:type="dxa"/>
            <w:vAlign w:val="bottom"/>
          </w:tcPr>
          <w:p>
            <w:pPr>
              <w:spacing w:after="0"/>
              <w:rPr>
                <w:sz w:val="1"/>
                <w:szCs w:val="1"/>
                <w:color w:val="auto"/>
              </w:rPr>
            </w:pPr>
          </w:p>
        </w:tc>
      </w:tr>
      <w:tr>
        <w:trPr>
          <w:trHeight w:val="162"/>
        </w:trPr>
        <w:tc>
          <w:tcPr>
            <w:tcW w:w="5020" w:type="dxa"/>
            <w:vAlign w:val="bottom"/>
          </w:tcPr>
          <w:p>
            <w:pPr>
              <w:ind w:left="160"/>
              <w:spacing w:after="0"/>
              <w:rPr>
                <w:sz w:val="20"/>
                <w:szCs w:val="20"/>
                <w:color w:val="auto"/>
              </w:rPr>
            </w:pPr>
            <w:r>
              <w:rPr>
                <w:rFonts w:ascii="Arial" w:cs="Arial" w:eastAsia="Arial" w:hAnsi="Arial"/>
                <w:sz w:val="14"/>
                <w:szCs w:val="14"/>
                <w:color w:val="auto"/>
              </w:rPr>
              <w:t>Commodity contracts subject to rate recovery</w:t>
            </w:r>
          </w:p>
        </w:tc>
        <w:tc>
          <w:tcPr>
            <w:tcW w:w="460" w:type="dxa"/>
            <w:vAlign w:val="bottom"/>
          </w:tcPr>
          <w:p>
            <w:pPr>
              <w:spacing w:after="0"/>
              <w:rPr>
                <w:sz w:val="14"/>
                <w:szCs w:val="14"/>
                <w:color w:val="auto"/>
              </w:rPr>
            </w:pPr>
          </w:p>
        </w:tc>
        <w:tc>
          <w:tcPr>
            <w:tcW w:w="900" w:type="dxa"/>
            <w:vAlign w:val="bottom"/>
          </w:tcPr>
          <w:p>
            <w:pPr>
              <w:jc w:val="right"/>
              <w:ind w:right="88"/>
              <w:spacing w:after="0"/>
              <w:rPr>
                <w:sz w:val="20"/>
                <w:szCs w:val="20"/>
                <w:color w:val="auto"/>
              </w:rPr>
            </w:pPr>
            <w:r>
              <w:rPr>
                <w:rFonts w:ascii="Arial" w:cs="Arial" w:eastAsia="Arial" w:hAnsi="Arial"/>
                <w:sz w:val="14"/>
                <w:szCs w:val="14"/>
                <w:color w:val="auto"/>
              </w:rPr>
              <w:t>21</w:t>
            </w:r>
          </w:p>
        </w:tc>
        <w:tc>
          <w:tcPr>
            <w:tcW w:w="340" w:type="dxa"/>
            <w:vAlign w:val="bottom"/>
          </w:tcPr>
          <w:p>
            <w:pPr>
              <w:spacing w:after="0"/>
              <w:rPr>
                <w:sz w:val="14"/>
                <w:szCs w:val="14"/>
                <w:color w:val="auto"/>
              </w:rPr>
            </w:pPr>
          </w:p>
        </w:tc>
        <w:tc>
          <w:tcPr>
            <w:tcW w:w="900" w:type="dxa"/>
            <w:vAlign w:val="bottom"/>
          </w:tcPr>
          <w:p>
            <w:pPr>
              <w:jc w:val="right"/>
              <w:ind w:right="88"/>
              <w:spacing w:after="0"/>
              <w:rPr>
                <w:sz w:val="20"/>
                <w:szCs w:val="20"/>
                <w:color w:val="auto"/>
              </w:rPr>
            </w:pPr>
            <w:r>
              <w:rPr>
                <w:rFonts w:ascii="Arial" w:cs="Arial" w:eastAsia="Arial" w:hAnsi="Arial"/>
                <w:sz w:val="14"/>
                <w:szCs w:val="14"/>
                <w:color w:val="auto"/>
              </w:rPr>
              <w:t>1</w:t>
            </w:r>
          </w:p>
        </w:tc>
        <w:tc>
          <w:tcPr>
            <w:tcW w:w="360" w:type="dxa"/>
            <w:vAlign w:val="bottom"/>
          </w:tcPr>
          <w:p>
            <w:pPr>
              <w:spacing w:after="0"/>
              <w:rPr>
                <w:sz w:val="14"/>
                <w:szCs w:val="14"/>
                <w:color w:val="auto"/>
              </w:rPr>
            </w:pPr>
          </w:p>
        </w:tc>
        <w:tc>
          <w:tcPr>
            <w:tcW w:w="900" w:type="dxa"/>
            <w:vAlign w:val="bottom"/>
          </w:tcPr>
          <w:p>
            <w:pPr>
              <w:jc w:val="right"/>
              <w:ind w:right="88"/>
              <w:spacing w:after="0"/>
              <w:rPr>
                <w:sz w:val="20"/>
                <w:szCs w:val="20"/>
                <w:color w:val="auto"/>
              </w:rPr>
            </w:pPr>
            <w:r>
              <w:rPr>
                <w:rFonts w:ascii="Arial" w:cs="Arial" w:eastAsia="Arial" w:hAnsi="Arial"/>
                <w:sz w:val="14"/>
                <w:szCs w:val="14"/>
                <w:color w:val="auto"/>
              </w:rPr>
              <w:t>3</w:t>
            </w:r>
          </w:p>
        </w:tc>
        <w:tc>
          <w:tcPr>
            <w:tcW w:w="420" w:type="dxa"/>
            <w:vAlign w:val="bottom"/>
          </w:tcPr>
          <w:p>
            <w:pPr>
              <w:spacing w:after="0"/>
              <w:rPr>
                <w:sz w:val="14"/>
                <w:szCs w:val="14"/>
                <w:color w:val="auto"/>
              </w:rPr>
            </w:pPr>
          </w:p>
        </w:tc>
        <w:tc>
          <w:tcPr>
            <w:tcW w:w="100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25</w:t>
            </w:r>
          </w:p>
        </w:tc>
        <w:tc>
          <w:tcPr>
            <w:tcW w:w="0" w:type="dxa"/>
            <w:vAlign w:val="bottom"/>
          </w:tcPr>
          <w:p>
            <w:pPr>
              <w:spacing w:after="0"/>
              <w:rPr>
                <w:sz w:val="1"/>
                <w:szCs w:val="1"/>
                <w:color w:val="auto"/>
              </w:rPr>
            </w:pPr>
          </w:p>
        </w:tc>
      </w:tr>
      <w:tr>
        <w:trPr>
          <w:trHeight w:val="162"/>
        </w:trPr>
        <w:tc>
          <w:tcPr>
            <w:tcW w:w="5020" w:type="dxa"/>
            <w:vAlign w:val="bottom"/>
          </w:tcPr>
          <w:p>
            <w:pPr>
              <w:ind w:left="160"/>
              <w:spacing w:after="0"/>
              <w:rPr>
                <w:sz w:val="20"/>
                <w:szCs w:val="20"/>
                <w:color w:val="auto"/>
              </w:rPr>
            </w:pPr>
            <w:r>
              <w:rPr>
                <w:rFonts w:ascii="Arial" w:cs="Arial" w:eastAsia="Arial" w:hAnsi="Arial"/>
                <w:sz w:val="14"/>
                <w:szCs w:val="14"/>
                <w:color w:val="auto"/>
              </w:rPr>
              <w:t>Commodity contracts not subject to rate recovery</w:t>
            </w:r>
          </w:p>
        </w:tc>
        <w:tc>
          <w:tcPr>
            <w:tcW w:w="460" w:type="dxa"/>
            <w:vAlign w:val="bottom"/>
          </w:tcPr>
          <w:p>
            <w:pPr>
              <w:spacing w:after="0"/>
              <w:rPr>
                <w:sz w:val="14"/>
                <w:szCs w:val="14"/>
                <w:color w:val="auto"/>
              </w:rPr>
            </w:pPr>
          </w:p>
        </w:tc>
        <w:tc>
          <w:tcPr>
            <w:tcW w:w="900" w:type="dxa"/>
            <w:vAlign w:val="bottom"/>
          </w:tcPr>
          <w:p>
            <w:pPr>
              <w:jc w:val="right"/>
              <w:ind w:right="88"/>
              <w:spacing w:after="0"/>
              <w:rPr>
                <w:sz w:val="20"/>
                <w:szCs w:val="20"/>
                <w:color w:val="auto"/>
              </w:rPr>
            </w:pPr>
            <w:r>
              <w:rPr>
                <w:rFonts w:ascii="Arial" w:cs="Arial" w:eastAsia="Arial" w:hAnsi="Arial"/>
                <w:sz w:val="14"/>
                <w:szCs w:val="14"/>
                <w:color w:val="auto"/>
              </w:rPr>
              <w:t>14</w:t>
            </w:r>
          </w:p>
        </w:tc>
        <w:tc>
          <w:tcPr>
            <w:tcW w:w="340" w:type="dxa"/>
            <w:vAlign w:val="bottom"/>
          </w:tcPr>
          <w:p>
            <w:pPr>
              <w:spacing w:after="0"/>
              <w:rPr>
                <w:sz w:val="14"/>
                <w:szCs w:val="14"/>
                <w:color w:val="auto"/>
              </w:rPr>
            </w:pPr>
          </w:p>
        </w:tc>
        <w:tc>
          <w:tcPr>
            <w:tcW w:w="900" w:type="dxa"/>
            <w:vAlign w:val="bottom"/>
          </w:tcPr>
          <w:p>
            <w:pPr>
              <w:jc w:val="right"/>
              <w:ind w:right="88"/>
              <w:spacing w:after="0"/>
              <w:rPr>
                <w:sz w:val="20"/>
                <w:szCs w:val="20"/>
                <w:color w:val="auto"/>
              </w:rPr>
            </w:pPr>
            <w:r>
              <w:rPr>
                <w:rFonts w:ascii="Arial" w:cs="Arial" w:eastAsia="Arial" w:hAnsi="Arial"/>
                <w:sz w:val="14"/>
                <w:szCs w:val="14"/>
                <w:color w:val="auto"/>
              </w:rPr>
              <w:t>48</w:t>
            </w:r>
          </w:p>
        </w:tc>
        <w:tc>
          <w:tcPr>
            <w:tcW w:w="360" w:type="dxa"/>
            <w:vAlign w:val="bottom"/>
          </w:tcPr>
          <w:p>
            <w:pPr>
              <w:spacing w:after="0"/>
              <w:rPr>
                <w:sz w:val="14"/>
                <w:szCs w:val="14"/>
                <w:color w:val="auto"/>
              </w:rPr>
            </w:pPr>
          </w:p>
        </w:tc>
        <w:tc>
          <w:tcPr>
            <w:tcW w:w="90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420" w:type="dxa"/>
            <w:vAlign w:val="bottom"/>
          </w:tcPr>
          <w:p>
            <w:pPr>
              <w:spacing w:after="0"/>
              <w:rPr>
                <w:sz w:val="14"/>
                <w:szCs w:val="14"/>
                <w:color w:val="auto"/>
              </w:rPr>
            </w:pPr>
          </w:p>
        </w:tc>
        <w:tc>
          <w:tcPr>
            <w:tcW w:w="1000" w:type="dxa"/>
            <w:vAlign w:val="bottom"/>
          </w:tcPr>
          <w:p>
            <w:pPr>
              <w:jc w:val="right"/>
              <w:ind w:right="68"/>
              <w:spacing w:after="0"/>
              <w:rPr>
                <w:sz w:val="20"/>
                <w:szCs w:val="20"/>
                <w:color w:val="auto"/>
              </w:rPr>
            </w:pPr>
            <w:r>
              <w:rPr>
                <w:rFonts w:ascii="Arial" w:cs="Arial" w:eastAsia="Arial" w:hAnsi="Arial"/>
                <w:sz w:val="14"/>
                <w:szCs w:val="14"/>
                <w:color w:val="auto"/>
              </w:rPr>
              <w:t>(4)</w:t>
            </w:r>
          </w:p>
        </w:tc>
        <w:tc>
          <w:tcPr>
            <w:tcW w:w="3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58</w:t>
            </w:r>
          </w:p>
        </w:tc>
        <w:tc>
          <w:tcPr>
            <w:tcW w:w="0" w:type="dxa"/>
            <w:vAlign w:val="bottom"/>
          </w:tcPr>
          <w:p>
            <w:pPr>
              <w:spacing w:after="0"/>
              <w:rPr>
                <w:sz w:val="1"/>
                <w:szCs w:val="1"/>
                <w:color w:val="auto"/>
              </w:rPr>
            </w:pPr>
          </w:p>
        </w:tc>
      </w:tr>
      <w:tr>
        <w:trPr>
          <w:trHeight w:val="164"/>
        </w:trPr>
        <w:tc>
          <w:tcPr>
            <w:tcW w:w="5020" w:type="dxa"/>
            <w:vAlign w:val="bottom"/>
          </w:tcPr>
          <w:p>
            <w:pPr>
              <w:ind w:left="160"/>
              <w:spacing w:after="0" w:line="137" w:lineRule="exact"/>
              <w:rPr>
                <w:sz w:val="20"/>
                <w:szCs w:val="20"/>
                <w:color w:val="auto"/>
              </w:rPr>
            </w:pPr>
            <w:r>
              <w:rPr>
                <w:rFonts w:ascii="Arial" w:cs="Arial" w:eastAsia="Arial" w:hAnsi="Arial"/>
                <w:sz w:val="14"/>
                <w:szCs w:val="14"/>
                <w:color w:val="auto"/>
              </w:rPr>
              <w:t>Investments</w:t>
            </w:r>
          </w:p>
        </w:tc>
        <w:tc>
          <w:tcPr>
            <w:tcW w:w="4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88"/>
              <w:spacing w:after="0" w:line="137" w:lineRule="exact"/>
              <w:rPr>
                <w:sz w:val="20"/>
                <w:szCs w:val="20"/>
                <w:color w:val="auto"/>
              </w:rPr>
            </w:pPr>
            <w:r>
              <w:rPr>
                <w:rFonts w:ascii="Arial" w:cs="Arial" w:eastAsia="Arial" w:hAnsi="Arial"/>
                <w:sz w:val="14"/>
                <w:szCs w:val="14"/>
                <w:color w:val="auto"/>
              </w:rPr>
              <w:t>13</w:t>
            </w:r>
          </w:p>
        </w:tc>
        <w:tc>
          <w:tcPr>
            <w:tcW w:w="3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88"/>
              <w:spacing w:after="0" w:line="137" w:lineRule="exact"/>
              <w:rPr>
                <w:sz w:val="20"/>
                <w:szCs w:val="20"/>
                <w:color w:val="auto"/>
              </w:rPr>
            </w:pPr>
            <w:r>
              <w:rPr>
                <w:rFonts w:ascii="Arial" w:cs="Arial" w:eastAsia="Arial" w:hAnsi="Arial"/>
                <w:sz w:val="14"/>
                <w:szCs w:val="14"/>
                <w:color w:val="auto"/>
              </w:rPr>
              <w:t>―</w:t>
            </w:r>
          </w:p>
        </w:tc>
        <w:tc>
          <w:tcPr>
            <w:tcW w:w="3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88"/>
              <w:spacing w:after="0" w:line="137" w:lineRule="exact"/>
              <w:rPr>
                <w:sz w:val="20"/>
                <w:szCs w:val="20"/>
                <w:color w:val="auto"/>
              </w:rPr>
            </w:pPr>
            <w:r>
              <w:rPr>
                <w:rFonts w:ascii="Arial" w:cs="Arial" w:eastAsia="Arial" w:hAnsi="Arial"/>
                <w:sz w:val="14"/>
                <w:szCs w:val="14"/>
                <w:color w:val="auto"/>
              </w:rPr>
              <w:t>―</w:t>
            </w:r>
          </w:p>
        </w:tc>
        <w:tc>
          <w:tcPr>
            <w:tcW w:w="4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108"/>
              <w:spacing w:after="0" w:line="137" w:lineRule="exact"/>
              <w:rPr>
                <w:sz w:val="20"/>
                <w:szCs w:val="20"/>
                <w:color w:val="auto"/>
              </w:rPr>
            </w:pPr>
            <w:r>
              <w:rPr>
                <w:rFonts w:ascii="Arial" w:cs="Arial" w:eastAsia="Arial" w:hAnsi="Arial"/>
                <w:sz w:val="14"/>
                <w:szCs w:val="14"/>
                <w:color w:val="auto"/>
              </w:rPr>
              <w:t>―</w:t>
            </w:r>
          </w:p>
        </w:tc>
        <w:tc>
          <w:tcPr>
            <w:tcW w:w="3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spacing w:after="0" w:line="137" w:lineRule="exact"/>
              <w:rPr>
                <w:sz w:val="20"/>
                <w:szCs w:val="20"/>
                <w:color w:val="auto"/>
              </w:rPr>
            </w:pPr>
            <w:r>
              <w:rPr>
                <w:rFonts w:ascii="Arial" w:cs="Arial" w:eastAsia="Arial" w:hAnsi="Arial"/>
                <w:sz w:val="14"/>
                <w:szCs w:val="14"/>
                <w:color w:val="auto"/>
              </w:rPr>
              <w:t>13</w:t>
            </w:r>
          </w:p>
        </w:tc>
        <w:tc>
          <w:tcPr>
            <w:tcW w:w="0" w:type="dxa"/>
            <w:vAlign w:val="bottom"/>
          </w:tcPr>
          <w:p>
            <w:pPr>
              <w:spacing w:after="0"/>
              <w:rPr>
                <w:sz w:val="1"/>
                <w:szCs w:val="1"/>
                <w:color w:val="auto"/>
              </w:rPr>
            </w:pPr>
          </w:p>
        </w:tc>
      </w:tr>
      <w:tr>
        <w:trPr>
          <w:trHeight w:val="169"/>
        </w:trPr>
        <w:tc>
          <w:tcPr>
            <w:tcW w:w="5020" w:type="dxa"/>
            <w:vAlign w:val="bottom"/>
          </w:tcPr>
          <w:p>
            <w:pPr>
              <w:spacing w:after="0" w:line="142" w:lineRule="exact"/>
              <w:rPr>
                <w:sz w:val="20"/>
                <w:szCs w:val="20"/>
                <w:color w:val="auto"/>
              </w:rPr>
            </w:pPr>
            <w:r>
              <w:rPr>
                <w:rFonts w:ascii="Arial" w:cs="Arial" w:eastAsia="Arial" w:hAnsi="Arial"/>
                <w:sz w:val="14"/>
                <w:szCs w:val="14"/>
                <w:color w:val="auto"/>
              </w:rPr>
              <w:t>Total</w:t>
            </w:r>
          </w:p>
        </w:tc>
        <w:tc>
          <w:tcPr>
            <w:tcW w:w="460" w:type="dxa"/>
            <w:vAlign w:val="bottom"/>
            <w:tcBorders>
              <w:bottom w:val="single" w:sz="8" w:color="auto"/>
            </w:tcBorders>
          </w:tcPr>
          <w:p>
            <w:pPr>
              <w:jc w:val="right"/>
              <w:ind w:right="28"/>
              <w:spacing w:after="0" w:line="142" w:lineRule="exact"/>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tcPr>
          <w:p>
            <w:pPr>
              <w:jc w:val="right"/>
              <w:ind w:right="88"/>
              <w:spacing w:after="0" w:line="142" w:lineRule="exact"/>
              <w:rPr>
                <w:sz w:val="20"/>
                <w:szCs w:val="20"/>
                <w:color w:val="auto"/>
              </w:rPr>
            </w:pPr>
            <w:r>
              <w:rPr>
                <w:rFonts w:ascii="Arial" w:cs="Arial" w:eastAsia="Arial" w:hAnsi="Arial"/>
                <w:sz w:val="14"/>
                <w:szCs w:val="14"/>
                <w:color w:val="auto"/>
              </w:rPr>
              <w:t>675</w:t>
            </w:r>
          </w:p>
        </w:tc>
        <w:tc>
          <w:tcPr>
            <w:tcW w:w="340" w:type="dxa"/>
            <w:vAlign w:val="bottom"/>
            <w:tcBorders>
              <w:bottom w:val="single" w:sz="8" w:color="auto"/>
            </w:tcBorders>
          </w:tcPr>
          <w:p>
            <w:pPr>
              <w:jc w:val="right"/>
              <w:ind w:right="28"/>
              <w:spacing w:after="0" w:line="142" w:lineRule="exact"/>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tcPr>
          <w:p>
            <w:pPr>
              <w:jc w:val="right"/>
              <w:ind w:right="88"/>
              <w:spacing w:after="0" w:line="142" w:lineRule="exact"/>
              <w:rPr>
                <w:sz w:val="20"/>
                <w:szCs w:val="20"/>
                <w:color w:val="auto"/>
              </w:rPr>
            </w:pPr>
            <w:r>
              <w:rPr>
                <w:rFonts w:ascii="Arial" w:cs="Arial" w:eastAsia="Arial" w:hAnsi="Arial"/>
                <w:sz w:val="14"/>
                <w:szCs w:val="14"/>
                <w:color w:val="auto"/>
              </w:rPr>
              <w:t>258</w:t>
            </w:r>
          </w:p>
        </w:tc>
        <w:tc>
          <w:tcPr>
            <w:tcW w:w="360" w:type="dxa"/>
            <w:vAlign w:val="bottom"/>
            <w:tcBorders>
              <w:bottom w:val="single" w:sz="8" w:color="auto"/>
            </w:tcBorders>
          </w:tcPr>
          <w:p>
            <w:pPr>
              <w:jc w:val="right"/>
              <w:ind w:right="48"/>
              <w:spacing w:after="0" w:line="142" w:lineRule="exact"/>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tcPr>
          <w:p>
            <w:pPr>
              <w:jc w:val="right"/>
              <w:ind w:right="88"/>
              <w:spacing w:after="0" w:line="142" w:lineRule="exact"/>
              <w:rPr>
                <w:sz w:val="20"/>
                <w:szCs w:val="20"/>
                <w:color w:val="auto"/>
              </w:rPr>
            </w:pPr>
            <w:r>
              <w:rPr>
                <w:rFonts w:ascii="Arial" w:cs="Arial" w:eastAsia="Arial" w:hAnsi="Arial"/>
                <w:sz w:val="14"/>
                <w:szCs w:val="14"/>
                <w:color w:val="auto"/>
              </w:rPr>
              <w:t>3</w:t>
            </w:r>
          </w:p>
        </w:tc>
        <w:tc>
          <w:tcPr>
            <w:tcW w:w="420" w:type="dxa"/>
            <w:vAlign w:val="bottom"/>
            <w:tcBorders>
              <w:bottom w:val="single" w:sz="8" w:color="auto"/>
            </w:tcBorders>
          </w:tcPr>
          <w:p>
            <w:pPr>
              <w:jc w:val="right"/>
              <w:ind w:right="88"/>
              <w:spacing w:after="0" w:line="142" w:lineRule="exact"/>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tcPr>
          <w:p>
            <w:pPr>
              <w:jc w:val="right"/>
              <w:ind w:right="68"/>
              <w:spacing w:after="0" w:line="142" w:lineRule="exact"/>
              <w:rPr>
                <w:sz w:val="20"/>
                <w:szCs w:val="20"/>
                <w:color w:val="auto"/>
              </w:rPr>
            </w:pPr>
            <w:r>
              <w:rPr>
                <w:rFonts w:ascii="Arial" w:cs="Arial" w:eastAsia="Arial" w:hAnsi="Arial"/>
                <w:sz w:val="14"/>
                <w:szCs w:val="14"/>
                <w:color w:val="auto"/>
              </w:rPr>
              <w:t>(4)</w:t>
            </w:r>
          </w:p>
        </w:tc>
        <w:tc>
          <w:tcPr>
            <w:tcW w:w="380" w:type="dxa"/>
            <w:vAlign w:val="bottom"/>
            <w:tcBorders>
              <w:bottom w:val="single" w:sz="8" w:color="auto"/>
            </w:tcBorders>
          </w:tcPr>
          <w:p>
            <w:pPr>
              <w:jc w:val="right"/>
              <w:ind w:right="88"/>
              <w:spacing w:after="0" w:line="142" w:lineRule="exact"/>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932</w:t>
            </w:r>
          </w:p>
        </w:tc>
        <w:tc>
          <w:tcPr>
            <w:tcW w:w="0" w:type="dxa"/>
            <w:vAlign w:val="bottom"/>
          </w:tcPr>
          <w:p>
            <w:pPr>
              <w:spacing w:after="0"/>
              <w:rPr>
                <w:sz w:val="1"/>
                <w:szCs w:val="1"/>
                <w:color w:val="auto"/>
              </w:rPr>
            </w:pPr>
          </w:p>
        </w:tc>
      </w:tr>
      <w:tr>
        <w:trPr>
          <w:trHeight w:val="167"/>
        </w:trPr>
        <w:tc>
          <w:tcPr>
            <w:tcW w:w="5020" w:type="dxa"/>
            <w:vAlign w:val="bottom"/>
          </w:tcPr>
          <w:p>
            <w:pPr>
              <w:spacing w:after="0"/>
              <w:rPr>
                <w:sz w:val="20"/>
                <w:szCs w:val="20"/>
                <w:color w:val="auto"/>
              </w:rPr>
            </w:pPr>
            <w:r>
              <w:rPr>
                <w:rFonts w:ascii="Arial" w:cs="Arial" w:eastAsia="Arial" w:hAnsi="Arial"/>
                <w:sz w:val="14"/>
                <w:szCs w:val="14"/>
                <w:color w:val="auto"/>
              </w:rPr>
              <w:t>Liabilities:</w:t>
            </w:r>
          </w:p>
        </w:tc>
        <w:tc>
          <w:tcPr>
            <w:tcW w:w="4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020" w:type="dxa"/>
            <w:vAlign w:val="bottom"/>
          </w:tcPr>
          <w:p>
            <w:pPr>
              <w:ind w:left="160"/>
              <w:spacing w:after="0"/>
              <w:rPr>
                <w:sz w:val="20"/>
                <w:szCs w:val="20"/>
                <w:color w:val="auto"/>
              </w:rPr>
            </w:pPr>
            <w:r>
              <w:rPr>
                <w:rFonts w:ascii="Arial" w:cs="Arial" w:eastAsia="Arial" w:hAnsi="Arial"/>
                <w:sz w:val="14"/>
                <w:szCs w:val="14"/>
                <w:color w:val="auto"/>
              </w:rPr>
              <w:t>Interest rate instruments</w:t>
            </w:r>
          </w:p>
        </w:tc>
        <w:tc>
          <w:tcPr>
            <w:tcW w:w="46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3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88"/>
              <w:spacing w:after="0"/>
              <w:rPr>
                <w:sz w:val="20"/>
                <w:szCs w:val="20"/>
                <w:color w:val="auto"/>
              </w:rPr>
            </w:pPr>
            <w:r>
              <w:rPr>
                <w:rFonts w:ascii="Arial" w:cs="Arial" w:eastAsia="Arial" w:hAnsi="Arial"/>
                <w:sz w:val="14"/>
                <w:szCs w:val="14"/>
                <w:color w:val="auto"/>
              </w:rPr>
              <w:t>87</w:t>
            </w:r>
          </w:p>
        </w:tc>
        <w:tc>
          <w:tcPr>
            <w:tcW w:w="36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42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38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87</w:t>
            </w:r>
          </w:p>
        </w:tc>
        <w:tc>
          <w:tcPr>
            <w:tcW w:w="0" w:type="dxa"/>
            <w:vAlign w:val="bottom"/>
          </w:tcPr>
          <w:p>
            <w:pPr>
              <w:spacing w:after="0"/>
              <w:rPr>
                <w:sz w:val="1"/>
                <w:szCs w:val="1"/>
                <w:color w:val="auto"/>
              </w:rPr>
            </w:pPr>
          </w:p>
        </w:tc>
      </w:tr>
      <w:tr>
        <w:trPr>
          <w:trHeight w:val="162"/>
        </w:trPr>
        <w:tc>
          <w:tcPr>
            <w:tcW w:w="5020" w:type="dxa"/>
            <w:vAlign w:val="bottom"/>
          </w:tcPr>
          <w:p>
            <w:pPr>
              <w:ind w:left="160"/>
              <w:spacing w:after="0"/>
              <w:rPr>
                <w:sz w:val="20"/>
                <w:szCs w:val="20"/>
                <w:color w:val="auto"/>
              </w:rPr>
            </w:pPr>
            <w:r>
              <w:rPr>
                <w:rFonts w:ascii="Arial" w:cs="Arial" w:eastAsia="Arial" w:hAnsi="Arial"/>
                <w:sz w:val="14"/>
                <w:szCs w:val="14"/>
                <w:color w:val="auto"/>
              </w:rPr>
              <w:t>Commodity contracts subject to rate recovery</w:t>
            </w:r>
          </w:p>
        </w:tc>
        <w:tc>
          <w:tcPr>
            <w:tcW w:w="460" w:type="dxa"/>
            <w:vAlign w:val="bottom"/>
          </w:tcPr>
          <w:p>
            <w:pPr>
              <w:spacing w:after="0"/>
              <w:rPr>
                <w:sz w:val="14"/>
                <w:szCs w:val="14"/>
                <w:color w:val="auto"/>
              </w:rPr>
            </w:pPr>
          </w:p>
        </w:tc>
        <w:tc>
          <w:tcPr>
            <w:tcW w:w="900" w:type="dxa"/>
            <w:vAlign w:val="bottom"/>
          </w:tcPr>
          <w:p>
            <w:pPr>
              <w:jc w:val="right"/>
              <w:ind w:right="88"/>
              <w:spacing w:after="0"/>
              <w:rPr>
                <w:sz w:val="20"/>
                <w:szCs w:val="20"/>
                <w:color w:val="auto"/>
              </w:rPr>
            </w:pPr>
            <w:r>
              <w:rPr>
                <w:rFonts w:ascii="Arial" w:cs="Arial" w:eastAsia="Arial" w:hAnsi="Arial"/>
                <w:sz w:val="14"/>
                <w:szCs w:val="14"/>
                <w:color w:val="auto"/>
              </w:rPr>
              <w:t>42</w:t>
            </w:r>
          </w:p>
        </w:tc>
        <w:tc>
          <w:tcPr>
            <w:tcW w:w="340" w:type="dxa"/>
            <w:vAlign w:val="bottom"/>
          </w:tcPr>
          <w:p>
            <w:pPr>
              <w:spacing w:after="0"/>
              <w:rPr>
                <w:sz w:val="14"/>
                <w:szCs w:val="14"/>
                <w:color w:val="auto"/>
              </w:rPr>
            </w:pPr>
          </w:p>
        </w:tc>
        <w:tc>
          <w:tcPr>
            <w:tcW w:w="900" w:type="dxa"/>
            <w:vAlign w:val="bottom"/>
          </w:tcPr>
          <w:p>
            <w:pPr>
              <w:jc w:val="right"/>
              <w:ind w:right="88"/>
              <w:spacing w:after="0"/>
              <w:rPr>
                <w:sz w:val="20"/>
                <w:szCs w:val="20"/>
                <w:color w:val="auto"/>
              </w:rPr>
            </w:pPr>
            <w:r>
              <w:rPr>
                <w:rFonts w:ascii="Arial" w:cs="Arial" w:eastAsia="Arial" w:hAnsi="Arial"/>
                <w:sz w:val="14"/>
                <w:szCs w:val="14"/>
                <w:color w:val="auto"/>
              </w:rPr>
              <w:t>4</w:t>
            </w:r>
          </w:p>
        </w:tc>
        <w:tc>
          <w:tcPr>
            <w:tcW w:w="360" w:type="dxa"/>
            <w:vAlign w:val="bottom"/>
          </w:tcPr>
          <w:p>
            <w:pPr>
              <w:spacing w:after="0"/>
              <w:rPr>
                <w:sz w:val="14"/>
                <w:szCs w:val="14"/>
                <w:color w:val="auto"/>
              </w:rPr>
            </w:pPr>
          </w:p>
        </w:tc>
        <w:tc>
          <w:tcPr>
            <w:tcW w:w="90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420" w:type="dxa"/>
            <w:vAlign w:val="bottom"/>
          </w:tcPr>
          <w:p>
            <w:pPr>
              <w:spacing w:after="0"/>
              <w:rPr>
                <w:sz w:val="14"/>
                <w:szCs w:val="14"/>
                <w:color w:val="auto"/>
              </w:rPr>
            </w:pPr>
          </w:p>
        </w:tc>
        <w:tc>
          <w:tcPr>
            <w:tcW w:w="1000" w:type="dxa"/>
            <w:vAlign w:val="bottom"/>
          </w:tcPr>
          <w:p>
            <w:pPr>
              <w:jc w:val="right"/>
              <w:ind w:right="68"/>
              <w:spacing w:after="0"/>
              <w:rPr>
                <w:sz w:val="20"/>
                <w:szCs w:val="20"/>
                <w:color w:val="auto"/>
              </w:rPr>
            </w:pPr>
            <w:r>
              <w:rPr>
                <w:rFonts w:ascii="Arial" w:cs="Arial" w:eastAsia="Arial" w:hAnsi="Arial"/>
                <w:sz w:val="14"/>
                <w:szCs w:val="14"/>
                <w:color w:val="auto"/>
              </w:rPr>
              <w:t>(42)</w:t>
            </w:r>
          </w:p>
        </w:tc>
        <w:tc>
          <w:tcPr>
            <w:tcW w:w="3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4</w:t>
            </w:r>
          </w:p>
        </w:tc>
        <w:tc>
          <w:tcPr>
            <w:tcW w:w="0" w:type="dxa"/>
            <w:vAlign w:val="bottom"/>
          </w:tcPr>
          <w:p>
            <w:pPr>
              <w:spacing w:after="0"/>
              <w:rPr>
                <w:sz w:val="1"/>
                <w:szCs w:val="1"/>
                <w:color w:val="auto"/>
              </w:rPr>
            </w:pPr>
          </w:p>
        </w:tc>
      </w:tr>
      <w:tr>
        <w:trPr>
          <w:trHeight w:val="164"/>
        </w:trPr>
        <w:tc>
          <w:tcPr>
            <w:tcW w:w="5020" w:type="dxa"/>
            <w:vAlign w:val="bottom"/>
          </w:tcPr>
          <w:p>
            <w:pPr>
              <w:ind w:left="160"/>
              <w:spacing w:after="0" w:line="137" w:lineRule="exact"/>
              <w:rPr>
                <w:sz w:val="20"/>
                <w:szCs w:val="20"/>
                <w:color w:val="auto"/>
              </w:rPr>
            </w:pPr>
            <w:r>
              <w:rPr>
                <w:rFonts w:ascii="Arial" w:cs="Arial" w:eastAsia="Arial" w:hAnsi="Arial"/>
                <w:sz w:val="14"/>
                <w:szCs w:val="14"/>
                <w:color w:val="auto"/>
              </w:rPr>
              <w:t>Commodity contracts not subject to rate recovery</w:t>
            </w:r>
          </w:p>
        </w:tc>
        <w:tc>
          <w:tcPr>
            <w:tcW w:w="4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88"/>
              <w:spacing w:after="0" w:line="137" w:lineRule="exact"/>
              <w:rPr>
                <w:sz w:val="20"/>
                <w:szCs w:val="20"/>
                <w:color w:val="auto"/>
              </w:rPr>
            </w:pPr>
            <w:r>
              <w:rPr>
                <w:rFonts w:ascii="Arial" w:cs="Arial" w:eastAsia="Arial" w:hAnsi="Arial"/>
                <w:sz w:val="14"/>
                <w:szCs w:val="14"/>
                <w:color w:val="auto"/>
              </w:rPr>
              <w:t>―</w:t>
            </w:r>
          </w:p>
        </w:tc>
        <w:tc>
          <w:tcPr>
            <w:tcW w:w="3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88"/>
              <w:spacing w:after="0" w:line="137" w:lineRule="exact"/>
              <w:rPr>
                <w:sz w:val="20"/>
                <w:szCs w:val="20"/>
                <w:color w:val="auto"/>
              </w:rPr>
            </w:pPr>
            <w:r>
              <w:rPr>
                <w:rFonts w:ascii="Arial" w:cs="Arial" w:eastAsia="Arial" w:hAnsi="Arial"/>
                <w:sz w:val="14"/>
                <w:szCs w:val="14"/>
                <w:color w:val="auto"/>
              </w:rPr>
              <w:t>51</w:t>
            </w:r>
          </w:p>
        </w:tc>
        <w:tc>
          <w:tcPr>
            <w:tcW w:w="3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88"/>
              <w:spacing w:after="0" w:line="137" w:lineRule="exact"/>
              <w:rPr>
                <w:sz w:val="20"/>
                <w:szCs w:val="20"/>
                <w:color w:val="auto"/>
              </w:rPr>
            </w:pPr>
            <w:r>
              <w:rPr>
                <w:rFonts w:ascii="Arial" w:cs="Arial" w:eastAsia="Arial" w:hAnsi="Arial"/>
                <w:sz w:val="14"/>
                <w:szCs w:val="14"/>
                <w:color w:val="auto"/>
              </w:rPr>
              <w:t>―</w:t>
            </w:r>
          </w:p>
        </w:tc>
        <w:tc>
          <w:tcPr>
            <w:tcW w:w="4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108"/>
              <w:spacing w:after="0" w:line="137" w:lineRule="exact"/>
              <w:rPr>
                <w:sz w:val="20"/>
                <w:szCs w:val="20"/>
                <w:color w:val="auto"/>
              </w:rPr>
            </w:pPr>
            <w:r>
              <w:rPr>
                <w:rFonts w:ascii="Arial" w:cs="Arial" w:eastAsia="Arial" w:hAnsi="Arial"/>
                <w:sz w:val="14"/>
                <w:szCs w:val="14"/>
                <w:color w:val="auto"/>
              </w:rPr>
              <w:t>―</w:t>
            </w:r>
          </w:p>
        </w:tc>
        <w:tc>
          <w:tcPr>
            <w:tcW w:w="3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spacing w:after="0" w:line="137" w:lineRule="exact"/>
              <w:rPr>
                <w:sz w:val="20"/>
                <w:szCs w:val="20"/>
                <w:color w:val="auto"/>
              </w:rPr>
            </w:pPr>
            <w:r>
              <w:rPr>
                <w:rFonts w:ascii="Arial" w:cs="Arial" w:eastAsia="Arial" w:hAnsi="Arial"/>
                <w:sz w:val="14"/>
                <w:szCs w:val="14"/>
                <w:color w:val="auto"/>
              </w:rPr>
              <w:t>51</w:t>
            </w:r>
          </w:p>
        </w:tc>
        <w:tc>
          <w:tcPr>
            <w:tcW w:w="0" w:type="dxa"/>
            <w:vAlign w:val="bottom"/>
          </w:tcPr>
          <w:p>
            <w:pPr>
              <w:spacing w:after="0"/>
              <w:rPr>
                <w:sz w:val="1"/>
                <w:szCs w:val="1"/>
                <w:color w:val="auto"/>
              </w:rPr>
            </w:pPr>
          </w:p>
        </w:tc>
      </w:tr>
      <w:tr>
        <w:trPr>
          <w:trHeight w:val="169"/>
        </w:trPr>
        <w:tc>
          <w:tcPr>
            <w:tcW w:w="502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Total</w:t>
            </w:r>
          </w:p>
        </w:tc>
        <w:tc>
          <w:tcPr>
            <w:tcW w:w="4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42</w:t>
            </w:r>
          </w:p>
        </w:tc>
        <w:tc>
          <w:tcPr>
            <w:tcW w:w="3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142</w:t>
            </w:r>
          </w:p>
        </w:tc>
        <w:tc>
          <w:tcPr>
            <w:tcW w:w="3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42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(42)</w:t>
            </w:r>
          </w:p>
        </w:tc>
        <w:tc>
          <w:tcPr>
            <w:tcW w:w="38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142</w:t>
            </w:r>
          </w:p>
        </w:tc>
        <w:tc>
          <w:tcPr>
            <w:tcW w:w="0" w:type="dxa"/>
            <w:vAlign w:val="bottom"/>
          </w:tcPr>
          <w:p>
            <w:pPr>
              <w:spacing w:after="0"/>
              <w:rPr>
                <w:sz w:val="1"/>
                <w:szCs w:val="1"/>
                <w:color w:val="auto"/>
              </w:rPr>
            </w:pPr>
          </w:p>
        </w:tc>
      </w:tr>
      <w:tr>
        <w:trPr>
          <w:trHeight w:val="345"/>
        </w:trPr>
        <w:tc>
          <w:tcPr>
            <w:tcW w:w="5020" w:type="dxa"/>
            <w:vAlign w:val="bottom"/>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3580" w:type="dxa"/>
            <w:vAlign w:val="bottom"/>
            <w:tcBorders>
              <w:bottom w:val="single" w:sz="8" w:color="auto"/>
            </w:tcBorders>
            <w:gridSpan w:val="5"/>
          </w:tcPr>
          <w:p>
            <w:pPr>
              <w:jc w:val="right"/>
              <w:ind w:right="808"/>
              <w:spacing w:after="0"/>
              <w:rPr>
                <w:sz w:val="20"/>
                <w:szCs w:val="20"/>
                <w:color w:val="auto"/>
              </w:rPr>
            </w:pPr>
            <w:r>
              <w:rPr>
                <w:rFonts w:ascii="Arial" w:cs="Arial" w:eastAsia="Arial" w:hAnsi="Arial"/>
                <w:sz w:val="14"/>
                <w:szCs w:val="14"/>
                <w:color w:val="auto"/>
              </w:rPr>
              <w:t>At fair value as of December 31, 2010</w:t>
            </w:r>
          </w:p>
        </w:tc>
        <w:tc>
          <w:tcPr>
            <w:tcW w:w="38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7"/>
        </w:trPr>
        <w:tc>
          <w:tcPr>
            <w:tcW w:w="50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0" w:type="dxa"/>
            <w:vAlign w:val="bottom"/>
          </w:tcPr>
          <w:p>
            <w:pPr>
              <w:jc w:val="center"/>
              <w:ind w:right="248"/>
              <w:spacing w:after="0"/>
              <w:rPr>
                <w:sz w:val="20"/>
                <w:szCs w:val="20"/>
                <w:color w:val="auto"/>
              </w:rPr>
            </w:pPr>
            <w:r>
              <w:rPr>
                <w:rFonts w:ascii="Arial" w:cs="Arial" w:eastAsia="Arial" w:hAnsi="Arial"/>
                <w:sz w:val="14"/>
                <w:szCs w:val="14"/>
                <w:color w:val="auto"/>
              </w:rPr>
              <w:t>Collateral</w:t>
            </w:r>
          </w:p>
        </w:tc>
        <w:tc>
          <w:tcPr>
            <w:tcW w:w="3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5020" w:type="dxa"/>
            <w:vAlign w:val="bottom"/>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248"/>
              <w:spacing w:after="0" w:line="157" w:lineRule="exact"/>
              <w:rPr>
                <w:sz w:val="20"/>
                <w:szCs w:val="20"/>
                <w:color w:val="auto"/>
              </w:rPr>
            </w:pPr>
            <w:r>
              <w:rPr>
                <w:rFonts w:ascii="Arial" w:cs="Arial" w:eastAsia="Arial" w:hAnsi="Arial"/>
                <w:sz w:val="14"/>
                <w:szCs w:val="14"/>
                <w:color w:val="auto"/>
              </w:rPr>
              <w:t>Level 1</w:t>
            </w:r>
          </w:p>
        </w:tc>
        <w:tc>
          <w:tcPr>
            <w:tcW w:w="3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248"/>
              <w:spacing w:after="0" w:line="157" w:lineRule="exact"/>
              <w:rPr>
                <w:sz w:val="20"/>
                <w:szCs w:val="20"/>
                <w:color w:val="auto"/>
              </w:rPr>
            </w:pPr>
            <w:r>
              <w:rPr>
                <w:rFonts w:ascii="Arial" w:cs="Arial" w:eastAsia="Arial" w:hAnsi="Arial"/>
                <w:sz w:val="14"/>
                <w:szCs w:val="14"/>
                <w:color w:val="auto"/>
              </w:rPr>
              <w:t>Level 2</w:t>
            </w:r>
          </w:p>
        </w:tc>
        <w:tc>
          <w:tcPr>
            <w:tcW w:w="3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268"/>
              <w:spacing w:after="0" w:line="157" w:lineRule="exact"/>
              <w:rPr>
                <w:sz w:val="20"/>
                <w:szCs w:val="20"/>
                <w:color w:val="auto"/>
              </w:rPr>
            </w:pPr>
            <w:r>
              <w:rPr>
                <w:rFonts w:ascii="Arial" w:cs="Arial" w:eastAsia="Arial" w:hAnsi="Arial"/>
                <w:sz w:val="14"/>
                <w:szCs w:val="14"/>
                <w:color w:val="auto"/>
              </w:rPr>
              <w:t>Level 3</w:t>
            </w:r>
          </w:p>
        </w:tc>
        <w:tc>
          <w:tcPr>
            <w:tcW w:w="4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center"/>
              <w:ind w:right="248"/>
              <w:spacing w:after="0" w:line="157" w:lineRule="exact"/>
              <w:rPr>
                <w:sz w:val="20"/>
                <w:szCs w:val="20"/>
                <w:color w:val="auto"/>
              </w:rPr>
            </w:pPr>
            <w:r>
              <w:rPr>
                <w:rFonts w:ascii="Arial" w:cs="Arial" w:eastAsia="Arial" w:hAnsi="Arial"/>
                <w:sz w:val="14"/>
                <w:szCs w:val="14"/>
                <w:color w:val="auto"/>
              </w:rPr>
              <w:t>netted</w:t>
            </w:r>
          </w:p>
        </w:tc>
        <w:tc>
          <w:tcPr>
            <w:tcW w:w="3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228"/>
              <w:spacing w:after="0" w:line="157" w:lineRule="exact"/>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167"/>
        </w:trPr>
        <w:tc>
          <w:tcPr>
            <w:tcW w:w="5020" w:type="dxa"/>
            <w:vAlign w:val="bottom"/>
          </w:tcPr>
          <w:p>
            <w:pPr>
              <w:spacing w:after="0"/>
              <w:rPr>
                <w:sz w:val="20"/>
                <w:szCs w:val="20"/>
                <w:color w:val="auto"/>
              </w:rPr>
            </w:pPr>
            <w:r>
              <w:rPr>
                <w:rFonts w:ascii="Arial" w:cs="Arial" w:eastAsia="Arial" w:hAnsi="Arial"/>
                <w:sz w:val="14"/>
                <w:szCs w:val="14"/>
                <w:color w:val="auto"/>
              </w:rPr>
              <w:t>Assets:</w:t>
            </w:r>
          </w:p>
        </w:tc>
        <w:tc>
          <w:tcPr>
            <w:tcW w:w="4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5020" w:type="dxa"/>
            <w:vAlign w:val="bottom"/>
          </w:tcPr>
          <w:p>
            <w:pPr>
              <w:ind w:left="160"/>
              <w:spacing w:after="0"/>
              <w:rPr>
                <w:sz w:val="20"/>
                <w:szCs w:val="20"/>
                <w:color w:val="auto"/>
              </w:rPr>
            </w:pPr>
            <w:r>
              <w:rPr>
                <w:rFonts w:ascii="Arial" w:cs="Arial" w:eastAsia="Arial" w:hAnsi="Arial"/>
                <w:sz w:val="14"/>
                <w:szCs w:val="14"/>
                <w:color w:val="auto"/>
              </w:rPr>
              <w:t>Nuclear decommissioning trusts</w:t>
            </w:r>
          </w:p>
        </w:tc>
        <w:tc>
          <w:tcPr>
            <w:tcW w:w="460" w:type="dxa"/>
            <w:vAlign w:val="bottom"/>
            <w:vMerge w:val="restart"/>
          </w:tcPr>
          <w:p>
            <w:pPr>
              <w:jc w:val="right"/>
              <w:ind w:right="28"/>
              <w:spacing w:after="0"/>
              <w:rPr>
                <w:sz w:val="20"/>
                <w:szCs w:val="20"/>
                <w:color w:val="auto"/>
              </w:rPr>
            </w:pPr>
            <w:r>
              <w:rPr>
                <w:rFonts w:ascii="Arial" w:cs="Arial" w:eastAsia="Arial" w:hAnsi="Arial"/>
                <w:sz w:val="14"/>
                <w:szCs w:val="14"/>
                <w:color w:val="auto"/>
              </w:rPr>
              <w:t>$</w:t>
            </w:r>
          </w:p>
        </w:tc>
        <w:tc>
          <w:tcPr>
            <w:tcW w:w="900" w:type="dxa"/>
            <w:vAlign w:val="bottom"/>
            <w:vMerge w:val="restart"/>
          </w:tcPr>
          <w:p>
            <w:pPr>
              <w:jc w:val="right"/>
              <w:ind w:right="88"/>
              <w:spacing w:after="0"/>
              <w:rPr>
                <w:sz w:val="20"/>
                <w:szCs w:val="20"/>
                <w:color w:val="auto"/>
              </w:rPr>
            </w:pPr>
            <w:r>
              <w:rPr>
                <w:rFonts w:ascii="Arial" w:cs="Arial" w:eastAsia="Arial" w:hAnsi="Arial"/>
                <w:sz w:val="14"/>
                <w:szCs w:val="14"/>
                <w:color w:val="auto"/>
              </w:rPr>
              <w:t>460</w:t>
            </w:r>
          </w:p>
        </w:tc>
        <w:tc>
          <w:tcPr>
            <w:tcW w:w="340" w:type="dxa"/>
            <w:vAlign w:val="bottom"/>
            <w:vMerge w:val="restart"/>
          </w:tcPr>
          <w:p>
            <w:pPr>
              <w:jc w:val="right"/>
              <w:ind w:right="28"/>
              <w:spacing w:after="0"/>
              <w:rPr>
                <w:sz w:val="20"/>
                <w:szCs w:val="20"/>
                <w:color w:val="auto"/>
              </w:rPr>
            </w:pPr>
            <w:r>
              <w:rPr>
                <w:rFonts w:ascii="Arial" w:cs="Arial" w:eastAsia="Arial" w:hAnsi="Arial"/>
                <w:sz w:val="14"/>
                <w:szCs w:val="14"/>
                <w:color w:val="auto"/>
              </w:rPr>
              <w:t>$</w:t>
            </w:r>
          </w:p>
        </w:tc>
        <w:tc>
          <w:tcPr>
            <w:tcW w:w="900" w:type="dxa"/>
            <w:vAlign w:val="bottom"/>
            <w:vMerge w:val="restart"/>
          </w:tcPr>
          <w:p>
            <w:pPr>
              <w:jc w:val="right"/>
              <w:ind w:right="88"/>
              <w:spacing w:after="0"/>
              <w:rPr>
                <w:sz w:val="20"/>
                <w:szCs w:val="20"/>
                <w:color w:val="auto"/>
              </w:rPr>
            </w:pPr>
            <w:r>
              <w:rPr>
                <w:rFonts w:ascii="Arial" w:cs="Arial" w:eastAsia="Arial" w:hAnsi="Arial"/>
                <w:sz w:val="14"/>
                <w:szCs w:val="14"/>
                <w:color w:val="auto"/>
              </w:rPr>
              <w:t>―</w:t>
            </w:r>
          </w:p>
        </w:tc>
        <w:tc>
          <w:tcPr>
            <w:tcW w:w="360" w:type="dxa"/>
            <w:vAlign w:val="bottom"/>
            <w:vMerge w:val="restart"/>
          </w:tcPr>
          <w:p>
            <w:pPr>
              <w:jc w:val="right"/>
              <w:ind w:right="48"/>
              <w:spacing w:after="0"/>
              <w:rPr>
                <w:sz w:val="20"/>
                <w:szCs w:val="20"/>
                <w:color w:val="auto"/>
              </w:rPr>
            </w:pPr>
            <w:r>
              <w:rPr>
                <w:rFonts w:ascii="Arial" w:cs="Arial" w:eastAsia="Arial" w:hAnsi="Arial"/>
                <w:sz w:val="14"/>
                <w:szCs w:val="14"/>
                <w:color w:val="auto"/>
              </w:rPr>
              <w:t>$</w:t>
            </w:r>
          </w:p>
        </w:tc>
        <w:tc>
          <w:tcPr>
            <w:tcW w:w="900" w:type="dxa"/>
            <w:vAlign w:val="bottom"/>
            <w:vMerge w:val="restart"/>
          </w:tcPr>
          <w:p>
            <w:pPr>
              <w:jc w:val="right"/>
              <w:ind w:right="88"/>
              <w:spacing w:after="0"/>
              <w:rPr>
                <w:sz w:val="20"/>
                <w:szCs w:val="20"/>
                <w:color w:val="auto"/>
              </w:rPr>
            </w:pPr>
            <w:r>
              <w:rPr>
                <w:rFonts w:ascii="Arial" w:cs="Arial" w:eastAsia="Arial" w:hAnsi="Arial"/>
                <w:sz w:val="14"/>
                <w:szCs w:val="14"/>
                <w:color w:val="auto"/>
              </w:rPr>
              <w:t>―</w:t>
            </w:r>
          </w:p>
        </w:tc>
        <w:tc>
          <w:tcPr>
            <w:tcW w:w="420" w:type="dxa"/>
            <w:vAlign w:val="bottom"/>
            <w:vMerge w:val="restart"/>
          </w:tcPr>
          <w:p>
            <w:pPr>
              <w:jc w:val="right"/>
              <w:ind w:right="88"/>
              <w:spacing w:after="0"/>
              <w:rPr>
                <w:sz w:val="20"/>
                <w:szCs w:val="20"/>
                <w:color w:val="auto"/>
              </w:rPr>
            </w:pPr>
            <w:r>
              <w:rPr>
                <w:rFonts w:ascii="Arial" w:cs="Arial" w:eastAsia="Arial" w:hAnsi="Arial"/>
                <w:sz w:val="14"/>
                <w:szCs w:val="14"/>
                <w:color w:val="auto"/>
              </w:rPr>
              <w:t>$</w:t>
            </w:r>
          </w:p>
        </w:tc>
        <w:tc>
          <w:tcPr>
            <w:tcW w:w="1000" w:type="dxa"/>
            <w:vAlign w:val="bottom"/>
            <w:vMerge w:val="restart"/>
          </w:tcPr>
          <w:p>
            <w:pPr>
              <w:jc w:val="right"/>
              <w:ind w:right="108"/>
              <w:spacing w:after="0"/>
              <w:rPr>
                <w:sz w:val="20"/>
                <w:szCs w:val="20"/>
                <w:color w:val="auto"/>
              </w:rPr>
            </w:pPr>
            <w:r>
              <w:rPr>
                <w:rFonts w:ascii="Arial" w:cs="Arial" w:eastAsia="Arial" w:hAnsi="Arial"/>
                <w:sz w:val="14"/>
                <w:szCs w:val="14"/>
                <w:color w:val="auto"/>
              </w:rPr>
              <w:t>―</w:t>
            </w:r>
          </w:p>
        </w:tc>
        <w:tc>
          <w:tcPr>
            <w:tcW w:w="380" w:type="dxa"/>
            <w:vAlign w:val="bottom"/>
            <w:vMerge w:val="restart"/>
          </w:tcPr>
          <w:p>
            <w:pPr>
              <w:jc w:val="right"/>
              <w:ind w:right="88"/>
              <w:spacing w:after="0"/>
              <w:rPr>
                <w:sz w:val="20"/>
                <w:szCs w:val="20"/>
                <w:color w:val="auto"/>
              </w:rPr>
            </w:pPr>
            <w:r>
              <w:rPr>
                <w:rFonts w:ascii="Arial" w:cs="Arial" w:eastAsia="Arial" w:hAnsi="Arial"/>
                <w:sz w:val="14"/>
                <w:szCs w:val="14"/>
                <w:color w:val="auto"/>
              </w:rPr>
              <w:t>$</w:t>
            </w:r>
          </w:p>
        </w:tc>
        <w:tc>
          <w:tcPr>
            <w:tcW w:w="740" w:type="dxa"/>
            <w:vAlign w:val="bottom"/>
            <w:vMerge w:val="restart"/>
          </w:tcPr>
          <w:p>
            <w:pPr>
              <w:jc w:val="right"/>
              <w:spacing w:after="0"/>
              <w:rPr>
                <w:sz w:val="20"/>
                <w:szCs w:val="20"/>
                <w:color w:val="auto"/>
              </w:rPr>
            </w:pPr>
            <w:r>
              <w:rPr>
                <w:rFonts w:ascii="Arial" w:cs="Arial" w:eastAsia="Arial" w:hAnsi="Arial"/>
                <w:sz w:val="14"/>
                <w:szCs w:val="14"/>
                <w:color w:val="auto"/>
              </w:rPr>
              <w:t>460</w:t>
            </w:r>
          </w:p>
        </w:tc>
        <w:tc>
          <w:tcPr>
            <w:tcW w:w="0" w:type="dxa"/>
            <w:vAlign w:val="bottom"/>
          </w:tcPr>
          <w:p>
            <w:pPr>
              <w:spacing w:after="0"/>
              <w:rPr>
                <w:sz w:val="1"/>
                <w:szCs w:val="1"/>
                <w:color w:val="auto"/>
              </w:rPr>
            </w:pPr>
          </w:p>
        </w:tc>
      </w:tr>
      <w:tr>
        <w:trPr>
          <w:trHeight w:val="159"/>
        </w:trPr>
        <w:tc>
          <w:tcPr>
            <w:tcW w:w="5020" w:type="dxa"/>
            <w:vAlign w:val="bottom"/>
          </w:tcPr>
          <w:p>
            <w:pPr>
              <w:ind w:left="400"/>
              <w:spacing w:after="0" w:line="127" w:lineRule="exact"/>
              <w:rPr>
                <w:sz w:val="20"/>
                <w:szCs w:val="20"/>
                <w:color w:val="auto"/>
              </w:rPr>
            </w:pPr>
            <w:r>
              <w:rPr>
                <w:rFonts w:ascii="Arial" w:cs="Arial" w:eastAsia="Arial" w:hAnsi="Arial"/>
                <w:sz w:val="14"/>
                <w:szCs w:val="14"/>
                <w:color w:val="auto"/>
              </w:rPr>
              <w:t>Equity securities</w:t>
            </w:r>
          </w:p>
        </w:tc>
        <w:tc>
          <w:tcPr>
            <w:tcW w:w="460" w:type="dxa"/>
            <w:vAlign w:val="bottom"/>
            <w:tcBorders>
              <w:bottom w:val="single" w:sz="8" w:color="auto"/>
            </w:tcBorders>
            <w:vMerge w:val="continue"/>
          </w:tcPr>
          <w:p>
            <w:pPr>
              <w:spacing w:after="0"/>
              <w:rPr>
                <w:sz w:val="13"/>
                <w:szCs w:val="13"/>
                <w:color w:val="auto"/>
              </w:rPr>
            </w:pPr>
          </w:p>
        </w:tc>
        <w:tc>
          <w:tcPr>
            <w:tcW w:w="900" w:type="dxa"/>
            <w:vAlign w:val="bottom"/>
            <w:tcBorders>
              <w:bottom w:val="single" w:sz="8" w:color="auto"/>
            </w:tcBorders>
            <w:vMerge w:val="continue"/>
          </w:tcPr>
          <w:p>
            <w:pPr>
              <w:spacing w:after="0"/>
              <w:rPr>
                <w:sz w:val="13"/>
                <w:szCs w:val="13"/>
                <w:color w:val="auto"/>
              </w:rPr>
            </w:pPr>
          </w:p>
        </w:tc>
        <w:tc>
          <w:tcPr>
            <w:tcW w:w="340" w:type="dxa"/>
            <w:vAlign w:val="bottom"/>
            <w:tcBorders>
              <w:bottom w:val="single" w:sz="8" w:color="auto"/>
            </w:tcBorders>
            <w:vMerge w:val="continue"/>
          </w:tcPr>
          <w:p>
            <w:pPr>
              <w:spacing w:after="0"/>
              <w:rPr>
                <w:sz w:val="13"/>
                <w:szCs w:val="13"/>
                <w:color w:val="auto"/>
              </w:rPr>
            </w:pPr>
          </w:p>
        </w:tc>
        <w:tc>
          <w:tcPr>
            <w:tcW w:w="900" w:type="dxa"/>
            <w:vAlign w:val="bottom"/>
            <w:tcBorders>
              <w:bottom w:val="single" w:sz="8" w:color="auto"/>
            </w:tcBorders>
            <w:vMerge w:val="continue"/>
          </w:tcPr>
          <w:p>
            <w:pPr>
              <w:spacing w:after="0"/>
              <w:rPr>
                <w:sz w:val="13"/>
                <w:szCs w:val="13"/>
                <w:color w:val="auto"/>
              </w:rPr>
            </w:pPr>
          </w:p>
        </w:tc>
        <w:tc>
          <w:tcPr>
            <w:tcW w:w="360" w:type="dxa"/>
            <w:vAlign w:val="bottom"/>
            <w:tcBorders>
              <w:bottom w:val="single" w:sz="8" w:color="auto"/>
            </w:tcBorders>
            <w:vMerge w:val="continue"/>
          </w:tcPr>
          <w:p>
            <w:pPr>
              <w:spacing w:after="0"/>
              <w:rPr>
                <w:sz w:val="13"/>
                <w:szCs w:val="13"/>
                <w:color w:val="auto"/>
              </w:rPr>
            </w:pPr>
          </w:p>
        </w:tc>
        <w:tc>
          <w:tcPr>
            <w:tcW w:w="900" w:type="dxa"/>
            <w:vAlign w:val="bottom"/>
            <w:tcBorders>
              <w:bottom w:val="single" w:sz="8" w:color="auto"/>
            </w:tcBorders>
            <w:vMerge w:val="continue"/>
          </w:tcPr>
          <w:p>
            <w:pPr>
              <w:spacing w:after="0"/>
              <w:rPr>
                <w:sz w:val="13"/>
                <w:szCs w:val="13"/>
                <w:color w:val="auto"/>
              </w:rPr>
            </w:pPr>
          </w:p>
        </w:tc>
        <w:tc>
          <w:tcPr>
            <w:tcW w:w="420" w:type="dxa"/>
            <w:vAlign w:val="bottom"/>
            <w:tcBorders>
              <w:bottom w:val="single" w:sz="8" w:color="auto"/>
            </w:tcBorders>
            <w:vMerge w:val="continue"/>
          </w:tcPr>
          <w:p>
            <w:pPr>
              <w:spacing w:after="0"/>
              <w:rPr>
                <w:sz w:val="13"/>
                <w:szCs w:val="13"/>
                <w:color w:val="auto"/>
              </w:rPr>
            </w:pPr>
          </w:p>
        </w:tc>
        <w:tc>
          <w:tcPr>
            <w:tcW w:w="1000" w:type="dxa"/>
            <w:vAlign w:val="bottom"/>
            <w:tcBorders>
              <w:bottom w:val="single" w:sz="8" w:color="auto"/>
            </w:tcBorders>
            <w:vMerge w:val="continue"/>
          </w:tcPr>
          <w:p>
            <w:pPr>
              <w:spacing w:after="0"/>
              <w:rPr>
                <w:sz w:val="13"/>
                <w:szCs w:val="13"/>
                <w:color w:val="auto"/>
              </w:rPr>
            </w:pPr>
          </w:p>
        </w:tc>
        <w:tc>
          <w:tcPr>
            <w:tcW w:w="380" w:type="dxa"/>
            <w:vAlign w:val="bottom"/>
            <w:tcBorders>
              <w:bottom w:val="single" w:sz="8" w:color="auto"/>
            </w:tcBorders>
            <w:vMerge w:val="continue"/>
          </w:tcPr>
          <w:p>
            <w:pPr>
              <w:spacing w:after="0"/>
              <w:rPr>
                <w:sz w:val="13"/>
                <w:szCs w:val="13"/>
                <w:color w:val="auto"/>
              </w:rPr>
            </w:pPr>
          </w:p>
        </w:tc>
        <w:tc>
          <w:tcPr>
            <w:tcW w:w="740" w:type="dxa"/>
            <w:vAlign w:val="bottom"/>
            <w:tcBorders>
              <w:bottom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67"/>
        </w:trPr>
        <w:tc>
          <w:tcPr>
            <w:tcW w:w="5020" w:type="dxa"/>
            <w:vAlign w:val="bottom"/>
          </w:tcPr>
          <w:p>
            <w:pPr>
              <w:ind w:left="400"/>
              <w:spacing w:after="0"/>
              <w:rPr>
                <w:sz w:val="20"/>
                <w:szCs w:val="20"/>
                <w:color w:val="auto"/>
              </w:rPr>
            </w:pPr>
            <w:r>
              <w:rPr>
                <w:rFonts w:ascii="Arial" w:cs="Arial" w:eastAsia="Arial" w:hAnsi="Arial"/>
                <w:sz w:val="14"/>
                <w:szCs w:val="14"/>
                <w:color w:val="auto"/>
              </w:rPr>
              <w:t>Debt securities:</w:t>
            </w:r>
          </w:p>
        </w:tc>
        <w:tc>
          <w:tcPr>
            <w:tcW w:w="4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020" w:type="dxa"/>
            <w:vAlign w:val="bottom"/>
          </w:tcPr>
          <w:p>
            <w:pPr>
              <w:ind w:left="560"/>
              <w:spacing w:after="0"/>
              <w:rPr>
                <w:sz w:val="20"/>
                <w:szCs w:val="20"/>
                <w:color w:val="auto"/>
              </w:rPr>
            </w:pPr>
            <w:r>
              <w:rPr>
                <w:rFonts w:ascii="Arial" w:cs="Arial" w:eastAsia="Arial" w:hAnsi="Arial"/>
                <w:sz w:val="14"/>
                <w:szCs w:val="14"/>
                <w:color w:val="auto"/>
              </w:rPr>
              <w:t>Debt securities issued by the U.S. Treasury and other</w:t>
            </w:r>
          </w:p>
        </w:tc>
        <w:tc>
          <w:tcPr>
            <w:tcW w:w="4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020" w:type="dxa"/>
            <w:vAlign w:val="bottom"/>
          </w:tcPr>
          <w:p>
            <w:pPr>
              <w:ind w:left="760"/>
              <w:spacing w:after="0"/>
              <w:rPr>
                <w:sz w:val="20"/>
                <w:szCs w:val="20"/>
                <w:color w:val="auto"/>
              </w:rPr>
            </w:pPr>
            <w:r>
              <w:rPr>
                <w:rFonts w:ascii="Arial" w:cs="Arial" w:eastAsia="Arial" w:hAnsi="Arial"/>
                <w:sz w:val="14"/>
                <w:szCs w:val="14"/>
                <w:color w:val="auto"/>
              </w:rPr>
              <w:t>U.S. government corporations and agencies</w:t>
            </w:r>
          </w:p>
        </w:tc>
        <w:tc>
          <w:tcPr>
            <w:tcW w:w="460" w:type="dxa"/>
            <w:vAlign w:val="bottom"/>
          </w:tcPr>
          <w:p>
            <w:pPr>
              <w:spacing w:after="0"/>
              <w:rPr>
                <w:sz w:val="14"/>
                <w:szCs w:val="14"/>
                <w:color w:val="auto"/>
              </w:rPr>
            </w:pPr>
          </w:p>
        </w:tc>
        <w:tc>
          <w:tcPr>
            <w:tcW w:w="900" w:type="dxa"/>
            <w:vAlign w:val="bottom"/>
          </w:tcPr>
          <w:p>
            <w:pPr>
              <w:jc w:val="right"/>
              <w:ind w:right="88"/>
              <w:spacing w:after="0"/>
              <w:rPr>
                <w:sz w:val="20"/>
                <w:szCs w:val="20"/>
                <w:color w:val="auto"/>
              </w:rPr>
            </w:pPr>
            <w:r>
              <w:rPr>
                <w:rFonts w:ascii="Arial" w:cs="Arial" w:eastAsia="Arial" w:hAnsi="Arial"/>
                <w:sz w:val="14"/>
                <w:szCs w:val="14"/>
                <w:color w:val="auto"/>
              </w:rPr>
              <w:t>144</w:t>
            </w:r>
          </w:p>
        </w:tc>
        <w:tc>
          <w:tcPr>
            <w:tcW w:w="340" w:type="dxa"/>
            <w:vAlign w:val="bottom"/>
          </w:tcPr>
          <w:p>
            <w:pPr>
              <w:spacing w:after="0"/>
              <w:rPr>
                <w:sz w:val="14"/>
                <w:szCs w:val="14"/>
                <w:color w:val="auto"/>
              </w:rPr>
            </w:pPr>
          </w:p>
        </w:tc>
        <w:tc>
          <w:tcPr>
            <w:tcW w:w="900" w:type="dxa"/>
            <w:vAlign w:val="bottom"/>
          </w:tcPr>
          <w:p>
            <w:pPr>
              <w:jc w:val="right"/>
              <w:ind w:right="88"/>
              <w:spacing w:after="0"/>
              <w:rPr>
                <w:sz w:val="20"/>
                <w:szCs w:val="20"/>
                <w:color w:val="auto"/>
              </w:rPr>
            </w:pPr>
            <w:r>
              <w:rPr>
                <w:rFonts w:ascii="Arial" w:cs="Arial" w:eastAsia="Arial" w:hAnsi="Arial"/>
                <w:sz w:val="14"/>
                <w:szCs w:val="14"/>
                <w:color w:val="auto"/>
              </w:rPr>
              <w:t>30</w:t>
            </w:r>
          </w:p>
        </w:tc>
        <w:tc>
          <w:tcPr>
            <w:tcW w:w="360" w:type="dxa"/>
            <w:vAlign w:val="bottom"/>
          </w:tcPr>
          <w:p>
            <w:pPr>
              <w:spacing w:after="0"/>
              <w:rPr>
                <w:sz w:val="14"/>
                <w:szCs w:val="14"/>
                <w:color w:val="auto"/>
              </w:rPr>
            </w:pPr>
          </w:p>
        </w:tc>
        <w:tc>
          <w:tcPr>
            <w:tcW w:w="90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420" w:type="dxa"/>
            <w:vAlign w:val="bottom"/>
          </w:tcPr>
          <w:p>
            <w:pPr>
              <w:spacing w:after="0"/>
              <w:rPr>
                <w:sz w:val="14"/>
                <w:szCs w:val="14"/>
                <w:color w:val="auto"/>
              </w:rPr>
            </w:pPr>
          </w:p>
        </w:tc>
        <w:tc>
          <w:tcPr>
            <w:tcW w:w="100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174</w:t>
            </w:r>
          </w:p>
        </w:tc>
        <w:tc>
          <w:tcPr>
            <w:tcW w:w="0" w:type="dxa"/>
            <w:vAlign w:val="bottom"/>
          </w:tcPr>
          <w:p>
            <w:pPr>
              <w:spacing w:after="0"/>
              <w:rPr>
                <w:sz w:val="1"/>
                <w:szCs w:val="1"/>
                <w:color w:val="auto"/>
              </w:rPr>
            </w:pPr>
          </w:p>
        </w:tc>
      </w:tr>
      <w:tr>
        <w:trPr>
          <w:trHeight w:val="162"/>
        </w:trPr>
        <w:tc>
          <w:tcPr>
            <w:tcW w:w="5020" w:type="dxa"/>
            <w:vAlign w:val="bottom"/>
          </w:tcPr>
          <w:p>
            <w:pPr>
              <w:ind w:left="560"/>
              <w:spacing w:after="0"/>
              <w:rPr>
                <w:sz w:val="20"/>
                <w:szCs w:val="20"/>
                <w:color w:val="auto"/>
              </w:rPr>
            </w:pPr>
            <w:r>
              <w:rPr>
                <w:rFonts w:ascii="Arial" w:cs="Arial" w:eastAsia="Arial" w:hAnsi="Arial"/>
                <w:sz w:val="14"/>
                <w:szCs w:val="14"/>
                <w:color w:val="auto"/>
              </w:rPr>
              <w:t>Municipal bonds</w:t>
            </w:r>
          </w:p>
        </w:tc>
        <w:tc>
          <w:tcPr>
            <w:tcW w:w="460" w:type="dxa"/>
            <w:vAlign w:val="bottom"/>
          </w:tcPr>
          <w:p>
            <w:pPr>
              <w:spacing w:after="0"/>
              <w:rPr>
                <w:sz w:val="14"/>
                <w:szCs w:val="14"/>
                <w:color w:val="auto"/>
              </w:rPr>
            </w:pPr>
          </w:p>
        </w:tc>
        <w:tc>
          <w:tcPr>
            <w:tcW w:w="90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4"/>
                <w:szCs w:val="14"/>
                <w:color w:val="auto"/>
              </w:rPr>
            </w:pPr>
          </w:p>
        </w:tc>
        <w:tc>
          <w:tcPr>
            <w:tcW w:w="900" w:type="dxa"/>
            <w:vAlign w:val="bottom"/>
          </w:tcPr>
          <w:p>
            <w:pPr>
              <w:jc w:val="right"/>
              <w:ind w:right="88"/>
              <w:spacing w:after="0"/>
              <w:rPr>
                <w:sz w:val="20"/>
                <w:szCs w:val="20"/>
                <w:color w:val="auto"/>
              </w:rPr>
            </w:pPr>
            <w:r>
              <w:rPr>
                <w:rFonts w:ascii="Arial" w:cs="Arial" w:eastAsia="Arial" w:hAnsi="Arial"/>
                <w:sz w:val="14"/>
                <w:szCs w:val="14"/>
                <w:color w:val="auto"/>
              </w:rPr>
              <w:t>100</w:t>
            </w:r>
          </w:p>
        </w:tc>
        <w:tc>
          <w:tcPr>
            <w:tcW w:w="360" w:type="dxa"/>
            <w:vAlign w:val="bottom"/>
          </w:tcPr>
          <w:p>
            <w:pPr>
              <w:spacing w:after="0"/>
              <w:rPr>
                <w:sz w:val="14"/>
                <w:szCs w:val="14"/>
                <w:color w:val="auto"/>
              </w:rPr>
            </w:pPr>
          </w:p>
        </w:tc>
        <w:tc>
          <w:tcPr>
            <w:tcW w:w="90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420" w:type="dxa"/>
            <w:vAlign w:val="bottom"/>
          </w:tcPr>
          <w:p>
            <w:pPr>
              <w:spacing w:after="0"/>
              <w:rPr>
                <w:sz w:val="14"/>
                <w:szCs w:val="14"/>
                <w:color w:val="auto"/>
              </w:rPr>
            </w:pPr>
          </w:p>
        </w:tc>
        <w:tc>
          <w:tcPr>
            <w:tcW w:w="100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100</w:t>
            </w:r>
          </w:p>
        </w:tc>
        <w:tc>
          <w:tcPr>
            <w:tcW w:w="0" w:type="dxa"/>
            <w:vAlign w:val="bottom"/>
          </w:tcPr>
          <w:p>
            <w:pPr>
              <w:spacing w:after="0"/>
              <w:rPr>
                <w:sz w:val="1"/>
                <w:szCs w:val="1"/>
                <w:color w:val="auto"/>
              </w:rPr>
            </w:pPr>
          </w:p>
        </w:tc>
      </w:tr>
      <w:tr>
        <w:trPr>
          <w:trHeight w:val="164"/>
        </w:trPr>
        <w:tc>
          <w:tcPr>
            <w:tcW w:w="5020" w:type="dxa"/>
            <w:vAlign w:val="bottom"/>
          </w:tcPr>
          <w:p>
            <w:pPr>
              <w:ind w:left="560"/>
              <w:spacing w:after="0" w:line="137" w:lineRule="exact"/>
              <w:rPr>
                <w:sz w:val="20"/>
                <w:szCs w:val="20"/>
                <w:color w:val="auto"/>
              </w:rPr>
            </w:pPr>
            <w:r>
              <w:rPr>
                <w:rFonts w:ascii="Arial" w:cs="Arial" w:eastAsia="Arial" w:hAnsi="Arial"/>
                <w:sz w:val="14"/>
                <w:szCs w:val="14"/>
                <w:color w:val="auto"/>
              </w:rPr>
              <w:t>Other securities</w:t>
            </w:r>
          </w:p>
        </w:tc>
        <w:tc>
          <w:tcPr>
            <w:tcW w:w="4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88"/>
              <w:spacing w:after="0" w:line="137" w:lineRule="exact"/>
              <w:rPr>
                <w:sz w:val="20"/>
                <w:szCs w:val="20"/>
                <w:color w:val="auto"/>
              </w:rPr>
            </w:pPr>
            <w:r>
              <w:rPr>
                <w:rFonts w:ascii="Arial" w:cs="Arial" w:eastAsia="Arial" w:hAnsi="Arial"/>
                <w:sz w:val="14"/>
                <w:szCs w:val="14"/>
                <w:color w:val="auto"/>
              </w:rPr>
              <w:t>―</w:t>
            </w:r>
          </w:p>
        </w:tc>
        <w:tc>
          <w:tcPr>
            <w:tcW w:w="3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88"/>
              <w:spacing w:after="0" w:line="137" w:lineRule="exact"/>
              <w:rPr>
                <w:sz w:val="20"/>
                <w:szCs w:val="20"/>
                <w:color w:val="auto"/>
              </w:rPr>
            </w:pPr>
            <w:r>
              <w:rPr>
                <w:rFonts w:ascii="Arial" w:cs="Arial" w:eastAsia="Arial" w:hAnsi="Arial"/>
                <w:sz w:val="14"/>
                <w:szCs w:val="14"/>
                <w:color w:val="auto"/>
              </w:rPr>
              <w:t>25</w:t>
            </w:r>
          </w:p>
        </w:tc>
        <w:tc>
          <w:tcPr>
            <w:tcW w:w="3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88"/>
              <w:spacing w:after="0" w:line="137" w:lineRule="exact"/>
              <w:rPr>
                <w:sz w:val="20"/>
                <w:szCs w:val="20"/>
                <w:color w:val="auto"/>
              </w:rPr>
            </w:pPr>
            <w:r>
              <w:rPr>
                <w:rFonts w:ascii="Arial" w:cs="Arial" w:eastAsia="Arial" w:hAnsi="Arial"/>
                <w:sz w:val="14"/>
                <w:szCs w:val="14"/>
                <w:color w:val="auto"/>
              </w:rPr>
              <w:t>―</w:t>
            </w:r>
          </w:p>
        </w:tc>
        <w:tc>
          <w:tcPr>
            <w:tcW w:w="4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108"/>
              <w:spacing w:after="0" w:line="137" w:lineRule="exact"/>
              <w:rPr>
                <w:sz w:val="20"/>
                <w:szCs w:val="20"/>
                <w:color w:val="auto"/>
              </w:rPr>
            </w:pPr>
            <w:r>
              <w:rPr>
                <w:rFonts w:ascii="Arial" w:cs="Arial" w:eastAsia="Arial" w:hAnsi="Arial"/>
                <w:sz w:val="14"/>
                <w:szCs w:val="14"/>
                <w:color w:val="auto"/>
              </w:rPr>
              <w:t>―</w:t>
            </w:r>
          </w:p>
        </w:tc>
        <w:tc>
          <w:tcPr>
            <w:tcW w:w="3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spacing w:after="0" w:line="137" w:lineRule="exact"/>
              <w:rPr>
                <w:sz w:val="20"/>
                <w:szCs w:val="20"/>
                <w:color w:val="auto"/>
              </w:rPr>
            </w:pPr>
            <w:r>
              <w:rPr>
                <w:rFonts w:ascii="Arial" w:cs="Arial" w:eastAsia="Arial" w:hAnsi="Arial"/>
                <w:sz w:val="14"/>
                <w:szCs w:val="14"/>
                <w:color w:val="auto"/>
              </w:rPr>
              <w:t>25</w:t>
            </w:r>
          </w:p>
        </w:tc>
        <w:tc>
          <w:tcPr>
            <w:tcW w:w="0" w:type="dxa"/>
            <w:vAlign w:val="bottom"/>
          </w:tcPr>
          <w:p>
            <w:pPr>
              <w:spacing w:after="0"/>
              <w:rPr>
                <w:sz w:val="1"/>
                <w:szCs w:val="1"/>
                <w:color w:val="auto"/>
              </w:rPr>
            </w:pPr>
          </w:p>
        </w:tc>
      </w:tr>
      <w:tr>
        <w:trPr>
          <w:trHeight w:val="169"/>
        </w:trPr>
        <w:tc>
          <w:tcPr>
            <w:tcW w:w="5020" w:type="dxa"/>
            <w:vAlign w:val="bottom"/>
          </w:tcPr>
          <w:p>
            <w:pPr>
              <w:ind w:left="400"/>
              <w:spacing w:after="0" w:line="142" w:lineRule="exact"/>
              <w:rPr>
                <w:sz w:val="20"/>
                <w:szCs w:val="20"/>
                <w:color w:val="auto"/>
              </w:rPr>
            </w:pPr>
            <w:r>
              <w:rPr>
                <w:rFonts w:ascii="Arial" w:cs="Arial" w:eastAsia="Arial" w:hAnsi="Arial"/>
                <w:sz w:val="14"/>
                <w:szCs w:val="14"/>
                <w:color w:val="auto"/>
              </w:rPr>
              <w:t>Total debt securities</w:t>
            </w:r>
          </w:p>
        </w:tc>
        <w:tc>
          <w:tcPr>
            <w:tcW w:w="4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88"/>
              <w:spacing w:after="0" w:line="142" w:lineRule="exact"/>
              <w:rPr>
                <w:sz w:val="20"/>
                <w:szCs w:val="20"/>
                <w:color w:val="auto"/>
              </w:rPr>
            </w:pPr>
            <w:r>
              <w:rPr>
                <w:rFonts w:ascii="Arial" w:cs="Arial" w:eastAsia="Arial" w:hAnsi="Arial"/>
                <w:sz w:val="14"/>
                <w:szCs w:val="14"/>
                <w:color w:val="auto"/>
              </w:rPr>
              <w:t>144</w:t>
            </w:r>
          </w:p>
        </w:tc>
        <w:tc>
          <w:tcPr>
            <w:tcW w:w="3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88"/>
              <w:spacing w:after="0" w:line="142" w:lineRule="exact"/>
              <w:rPr>
                <w:sz w:val="20"/>
                <w:szCs w:val="20"/>
                <w:color w:val="auto"/>
              </w:rPr>
            </w:pPr>
            <w:r>
              <w:rPr>
                <w:rFonts w:ascii="Arial" w:cs="Arial" w:eastAsia="Arial" w:hAnsi="Arial"/>
                <w:sz w:val="14"/>
                <w:szCs w:val="14"/>
                <w:color w:val="auto"/>
              </w:rPr>
              <w:t>155</w:t>
            </w:r>
          </w:p>
        </w:tc>
        <w:tc>
          <w:tcPr>
            <w:tcW w:w="3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88"/>
              <w:spacing w:after="0" w:line="142" w:lineRule="exact"/>
              <w:rPr>
                <w:sz w:val="20"/>
                <w:szCs w:val="20"/>
                <w:color w:val="auto"/>
              </w:rPr>
            </w:pPr>
            <w:r>
              <w:rPr>
                <w:rFonts w:ascii="Arial" w:cs="Arial" w:eastAsia="Arial" w:hAnsi="Arial"/>
                <w:sz w:val="14"/>
                <w:szCs w:val="14"/>
                <w:color w:val="auto"/>
              </w:rPr>
              <w:t>―</w:t>
            </w:r>
          </w:p>
        </w:tc>
        <w:tc>
          <w:tcPr>
            <w:tcW w:w="4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108"/>
              <w:spacing w:after="0" w:line="142" w:lineRule="exact"/>
              <w:rPr>
                <w:sz w:val="20"/>
                <w:szCs w:val="20"/>
                <w:color w:val="auto"/>
              </w:rPr>
            </w:pPr>
            <w:r>
              <w:rPr>
                <w:rFonts w:ascii="Arial" w:cs="Arial" w:eastAsia="Arial" w:hAnsi="Arial"/>
                <w:sz w:val="14"/>
                <w:szCs w:val="14"/>
                <w:color w:val="auto"/>
              </w:rPr>
              <w:t>―</w:t>
            </w:r>
          </w:p>
        </w:tc>
        <w:tc>
          <w:tcPr>
            <w:tcW w:w="3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299</w:t>
            </w:r>
          </w:p>
        </w:tc>
        <w:tc>
          <w:tcPr>
            <w:tcW w:w="0" w:type="dxa"/>
            <w:vAlign w:val="bottom"/>
          </w:tcPr>
          <w:p>
            <w:pPr>
              <w:spacing w:after="0"/>
              <w:rPr>
                <w:sz w:val="1"/>
                <w:szCs w:val="1"/>
                <w:color w:val="auto"/>
              </w:rPr>
            </w:pPr>
          </w:p>
        </w:tc>
      </w:tr>
      <w:tr>
        <w:trPr>
          <w:trHeight w:val="169"/>
        </w:trPr>
        <w:tc>
          <w:tcPr>
            <w:tcW w:w="5020" w:type="dxa"/>
            <w:vAlign w:val="bottom"/>
          </w:tcPr>
          <w:p>
            <w:pPr>
              <w:ind w:left="160"/>
              <w:spacing w:after="0" w:line="142" w:lineRule="exact"/>
              <w:rPr>
                <w:sz w:val="20"/>
                <w:szCs w:val="20"/>
                <w:color w:val="auto"/>
              </w:rPr>
            </w:pPr>
            <w:r>
              <w:rPr>
                <w:rFonts w:ascii="Arial" w:cs="Arial" w:eastAsia="Arial" w:hAnsi="Arial"/>
                <w:sz w:val="14"/>
                <w:szCs w:val="14"/>
                <w:color w:val="auto"/>
              </w:rPr>
              <w:t>Total nuclear decommissioning trusts(1)</w:t>
            </w:r>
          </w:p>
        </w:tc>
        <w:tc>
          <w:tcPr>
            <w:tcW w:w="4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88"/>
              <w:spacing w:after="0" w:line="142" w:lineRule="exact"/>
              <w:rPr>
                <w:sz w:val="20"/>
                <w:szCs w:val="20"/>
                <w:color w:val="auto"/>
              </w:rPr>
            </w:pPr>
            <w:r>
              <w:rPr>
                <w:rFonts w:ascii="Arial" w:cs="Arial" w:eastAsia="Arial" w:hAnsi="Arial"/>
                <w:sz w:val="14"/>
                <w:szCs w:val="14"/>
                <w:color w:val="auto"/>
              </w:rPr>
              <w:t>604</w:t>
            </w:r>
          </w:p>
        </w:tc>
        <w:tc>
          <w:tcPr>
            <w:tcW w:w="3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88"/>
              <w:spacing w:after="0" w:line="142" w:lineRule="exact"/>
              <w:rPr>
                <w:sz w:val="20"/>
                <w:szCs w:val="20"/>
                <w:color w:val="auto"/>
              </w:rPr>
            </w:pPr>
            <w:r>
              <w:rPr>
                <w:rFonts w:ascii="Arial" w:cs="Arial" w:eastAsia="Arial" w:hAnsi="Arial"/>
                <w:sz w:val="14"/>
                <w:szCs w:val="14"/>
                <w:color w:val="auto"/>
              </w:rPr>
              <w:t>155</w:t>
            </w:r>
          </w:p>
        </w:tc>
        <w:tc>
          <w:tcPr>
            <w:tcW w:w="3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88"/>
              <w:spacing w:after="0" w:line="142" w:lineRule="exact"/>
              <w:rPr>
                <w:sz w:val="20"/>
                <w:szCs w:val="20"/>
                <w:color w:val="auto"/>
              </w:rPr>
            </w:pPr>
            <w:r>
              <w:rPr>
                <w:rFonts w:ascii="Arial" w:cs="Arial" w:eastAsia="Arial" w:hAnsi="Arial"/>
                <w:sz w:val="14"/>
                <w:szCs w:val="14"/>
                <w:color w:val="auto"/>
              </w:rPr>
              <w:t>―</w:t>
            </w:r>
          </w:p>
        </w:tc>
        <w:tc>
          <w:tcPr>
            <w:tcW w:w="4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108"/>
              <w:spacing w:after="0" w:line="142" w:lineRule="exact"/>
              <w:rPr>
                <w:sz w:val="20"/>
                <w:szCs w:val="20"/>
                <w:color w:val="auto"/>
              </w:rPr>
            </w:pPr>
            <w:r>
              <w:rPr>
                <w:rFonts w:ascii="Arial" w:cs="Arial" w:eastAsia="Arial" w:hAnsi="Arial"/>
                <w:sz w:val="14"/>
                <w:szCs w:val="14"/>
                <w:color w:val="auto"/>
              </w:rPr>
              <w:t>―</w:t>
            </w:r>
          </w:p>
        </w:tc>
        <w:tc>
          <w:tcPr>
            <w:tcW w:w="3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759</w:t>
            </w:r>
          </w:p>
        </w:tc>
        <w:tc>
          <w:tcPr>
            <w:tcW w:w="0" w:type="dxa"/>
            <w:vAlign w:val="bottom"/>
          </w:tcPr>
          <w:p>
            <w:pPr>
              <w:spacing w:after="0"/>
              <w:rPr>
                <w:sz w:val="1"/>
                <w:szCs w:val="1"/>
                <w:color w:val="auto"/>
              </w:rPr>
            </w:pPr>
          </w:p>
        </w:tc>
      </w:tr>
      <w:tr>
        <w:trPr>
          <w:trHeight w:val="167"/>
        </w:trPr>
        <w:tc>
          <w:tcPr>
            <w:tcW w:w="5020" w:type="dxa"/>
            <w:vAlign w:val="bottom"/>
          </w:tcPr>
          <w:p>
            <w:pPr>
              <w:ind w:left="160"/>
              <w:spacing w:after="0"/>
              <w:rPr>
                <w:sz w:val="20"/>
                <w:szCs w:val="20"/>
                <w:color w:val="auto"/>
              </w:rPr>
            </w:pPr>
            <w:r>
              <w:rPr>
                <w:rFonts w:ascii="Arial" w:cs="Arial" w:eastAsia="Arial" w:hAnsi="Arial"/>
                <w:sz w:val="14"/>
                <w:szCs w:val="14"/>
                <w:color w:val="auto"/>
              </w:rPr>
              <w:t>Interest rate instruments</w:t>
            </w:r>
          </w:p>
        </w:tc>
        <w:tc>
          <w:tcPr>
            <w:tcW w:w="460" w:type="dxa"/>
            <w:vAlign w:val="bottom"/>
          </w:tcPr>
          <w:p>
            <w:pPr>
              <w:spacing w:after="0"/>
              <w:rPr>
                <w:sz w:val="14"/>
                <w:szCs w:val="14"/>
                <w:color w:val="auto"/>
              </w:rPr>
            </w:pPr>
          </w:p>
        </w:tc>
        <w:tc>
          <w:tcPr>
            <w:tcW w:w="90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4"/>
                <w:szCs w:val="14"/>
                <w:color w:val="auto"/>
              </w:rPr>
            </w:pPr>
          </w:p>
        </w:tc>
        <w:tc>
          <w:tcPr>
            <w:tcW w:w="900" w:type="dxa"/>
            <w:vAlign w:val="bottom"/>
          </w:tcPr>
          <w:p>
            <w:pPr>
              <w:jc w:val="right"/>
              <w:ind w:right="88"/>
              <w:spacing w:after="0"/>
              <w:rPr>
                <w:sz w:val="20"/>
                <w:szCs w:val="20"/>
                <w:color w:val="auto"/>
              </w:rPr>
            </w:pPr>
            <w:r>
              <w:rPr>
                <w:rFonts w:ascii="Arial" w:cs="Arial" w:eastAsia="Arial" w:hAnsi="Arial"/>
                <w:sz w:val="14"/>
                <w:szCs w:val="14"/>
                <w:color w:val="auto"/>
              </w:rPr>
              <w:t>34</w:t>
            </w:r>
          </w:p>
        </w:tc>
        <w:tc>
          <w:tcPr>
            <w:tcW w:w="360" w:type="dxa"/>
            <w:vAlign w:val="bottom"/>
          </w:tcPr>
          <w:p>
            <w:pPr>
              <w:spacing w:after="0"/>
              <w:rPr>
                <w:sz w:val="14"/>
                <w:szCs w:val="14"/>
                <w:color w:val="auto"/>
              </w:rPr>
            </w:pPr>
          </w:p>
        </w:tc>
        <w:tc>
          <w:tcPr>
            <w:tcW w:w="90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420" w:type="dxa"/>
            <w:vAlign w:val="bottom"/>
          </w:tcPr>
          <w:p>
            <w:pPr>
              <w:spacing w:after="0"/>
              <w:rPr>
                <w:sz w:val="14"/>
                <w:szCs w:val="14"/>
                <w:color w:val="auto"/>
              </w:rPr>
            </w:pPr>
          </w:p>
        </w:tc>
        <w:tc>
          <w:tcPr>
            <w:tcW w:w="100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34</w:t>
            </w:r>
          </w:p>
        </w:tc>
        <w:tc>
          <w:tcPr>
            <w:tcW w:w="0" w:type="dxa"/>
            <w:vAlign w:val="bottom"/>
          </w:tcPr>
          <w:p>
            <w:pPr>
              <w:spacing w:after="0"/>
              <w:rPr>
                <w:sz w:val="1"/>
                <w:szCs w:val="1"/>
                <w:color w:val="auto"/>
              </w:rPr>
            </w:pPr>
          </w:p>
        </w:tc>
      </w:tr>
      <w:tr>
        <w:trPr>
          <w:trHeight w:val="162"/>
        </w:trPr>
        <w:tc>
          <w:tcPr>
            <w:tcW w:w="5020" w:type="dxa"/>
            <w:vAlign w:val="bottom"/>
          </w:tcPr>
          <w:p>
            <w:pPr>
              <w:ind w:left="160"/>
              <w:spacing w:after="0"/>
              <w:rPr>
                <w:sz w:val="20"/>
                <w:szCs w:val="20"/>
                <w:color w:val="auto"/>
              </w:rPr>
            </w:pPr>
            <w:r>
              <w:rPr>
                <w:rFonts w:ascii="Arial" w:cs="Arial" w:eastAsia="Arial" w:hAnsi="Arial"/>
                <w:sz w:val="14"/>
                <w:szCs w:val="14"/>
                <w:color w:val="auto"/>
              </w:rPr>
              <w:t>Commodity contracts subject to rate recovery</w:t>
            </w:r>
          </w:p>
        </w:tc>
        <w:tc>
          <w:tcPr>
            <w:tcW w:w="460" w:type="dxa"/>
            <w:vAlign w:val="bottom"/>
          </w:tcPr>
          <w:p>
            <w:pPr>
              <w:spacing w:after="0"/>
              <w:rPr>
                <w:sz w:val="14"/>
                <w:szCs w:val="14"/>
                <w:color w:val="auto"/>
              </w:rPr>
            </w:pPr>
          </w:p>
        </w:tc>
        <w:tc>
          <w:tcPr>
            <w:tcW w:w="900" w:type="dxa"/>
            <w:vAlign w:val="bottom"/>
          </w:tcPr>
          <w:p>
            <w:pPr>
              <w:jc w:val="right"/>
              <w:ind w:right="88"/>
              <w:spacing w:after="0"/>
              <w:rPr>
                <w:sz w:val="20"/>
                <w:szCs w:val="20"/>
                <w:color w:val="auto"/>
              </w:rPr>
            </w:pPr>
            <w:r>
              <w:rPr>
                <w:rFonts w:ascii="Arial" w:cs="Arial" w:eastAsia="Arial" w:hAnsi="Arial"/>
                <w:sz w:val="14"/>
                <w:szCs w:val="14"/>
                <w:color w:val="auto"/>
              </w:rPr>
              <w:t>25</w:t>
            </w:r>
          </w:p>
        </w:tc>
        <w:tc>
          <w:tcPr>
            <w:tcW w:w="340" w:type="dxa"/>
            <w:vAlign w:val="bottom"/>
          </w:tcPr>
          <w:p>
            <w:pPr>
              <w:spacing w:after="0"/>
              <w:rPr>
                <w:sz w:val="14"/>
                <w:szCs w:val="14"/>
                <w:color w:val="auto"/>
              </w:rPr>
            </w:pPr>
          </w:p>
        </w:tc>
        <w:tc>
          <w:tcPr>
            <w:tcW w:w="900" w:type="dxa"/>
            <w:vAlign w:val="bottom"/>
          </w:tcPr>
          <w:p>
            <w:pPr>
              <w:jc w:val="right"/>
              <w:ind w:right="88"/>
              <w:spacing w:after="0"/>
              <w:rPr>
                <w:sz w:val="20"/>
                <w:szCs w:val="20"/>
                <w:color w:val="auto"/>
              </w:rPr>
            </w:pPr>
            <w:r>
              <w:rPr>
                <w:rFonts w:ascii="Arial" w:cs="Arial" w:eastAsia="Arial" w:hAnsi="Arial"/>
                <w:sz w:val="14"/>
                <w:szCs w:val="14"/>
                <w:color w:val="auto"/>
              </w:rPr>
              <w:t>1</w:t>
            </w:r>
          </w:p>
        </w:tc>
        <w:tc>
          <w:tcPr>
            <w:tcW w:w="360" w:type="dxa"/>
            <w:vAlign w:val="bottom"/>
          </w:tcPr>
          <w:p>
            <w:pPr>
              <w:spacing w:after="0"/>
              <w:rPr>
                <w:sz w:val="14"/>
                <w:szCs w:val="14"/>
                <w:color w:val="auto"/>
              </w:rPr>
            </w:pPr>
          </w:p>
        </w:tc>
        <w:tc>
          <w:tcPr>
            <w:tcW w:w="900" w:type="dxa"/>
            <w:vAlign w:val="bottom"/>
          </w:tcPr>
          <w:p>
            <w:pPr>
              <w:jc w:val="right"/>
              <w:ind w:right="88"/>
              <w:spacing w:after="0"/>
              <w:rPr>
                <w:sz w:val="20"/>
                <w:szCs w:val="20"/>
                <w:color w:val="auto"/>
              </w:rPr>
            </w:pPr>
            <w:r>
              <w:rPr>
                <w:rFonts w:ascii="Arial" w:cs="Arial" w:eastAsia="Arial" w:hAnsi="Arial"/>
                <w:sz w:val="14"/>
                <w:szCs w:val="14"/>
                <w:color w:val="auto"/>
              </w:rPr>
              <w:t>2</w:t>
            </w:r>
          </w:p>
        </w:tc>
        <w:tc>
          <w:tcPr>
            <w:tcW w:w="420" w:type="dxa"/>
            <w:vAlign w:val="bottom"/>
          </w:tcPr>
          <w:p>
            <w:pPr>
              <w:spacing w:after="0"/>
              <w:rPr>
                <w:sz w:val="14"/>
                <w:szCs w:val="14"/>
                <w:color w:val="auto"/>
              </w:rPr>
            </w:pPr>
          </w:p>
        </w:tc>
        <w:tc>
          <w:tcPr>
            <w:tcW w:w="100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28</w:t>
            </w:r>
          </w:p>
        </w:tc>
        <w:tc>
          <w:tcPr>
            <w:tcW w:w="0" w:type="dxa"/>
            <w:vAlign w:val="bottom"/>
          </w:tcPr>
          <w:p>
            <w:pPr>
              <w:spacing w:after="0"/>
              <w:rPr>
                <w:sz w:val="1"/>
                <w:szCs w:val="1"/>
                <w:color w:val="auto"/>
              </w:rPr>
            </w:pPr>
          </w:p>
        </w:tc>
      </w:tr>
      <w:tr>
        <w:trPr>
          <w:trHeight w:val="162"/>
        </w:trPr>
        <w:tc>
          <w:tcPr>
            <w:tcW w:w="5020" w:type="dxa"/>
            <w:vAlign w:val="bottom"/>
          </w:tcPr>
          <w:p>
            <w:pPr>
              <w:ind w:left="160"/>
              <w:spacing w:after="0"/>
              <w:rPr>
                <w:sz w:val="20"/>
                <w:szCs w:val="20"/>
                <w:color w:val="auto"/>
              </w:rPr>
            </w:pPr>
            <w:r>
              <w:rPr>
                <w:rFonts w:ascii="Arial" w:cs="Arial" w:eastAsia="Arial" w:hAnsi="Arial"/>
                <w:sz w:val="14"/>
                <w:szCs w:val="14"/>
                <w:color w:val="auto"/>
              </w:rPr>
              <w:t>Commodity contracts not subject to rate recovery</w:t>
            </w:r>
          </w:p>
        </w:tc>
        <w:tc>
          <w:tcPr>
            <w:tcW w:w="460" w:type="dxa"/>
            <w:vAlign w:val="bottom"/>
          </w:tcPr>
          <w:p>
            <w:pPr>
              <w:spacing w:after="0"/>
              <w:rPr>
                <w:sz w:val="14"/>
                <w:szCs w:val="14"/>
                <w:color w:val="auto"/>
              </w:rPr>
            </w:pPr>
          </w:p>
        </w:tc>
        <w:tc>
          <w:tcPr>
            <w:tcW w:w="900" w:type="dxa"/>
            <w:vAlign w:val="bottom"/>
          </w:tcPr>
          <w:p>
            <w:pPr>
              <w:jc w:val="right"/>
              <w:ind w:right="88"/>
              <w:spacing w:after="0"/>
              <w:rPr>
                <w:sz w:val="20"/>
                <w:szCs w:val="20"/>
                <w:color w:val="auto"/>
              </w:rPr>
            </w:pPr>
            <w:r>
              <w:rPr>
                <w:rFonts w:ascii="Arial" w:cs="Arial" w:eastAsia="Arial" w:hAnsi="Arial"/>
                <w:sz w:val="14"/>
                <w:szCs w:val="14"/>
                <w:color w:val="auto"/>
              </w:rPr>
              <w:t>9</w:t>
            </w:r>
          </w:p>
        </w:tc>
        <w:tc>
          <w:tcPr>
            <w:tcW w:w="340" w:type="dxa"/>
            <w:vAlign w:val="bottom"/>
          </w:tcPr>
          <w:p>
            <w:pPr>
              <w:spacing w:after="0"/>
              <w:rPr>
                <w:sz w:val="14"/>
                <w:szCs w:val="14"/>
                <w:color w:val="auto"/>
              </w:rPr>
            </w:pPr>
          </w:p>
        </w:tc>
        <w:tc>
          <w:tcPr>
            <w:tcW w:w="900" w:type="dxa"/>
            <w:vAlign w:val="bottom"/>
          </w:tcPr>
          <w:p>
            <w:pPr>
              <w:jc w:val="right"/>
              <w:ind w:right="88"/>
              <w:spacing w:after="0"/>
              <w:rPr>
                <w:sz w:val="20"/>
                <w:szCs w:val="20"/>
                <w:color w:val="auto"/>
              </w:rPr>
            </w:pPr>
            <w:r>
              <w:rPr>
                <w:rFonts w:ascii="Arial" w:cs="Arial" w:eastAsia="Arial" w:hAnsi="Arial"/>
                <w:sz w:val="14"/>
                <w:szCs w:val="14"/>
                <w:color w:val="auto"/>
              </w:rPr>
              <w:t>66</w:t>
            </w:r>
          </w:p>
        </w:tc>
        <w:tc>
          <w:tcPr>
            <w:tcW w:w="360" w:type="dxa"/>
            <w:vAlign w:val="bottom"/>
          </w:tcPr>
          <w:p>
            <w:pPr>
              <w:spacing w:after="0"/>
              <w:rPr>
                <w:sz w:val="14"/>
                <w:szCs w:val="14"/>
                <w:color w:val="auto"/>
              </w:rPr>
            </w:pPr>
          </w:p>
        </w:tc>
        <w:tc>
          <w:tcPr>
            <w:tcW w:w="90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420" w:type="dxa"/>
            <w:vAlign w:val="bottom"/>
          </w:tcPr>
          <w:p>
            <w:pPr>
              <w:spacing w:after="0"/>
              <w:rPr>
                <w:sz w:val="14"/>
                <w:szCs w:val="14"/>
                <w:color w:val="auto"/>
              </w:rPr>
            </w:pPr>
          </w:p>
        </w:tc>
        <w:tc>
          <w:tcPr>
            <w:tcW w:w="1000" w:type="dxa"/>
            <w:vAlign w:val="bottom"/>
          </w:tcPr>
          <w:p>
            <w:pPr>
              <w:jc w:val="right"/>
              <w:ind w:right="68"/>
              <w:spacing w:after="0"/>
              <w:rPr>
                <w:sz w:val="20"/>
                <w:szCs w:val="20"/>
                <w:color w:val="auto"/>
              </w:rPr>
            </w:pPr>
            <w:r>
              <w:rPr>
                <w:rFonts w:ascii="Arial" w:cs="Arial" w:eastAsia="Arial" w:hAnsi="Arial"/>
                <w:sz w:val="14"/>
                <w:szCs w:val="14"/>
                <w:color w:val="auto"/>
              </w:rPr>
              <w:t>(22)</w:t>
            </w:r>
          </w:p>
        </w:tc>
        <w:tc>
          <w:tcPr>
            <w:tcW w:w="3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53</w:t>
            </w:r>
          </w:p>
        </w:tc>
        <w:tc>
          <w:tcPr>
            <w:tcW w:w="0" w:type="dxa"/>
            <w:vAlign w:val="bottom"/>
          </w:tcPr>
          <w:p>
            <w:pPr>
              <w:spacing w:after="0"/>
              <w:rPr>
                <w:sz w:val="1"/>
                <w:szCs w:val="1"/>
                <w:color w:val="auto"/>
              </w:rPr>
            </w:pPr>
          </w:p>
        </w:tc>
      </w:tr>
      <w:tr>
        <w:trPr>
          <w:trHeight w:val="164"/>
        </w:trPr>
        <w:tc>
          <w:tcPr>
            <w:tcW w:w="5020" w:type="dxa"/>
            <w:vAlign w:val="bottom"/>
          </w:tcPr>
          <w:p>
            <w:pPr>
              <w:ind w:left="160"/>
              <w:spacing w:after="0" w:line="137" w:lineRule="exact"/>
              <w:rPr>
                <w:sz w:val="20"/>
                <w:szCs w:val="20"/>
                <w:color w:val="auto"/>
              </w:rPr>
            </w:pPr>
            <w:r>
              <w:rPr>
                <w:rFonts w:ascii="Arial" w:cs="Arial" w:eastAsia="Arial" w:hAnsi="Arial"/>
                <w:sz w:val="14"/>
                <w:szCs w:val="14"/>
                <w:color w:val="auto"/>
              </w:rPr>
              <w:t>Investments</w:t>
            </w:r>
          </w:p>
        </w:tc>
        <w:tc>
          <w:tcPr>
            <w:tcW w:w="4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88"/>
              <w:spacing w:after="0" w:line="137" w:lineRule="exact"/>
              <w:rPr>
                <w:sz w:val="20"/>
                <w:szCs w:val="20"/>
                <w:color w:val="auto"/>
              </w:rPr>
            </w:pPr>
            <w:r>
              <w:rPr>
                <w:rFonts w:ascii="Arial" w:cs="Arial" w:eastAsia="Arial" w:hAnsi="Arial"/>
                <w:sz w:val="14"/>
                <w:szCs w:val="14"/>
                <w:color w:val="auto"/>
              </w:rPr>
              <w:t>1</w:t>
            </w:r>
          </w:p>
        </w:tc>
        <w:tc>
          <w:tcPr>
            <w:tcW w:w="3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88"/>
              <w:spacing w:after="0" w:line="137" w:lineRule="exact"/>
              <w:rPr>
                <w:sz w:val="20"/>
                <w:szCs w:val="20"/>
                <w:color w:val="auto"/>
              </w:rPr>
            </w:pPr>
            <w:r>
              <w:rPr>
                <w:rFonts w:ascii="Arial" w:cs="Arial" w:eastAsia="Arial" w:hAnsi="Arial"/>
                <w:sz w:val="14"/>
                <w:szCs w:val="14"/>
                <w:color w:val="auto"/>
              </w:rPr>
              <w:t>―</w:t>
            </w:r>
          </w:p>
        </w:tc>
        <w:tc>
          <w:tcPr>
            <w:tcW w:w="3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88"/>
              <w:spacing w:after="0" w:line="137" w:lineRule="exact"/>
              <w:rPr>
                <w:sz w:val="20"/>
                <w:szCs w:val="20"/>
                <w:color w:val="auto"/>
              </w:rPr>
            </w:pPr>
            <w:r>
              <w:rPr>
                <w:rFonts w:ascii="Arial" w:cs="Arial" w:eastAsia="Arial" w:hAnsi="Arial"/>
                <w:sz w:val="14"/>
                <w:szCs w:val="14"/>
                <w:color w:val="auto"/>
              </w:rPr>
              <w:t>―</w:t>
            </w:r>
          </w:p>
        </w:tc>
        <w:tc>
          <w:tcPr>
            <w:tcW w:w="4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108"/>
              <w:spacing w:after="0" w:line="137" w:lineRule="exact"/>
              <w:rPr>
                <w:sz w:val="20"/>
                <w:szCs w:val="20"/>
                <w:color w:val="auto"/>
              </w:rPr>
            </w:pPr>
            <w:r>
              <w:rPr>
                <w:rFonts w:ascii="Arial" w:cs="Arial" w:eastAsia="Arial" w:hAnsi="Arial"/>
                <w:sz w:val="14"/>
                <w:szCs w:val="14"/>
                <w:color w:val="auto"/>
              </w:rPr>
              <w:t>―</w:t>
            </w:r>
          </w:p>
        </w:tc>
        <w:tc>
          <w:tcPr>
            <w:tcW w:w="3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spacing w:after="0" w:line="137" w:lineRule="exact"/>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169"/>
        </w:trPr>
        <w:tc>
          <w:tcPr>
            <w:tcW w:w="5020" w:type="dxa"/>
            <w:vAlign w:val="bottom"/>
          </w:tcPr>
          <w:p>
            <w:pPr>
              <w:spacing w:after="0" w:line="142" w:lineRule="exact"/>
              <w:rPr>
                <w:sz w:val="20"/>
                <w:szCs w:val="20"/>
                <w:color w:val="auto"/>
              </w:rPr>
            </w:pPr>
            <w:r>
              <w:rPr>
                <w:rFonts w:ascii="Arial" w:cs="Arial" w:eastAsia="Arial" w:hAnsi="Arial"/>
                <w:sz w:val="14"/>
                <w:szCs w:val="14"/>
                <w:color w:val="auto"/>
              </w:rPr>
              <w:t>Total</w:t>
            </w:r>
          </w:p>
        </w:tc>
        <w:tc>
          <w:tcPr>
            <w:tcW w:w="460" w:type="dxa"/>
            <w:vAlign w:val="bottom"/>
            <w:tcBorders>
              <w:bottom w:val="single" w:sz="8" w:color="auto"/>
            </w:tcBorders>
          </w:tcPr>
          <w:p>
            <w:pPr>
              <w:jc w:val="right"/>
              <w:ind w:right="28"/>
              <w:spacing w:after="0" w:line="142" w:lineRule="exact"/>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tcPr>
          <w:p>
            <w:pPr>
              <w:jc w:val="right"/>
              <w:ind w:right="88"/>
              <w:spacing w:after="0" w:line="142" w:lineRule="exact"/>
              <w:rPr>
                <w:sz w:val="20"/>
                <w:szCs w:val="20"/>
                <w:color w:val="auto"/>
              </w:rPr>
            </w:pPr>
            <w:r>
              <w:rPr>
                <w:rFonts w:ascii="Arial" w:cs="Arial" w:eastAsia="Arial" w:hAnsi="Arial"/>
                <w:sz w:val="14"/>
                <w:szCs w:val="14"/>
                <w:color w:val="auto"/>
              </w:rPr>
              <w:t>639</w:t>
            </w:r>
          </w:p>
        </w:tc>
        <w:tc>
          <w:tcPr>
            <w:tcW w:w="340" w:type="dxa"/>
            <w:vAlign w:val="bottom"/>
            <w:tcBorders>
              <w:bottom w:val="single" w:sz="8" w:color="auto"/>
            </w:tcBorders>
          </w:tcPr>
          <w:p>
            <w:pPr>
              <w:jc w:val="right"/>
              <w:ind w:right="28"/>
              <w:spacing w:after="0" w:line="142" w:lineRule="exact"/>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tcPr>
          <w:p>
            <w:pPr>
              <w:jc w:val="right"/>
              <w:ind w:right="88"/>
              <w:spacing w:after="0" w:line="142" w:lineRule="exact"/>
              <w:rPr>
                <w:sz w:val="20"/>
                <w:szCs w:val="20"/>
                <w:color w:val="auto"/>
              </w:rPr>
            </w:pPr>
            <w:r>
              <w:rPr>
                <w:rFonts w:ascii="Arial" w:cs="Arial" w:eastAsia="Arial" w:hAnsi="Arial"/>
                <w:sz w:val="14"/>
                <w:szCs w:val="14"/>
                <w:color w:val="auto"/>
              </w:rPr>
              <w:t>256</w:t>
            </w:r>
          </w:p>
        </w:tc>
        <w:tc>
          <w:tcPr>
            <w:tcW w:w="360" w:type="dxa"/>
            <w:vAlign w:val="bottom"/>
            <w:tcBorders>
              <w:bottom w:val="single" w:sz="8" w:color="auto"/>
            </w:tcBorders>
          </w:tcPr>
          <w:p>
            <w:pPr>
              <w:jc w:val="right"/>
              <w:ind w:right="48"/>
              <w:spacing w:after="0" w:line="142" w:lineRule="exact"/>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tcPr>
          <w:p>
            <w:pPr>
              <w:jc w:val="right"/>
              <w:ind w:right="88"/>
              <w:spacing w:after="0" w:line="142" w:lineRule="exact"/>
              <w:rPr>
                <w:sz w:val="20"/>
                <w:szCs w:val="20"/>
                <w:color w:val="auto"/>
              </w:rPr>
            </w:pPr>
            <w:r>
              <w:rPr>
                <w:rFonts w:ascii="Arial" w:cs="Arial" w:eastAsia="Arial" w:hAnsi="Arial"/>
                <w:sz w:val="14"/>
                <w:szCs w:val="14"/>
                <w:color w:val="auto"/>
              </w:rPr>
              <w:t>2</w:t>
            </w:r>
          </w:p>
        </w:tc>
        <w:tc>
          <w:tcPr>
            <w:tcW w:w="420" w:type="dxa"/>
            <w:vAlign w:val="bottom"/>
            <w:tcBorders>
              <w:bottom w:val="single" w:sz="8" w:color="auto"/>
            </w:tcBorders>
          </w:tcPr>
          <w:p>
            <w:pPr>
              <w:jc w:val="right"/>
              <w:ind w:right="88"/>
              <w:spacing w:after="0" w:line="142" w:lineRule="exact"/>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tcPr>
          <w:p>
            <w:pPr>
              <w:jc w:val="right"/>
              <w:ind w:right="68"/>
              <w:spacing w:after="0" w:line="142" w:lineRule="exact"/>
              <w:rPr>
                <w:sz w:val="20"/>
                <w:szCs w:val="20"/>
                <w:color w:val="auto"/>
              </w:rPr>
            </w:pPr>
            <w:r>
              <w:rPr>
                <w:rFonts w:ascii="Arial" w:cs="Arial" w:eastAsia="Arial" w:hAnsi="Arial"/>
                <w:sz w:val="14"/>
                <w:szCs w:val="14"/>
                <w:color w:val="auto"/>
              </w:rPr>
              <w:t>(22)</w:t>
            </w:r>
          </w:p>
        </w:tc>
        <w:tc>
          <w:tcPr>
            <w:tcW w:w="380" w:type="dxa"/>
            <w:vAlign w:val="bottom"/>
            <w:tcBorders>
              <w:bottom w:val="single" w:sz="8" w:color="auto"/>
            </w:tcBorders>
          </w:tcPr>
          <w:p>
            <w:pPr>
              <w:jc w:val="right"/>
              <w:ind w:right="88"/>
              <w:spacing w:after="0" w:line="142" w:lineRule="exact"/>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875</w:t>
            </w:r>
          </w:p>
        </w:tc>
        <w:tc>
          <w:tcPr>
            <w:tcW w:w="0" w:type="dxa"/>
            <w:vAlign w:val="bottom"/>
          </w:tcPr>
          <w:p>
            <w:pPr>
              <w:spacing w:after="0"/>
              <w:rPr>
                <w:sz w:val="1"/>
                <w:szCs w:val="1"/>
                <w:color w:val="auto"/>
              </w:rPr>
            </w:pPr>
          </w:p>
        </w:tc>
      </w:tr>
      <w:tr>
        <w:trPr>
          <w:trHeight w:val="167"/>
        </w:trPr>
        <w:tc>
          <w:tcPr>
            <w:tcW w:w="5020" w:type="dxa"/>
            <w:vAlign w:val="bottom"/>
          </w:tcPr>
          <w:p>
            <w:pPr>
              <w:spacing w:after="0"/>
              <w:rPr>
                <w:sz w:val="20"/>
                <w:szCs w:val="20"/>
                <w:color w:val="auto"/>
              </w:rPr>
            </w:pPr>
            <w:r>
              <w:rPr>
                <w:rFonts w:ascii="Arial" w:cs="Arial" w:eastAsia="Arial" w:hAnsi="Arial"/>
                <w:sz w:val="14"/>
                <w:szCs w:val="14"/>
                <w:color w:val="auto"/>
              </w:rPr>
              <w:t>Liabilities:</w:t>
            </w:r>
          </w:p>
        </w:tc>
        <w:tc>
          <w:tcPr>
            <w:tcW w:w="4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020" w:type="dxa"/>
            <w:vAlign w:val="bottom"/>
          </w:tcPr>
          <w:p>
            <w:pPr>
              <w:ind w:left="160"/>
              <w:spacing w:after="0"/>
              <w:rPr>
                <w:sz w:val="20"/>
                <w:szCs w:val="20"/>
                <w:color w:val="auto"/>
              </w:rPr>
            </w:pPr>
            <w:r>
              <w:rPr>
                <w:rFonts w:ascii="Arial" w:cs="Arial" w:eastAsia="Arial" w:hAnsi="Arial"/>
                <w:sz w:val="14"/>
                <w:szCs w:val="14"/>
                <w:color w:val="auto"/>
              </w:rPr>
              <w:t>Interest rate instruments</w:t>
            </w:r>
          </w:p>
        </w:tc>
        <w:tc>
          <w:tcPr>
            <w:tcW w:w="46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3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88"/>
              <w:spacing w:after="0"/>
              <w:rPr>
                <w:sz w:val="20"/>
                <w:szCs w:val="20"/>
                <w:color w:val="auto"/>
              </w:rPr>
            </w:pPr>
            <w:r>
              <w:rPr>
                <w:rFonts w:ascii="Arial" w:cs="Arial" w:eastAsia="Arial" w:hAnsi="Arial"/>
                <w:sz w:val="14"/>
                <w:szCs w:val="14"/>
                <w:color w:val="auto"/>
              </w:rPr>
              <w:t>82</w:t>
            </w:r>
          </w:p>
        </w:tc>
        <w:tc>
          <w:tcPr>
            <w:tcW w:w="36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42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38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82</w:t>
            </w:r>
          </w:p>
        </w:tc>
        <w:tc>
          <w:tcPr>
            <w:tcW w:w="0" w:type="dxa"/>
            <w:vAlign w:val="bottom"/>
          </w:tcPr>
          <w:p>
            <w:pPr>
              <w:spacing w:after="0"/>
              <w:rPr>
                <w:sz w:val="1"/>
                <w:szCs w:val="1"/>
                <w:color w:val="auto"/>
              </w:rPr>
            </w:pPr>
          </w:p>
        </w:tc>
      </w:tr>
      <w:tr>
        <w:trPr>
          <w:trHeight w:val="162"/>
        </w:trPr>
        <w:tc>
          <w:tcPr>
            <w:tcW w:w="5020" w:type="dxa"/>
            <w:vAlign w:val="bottom"/>
          </w:tcPr>
          <w:p>
            <w:pPr>
              <w:ind w:left="160"/>
              <w:spacing w:after="0"/>
              <w:rPr>
                <w:sz w:val="20"/>
                <w:szCs w:val="20"/>
                <w:color w:val="auto"/>
              </w:rPr>
            </w:pPr>
            <w:r>
              <w:rPr>
                <w:rFonts w:ascii="Arial" w:cs="Arial" w:eastAsia="Arial" w:hAnsi="Arial"/>
                <w:sz w:val="14"/>
                <w:szCs w:val="14"/>
                <w:color w:val="auto"/>
              </w:rPr>
              <w:t>Commodity contracts subject to rate recovery</w:t>
            </w:r>
          </w:p>
        </w:tc>
        <w:tc>
          <w:tcPr>
            <w:tcW w:w="460" w:type="dxa"/>
            <w:vAlign w:val="bottom"/>
          </w:tcPr>
          <w:p>
            <w:pPr>
              <w:spacing w:after="0"/>
              <w:rPr>
                <w:sz w:val="14"/>
                <w:szCs w:val="14"/>
                <w:color w:val="auto"/>
              </w:rPr>
            </w:pPr>
          </w:p>
        </w:tc>
        <w:tc>
          <w:tcPr>
            <w:tcW w:w="900" w:type="dxa"/>
            <w:vAlign w:val="bottom"/>
          </w:tcPr>
          <w:p>
            <w:pPr>
              <w:jc w:val="right"/>
              <w:ind w:right="88"/>
              <w:spacing w:after="0"/>
              <w:rPr>
                <w:sz w:val="20"/>
                <w:szCs w:val="20"/>
                <w:color w:val="auto"/>
              </w:rPr>
            </w:pPr>
            <w:r>
              <w:rPr>
                <w:rFonts w:ascii="Arial" w:cs="Arial" w:eastAsia="Arial" w:hAnsi="Arial"/>
                <w:sz w:val="14"/>
                <w:szCs w:val="14"/>
                <w:color w:val="auto"/>
              </w:rPr>
              <w:t>60</w:t>
            </w:r>
          </w:p>
        </w:tc>
        <w:tc>
          <w:tcPr>
            <w:tcW w:w="340" w:type="dxa"/>
            <w:vAlign w:val="bottom"/>
          </w:tcPr>
          <w:p>
            <w:pPr>
              <w:spacing w:after="0"/>
              <w:rPr>
                <w:sz w:val="14"/>
                <w:szCs w:val="14"/>
                <w:color w:val="auto"/>
              </w:rPr>
            </w:pPr>
          </w:p>
        </w:tc>
        <w:tc>
          <w:tcPr>
            <w:tcW w:w="900" w:type="dxa"/>
            <w:vAlign w:val="bottom"/>
          </w:tcPr>
          <w:p>
            <w:pPr>
              <w:jc w:val="right"/>
              <w:ind w:right="88"/>
              <w:spacing w:after="0"/>
              <w:rPr>
                <w:sz w:val="20"/>
                <w:szCs w:val="20"/>
                <w:color w:val="auto"/>
              </w:rPr>
            </w:pPr>
            <w:r>
              <w:rPr>
                <w:rFonts w:ascii="Arial" w:cs="Arial" w:eastAsia="Arial" w:hAnsi="Arial"/>
                <w:sz w:val="14"/>
                <w:szCs w:val="14"/>
                <w:color w:val="auto"/>
              </w:rPr>
              <w:t>8</w:t>
            </w:r>
          </w:p>
        </w:tc>
        <w:tc>
          <w:tcPr>
            <w:tcW w:w="360" w:type="dxa"/>
            <w:vAlign w:val="bottom"/>
          </w:tcPr>
          <w:p>
            <w:pPr>
              <w:spacing w:after="0"/>
              <w:rPr>
                <w:sz w:val="14"/>
                <w:szCs w:val="14"/>
                <w:color w:val="auto"/>
              </w:rPr>
            </w:pPr>
          </w:p>
        </w:tc>
        <w:tc>
          <w:tcPr>
            <w:tcW w:w="90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420" w:type="dxa"/>
            <w:vAlign w:val="bottom"/>
          </w:tcPr>
          <w:p>
            <w:pPr>
              <w:spacing w:after="0"/>
              <w:rPr>
                <w:sz w:val="14"/>
                <w:szCs w:val="14"/>
                <w:color w:val="auto"/>
              </w:rPr>
            </w:pPr>
          </w:p>
        </w:tc>
        <w:tc>
          <w:tcPr>
            <w:tcW w:w="1000" w:type="dxa"/>
            <w:vAlign w:val="bottom"/>
          </w:tcPr>
          <w:p>
            <w:pPr>
              <w:jc w:val="right"/>
              <w:ind w:right="68"/>
              <w:spacing w:after="0"/>
              <w:rPr>
                <w:sz w:val="20"/>
                <w:szCs w:val="20"/>
                <w:color w:val="auto"/>
              </w:rPr>
            </w:pPr>
            <w:r>
              <w:rPr>
                <w:rFonts w:ascii="Arial" w:cs="Arial" w:eastAsia="Arial" w:hAnsi="Arial"/>
                <w:sz w:val="14"/>
                <w:szCs w:val="14"/>
                <w:color w:val="auto"/>
              </w:rPr>
              <w:t>(60)</w:t>
            </w:r>
          </w:p>
        </w:tc>
        <w:tc>
          <w:tcPr>
            <w:tcW w:w="3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8</w:t>
            </w:r>
          </w:p>
        </w:tc>
        <w:tc>
          <w:tcPr>
            <w:tcW w:w="0" w:type="dxa"/>
            <w:vAlign w:val="bottom"/>
          </w:tcPr>
          <w:p>
            <w:pPr>
              <w:spacing w:after="0"/>
              <w:rPr>
                <w:sz w:val="1"/>
                <w:szCs w:val="1"/>
                <w:color w:val="auto"/>
              </w:rPr>
            </w:pPr>
          </w:p>
        </w:tc>
      </w:tr>
      <w:tr>
        <w:trPr>
          <w:trHeight w:val="164"/>
        </w:trPr>
        <w:tc>
          <w:tcPr>
            <w:tcW w:w="5020" w:type="dxa"/>
            <w:vAlign w:val="bottom"/>
          </w:tcPr>
          <w:p>
            <w:pPr>
              <w:ind w:left="160"/>
              <w:spacing w:after="0" w:line="137" w:lineRule="exact"/>
              <w:rPr>
                <w:sz w:val="20"/>
                <w:szCs w:val="20"/>
                <w:color w:val="auto"/>
              </w:rPr>
            </w:pPr>
            <w:r>
              <w:rPr>
                <w:rFonts w:ascii="Arial" w:cs="Arial" w:eastAsia="Arial" w:hAnsi="Arial"/>
                <w:sz w:val="14"/>
                <w:szCs w:val="14"/>
                <w:color w:val="auto"/>
              </w:rPr>
              <w:t>Commodity contracts not subject to rate recovery</w:t>
            </w:r>
          </w:p>
        </w:tc>
        <w:tc>
          <w:tcPr>
            <w:tcW w:w="4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88"/>
              <w:spacing w:after="0" w:line="137" w:lineRule="exact"/>
              <w:rPr>
                <w:sz w:val="20"/>
                <w:szCs w:val="20"/>
                <w:color w:val="auto"/>
              </w:rPr>
            </w:pPr>
            <w:r>
              <w:rPr>
                <w:rFonts w:ascii="Arial" w:cs="Arial" w:eastAsia="Arial" w:hAnsi="Arial"/>
                <w:sz w:val="14"/>
                <w:szCs w:val="14"/>
                <w:color w:val="auto"/>
              </w:rPr>
              <w:t>―</w:t>
            </w:r>
          </w:p>
        </w:tc>
        <w:tc>
          <w:tcPr>
            <w:tcW w:w="3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88"/>
              <w:spacing w:after="0" w:line="137" w:lineRule="exact"/>
              <w:rPr>
                <w:sz w:val="20"/>
                <w:szCs w:val="20"/>
                <w:color w:val="auto"/>
              </w:rPr>
            </w:pPr>
            <w:r>
              <w:rPr>
                <w:rFonts w:ascii="Arial" w:cs="Arial" w:eastAsia="Arial" w:hAnsi="Arial"/>
                <w:sz w:val="14"/>
                <w:szCs w:val="14"/>
                <w:color w:val="auto"/>
              </w:rPr>
              <w:t>67</w:t>
            </w:r>
          </w:p>
        </w:tc>
        <w:tc>
          <w:tcPr>
            <w:tcW w:w="3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88"/>
              <w:spacing w:after="0" w:line="137" w:lineRule="exact"/>
              <w:rPr>
                <w:sz w:val="20"/>
                <w:szCs w:val="20"/>
                <w:color w:val="auto"/>
              </w:rPr>
            </w:pPr>
            <w:r>
              <w:rPr>
                <w:rFonts w:ascii="Arial" w:cs="Arial" w:eastAsia="Arial" w:hAnsi="Arial"/>
                <w:sz w:val="14"/>
                <w:szCs w:val="14"/>
                <w:color w:val="auto"/>
              </w:rPr>
              <w:t>―</w:t>
            </w:r>
          </w:p>
        </w:tc>
        <w:tc>
          <w:tcPr>
            <w:tcW w:w="4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108"/>
              <w:spacing w:after="0" w:line="137" w:lineRule="exact"/>
              <w:rPr>
                <w:sz w:val="20"/>
                <w:szCs w:val="20"/>
                <w:color w:val="auto"/>
              </w:rPr>
            </w:pPr>
            <w:r>
              <w:rPr>
                <w:rFonts w:ascii="Arial" w:cs="Arial" w:eastAsia="Arial" w:hAnsi="Arial"/>
                <w:sz w:val="14"/>
                <w:szCs w:val="14"/>
                <w:color w:val="auto"/>
              </w:rPr>
              <w:t>―</w:t>
            </w:r>
          </w:p>
        </w:tc>
        <w:tc>
          <w:tcPr>
            <w:tcW w:w="3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spacing w:after="0" w:line="137" w:lineRule="exact"/>
              <w:rPr>
                <w:sz w:val="20"/>
                <w:szCs w:val="20"/>
                <w:color w:val="auto"/>
              </w:rPr>
            </w:pPr>
            <w:r>
              <w:rPr>
                <w:rFonts w:ascii="Arial" w:cs="Arial" w:eastAsia="Arial" w:hAnsi="Arial"/>
                <w:sz w:val="14"/>
                <w:szCs w:val="14"/>
                <w:color w:val="auto"/>
              </w:rPr>
              <w:t>67</w:t>
            </w:r>
          </w:p>
        </w:tc>
        <w:tc>
          <w:tcPr>
            <w:tcW w:w="0" w:type="dxa"/>
            <w:vAlign w:val="bottom"/>
          </w:tcPr>
          <w:p>
            <w:pPr>
              <w:spacing w:after="0"/>
              <w:rPr>
                <w:sz w:val="1"/>
                <w:szCs w:val="1"/>
                <w:color w:val="auto"/>
              </w:rPr>
            </w:pPr>
          </w:p>
        </w:tc>
      </w:tr>
      <w:tr>
        <w:trPr>
          <w:trHeight w:val="169"/>
        </w:trPr>
        <w:tc>
          <w:tcPr>
            <w:tcW w:w="502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Total</w:t>
            </w:r>
          </w:p>
        </w:tc>
        <w:tc>
          <w:tcPr>
            <w:tcW w:w="4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60</w:t>
            </w:r>
          </w:p>
        </w:tc>
        <w:tc>
          <w:tcPr>
            <w:tcW w:w="3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157</w:t>
            </w:r>
          </w:p>
        </w:tc>
        <w:tc>
          <w:tcPr>
            <w:tcW w:w="3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42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(60)</w:t>
            </w:r>
          </w:p>
        </w:tc>
        <w:tc>
          <w:tcPr>
            <w:tcW w:w="38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157</w:t>
            </w:r>
          </w:p>
        </w:tc>
        <w:tc>
          <w:tcPr>
            <w:tcW w:w="0" w:type="dxa"/>
            <w:vAlign w:val="bottom"/>
          </w:tcPr>
          <w:p>
            <w:pPr>
              <w:spacing w:after="0"/>
              <w:rPr>
                <w:sz w:val="1"/>
                <w:szCs w:val="1"/>
                <w:color w:val="auto"/>
              </w:rPr>
            </w:pPr>
          </w:p>
        </w:tc>
      </w:tr>
    </w:tbl>
    <w:p>
      <w:pPr>
        <w:spacing w:after="0" w:line="31" w:lineRule="exact"/>
        <w:rPr>
          <w:sz w:val="20"/>
          <w:szCs w:val="20"/>
          <w:color w:val="auto"/>
        </w:rPr>
      </w:pPr>
    </w:p>
    <w:p>
      <w:pPr>
        <w:ind w:left="500" w:hanging="492"/>
        <w:spacing w:after="0"/>
        <w:tabs>
          <w:tab w:leader="none" w:pos="500" w:val="left"/>
        </w:tabs>
        <w:numPr>
          <w:ilvl w:val="0"/>
          <w:numId w:val="32"/>
        </w:numPr>
        <w:rPr>
          <w:rFonts w:ascii="Arial" w:cs="Arial" w:eastAsia="Arial" w:hAnsi="Arial"/>
          <w:sz w:val="14"/>
          <w:szCs w:val="14"/>
          <w:i w:val="1"/>
          <w:iCs w:val="1"/>
          <w:color w:val="auto"/>
        </w:rPr>
      </w:pPr>
      <w:r>
        <w:rPr>
          <w:rFonts w:ascii="Arial" w:cs="Arial" w:eastAsia="Arial" w:hAnsi="Arial"/>
          <w:sz w:val="14"/>
          <w:szCs w:val="14"/>
          <w:i w:val="1"/>
          <w:iCs w:val="1"/>
          <w:color w:val="auto"/>
        </w:rPr>
        <w:t>Excludes cash balances and cash equivalents.</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RECURRING FAIR VALUE MEASURES -- SDG&amp;E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-104775</wp:posOffset>
            </wp:positionV>
            <wp:extent cx="7246620" cy="22288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46620" cy="222885"/>
                    </a:xfrm>
                    <a:prstGeom prst="rect">
                      <a:avLst/>
                    </a:prstGeom>
                    <a:noFill/>
                  </pic:spPr>
                </pic:pic>
              </a:graphicData>
            </a:graphic>
          </wp:anchor>
        </w:drawing>
      </w:r>
    </w:p>
    <w:p>
      <w:pPr>
        <w:spacing w:after="0" w:line="8"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(Dollars in millions)</w:t>
      </w:r>
    </w:p>
    <w:tbl>
      <w:tblPr>
        <w:tblLayout w:type="fixed"/>
        <w:tblInd w:w="0" w:type="dxa"/>
        <w:tblCellMar>
          <w:top w:w="0" w:type="dxa"/>
          <w:left w:w="0" w:type="dxa"/>
          <w:bottom w:w="0" w:type="dxa"/>
          <w:right w:w="0" w:type="dxa"/>
        </w:tblCellMar>
      </w:tblPr>
      <w:tr>
        <w:trPr>
          <w:trHeight w:val="165"/>
        </w:trPr>
        <w:tc>
          <w:tcPr>
            <w:tcW w:w="5280" w:type="dxa"/>
            <w:vAlign w:val="bottom"/>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3400" w:type="dxa"/>
            <w:vAlign w:val="bottom"/>
            <w:tcBorders>
              <w:bottom w:val="single" w:sz="8" w:color="auto"/>
            </w:tcBorders>
            <w:gridSpan w:val="5"/>
          </w:tcPr>
          <w:p>
            <w:pPr>
              <w:jc w:val="center"/>
              <w:ind w:right="348"/>
              <w:spacing w:after="0" w:line="159" w:lineRule="exact"/>
              <w:rPr>
                <w:sz w:val="20"/>
                <w:szCs w:val="20"/>
                <w:color w:val="auto"/>
              </w:rPr>
            </w:pPr>
            <w:r>
              <w:rPr>
                <w:rFonts w:ascii="Arial" w:cs="Arial" w:eastAsia="Arial" w:hAnsi="Arial"/>
                <w:sz w:val="14"/>
                <w:szCs w:val="14"/>
                <w:color w:val="auto"/>
              </w:rPr>
              <w:t>At fair value as of June 30, 2011</w:t>
            </w:r>
          </w:p>
        </w:tc>
        <w:tc>
          <w:tcPr>
            <w:tcW w:w="38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52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80" w:type="dxa"/>
            <w:vAlign w:val="bottom"/>
          </w:tcPr>
          <w:p>
            <w:pPr>
              <w:jc w:val="center"/>
              <w:ind w:right="168"/>
              <w:spacing w:after="0"/>
              <w:rPr>
                <w:sz w:val="20"/>
                <w:szCs w:val="20"/>
                <w:color w:val="auto"/>
              </w:rPr>
            </w:pPr>
            <w:r>
              <w:rPr>
                <w:rFonts w:ascii="Arial" w:cs="Arial" w:eastAsia="Arial" w:hAnsi="Arial"/>
                <w:sz w:val="14"/>
                <w:szCs w:val="14"/>
                <w:color w:val="auto"/>
              </w:rPr>
              <w:t>Collateral</w:t>
            </w:r>
          </w:p>
        </w:tc>
        <w:tc>
          <w:tcPr>
            <w:tcW w:w="3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4"/>
        </w:trPr>
        <w:tc>
          <w:tcPr>
            <w:tcW w:w="5280" w:type="dxa"/>
            <w:vAlign w:val="bottom"/>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208"/>
              <w:spacing w:after="0" w:line="157" w:lineRule="exact"/>
              <w:rPr>
                <w:sz w:val="20"/>
                <w:szCs w:val="20"/>
                <w:color w:val="auto"/>
              </w:rPr>
            </w:pPr>
            <w:r>
              <w:rPr>
                <w:rFonts w:ascii="Arial" w:cs="Arial" w:eastAsia="Arial" w:hAnsi="Arial"/>
                <w:sz w:val="14"/>
                <w:szCs w:val="14"/>
                <w:color w:val="auto"/>
              </w:rPr>
              <w:t>Level 1</w:t>
            </w:r>
          </w:p>
        </w:tc>
        <w:tc>
          <w:tcPr>
            <w:tcW w:w="3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208"/>
              <w:spacing w:after="0" w:line="157" w:lineRule="exact"/>
              <w:rPr>
                <w:sz w:val="20"/>
                <w:szCs w:val="20"/>
                <w:color w:val="auto"/>
              </w:rPr>
            </w:pPr>
            <w:r>
              <w:rPr>
                <w:rFonts w:ascii="Arial" w:cs="Arial" w:eastAsia="Arial" w:hAnsi="Arial"/>
                <w:sz w:val="14"/>
                <w:szCs w:val="14"/>
                <w:color w:val="auto"/>
              </w:rPr>
              <w:t>Level 2</w:t>
            </w:r>
          </w:p>
        </w:tc>
        <w:tc>
          <w:tcPr>
            <w:tcW w:w="3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208"/>
              <w:spacing w:after="0" w:line="157" w:lineRule="exact"/>
              <w:rPr>
                <w:sz w:val="20"/>
                <w:szCs w:val="20"/>
                <w:color w:val="auto"/>
              </w:rPr>
            </w:pPr>
            <w:r>
              <w:rPr>
                <w:rFonts w:ascii="Arial" w:cs="Arial" w:eastAsia="Arial" w:hAnsi="Arial"/>
                <w:sz w:val="14"/>
                <w:szCs w:val="14"/>
                <w:color w:val="auto"/>
              </w:rPr>
              <w:t>Level 3</w:t>
            </w:r>
          </w:p>
        </w:tc>
        <w:tc>
          <w:tcPr>
            <w:tcW w:w="34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center"/>
              <w:ind w:right="168"/>
              <w:spacing w:after="0" w:line="157" w:lineRule="exact"/>
              <w:rPr>
                <w:sz w:val="20"/>
                <w:szCs w:val="20"/>
                <w:color w:val="auto"/>
              </w:rPr>
            </w:pPr>
            <w:r>
              <w:rPr>
                <w:rFonts w:ascii="Arial" w:cs="Arial" w:eastAsia="Arial" w:hAnsi="Arial"/>
                <w:sz w:val="14"/>
                <w:szCs w:val="14"/>
                <w:color w:val="auto"/>
              </w:rPr>
              <w:t>netted</w:t>
            </w:r>
          </w:p>
        </w:tc>
        <w:tc>
          <w:tcPr>
            <w:tcW w:w="38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248"/>
              <w:spacing w:after="0" w:line="157" w:lineRule="exact"/>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167"/>
        </w:trPr>
        <w:tc>
          <w:tcPr>
            <w:tcW w:w="5280" w:type="dxa"/>
            <w:vAlign w:val="bottom"/>
          </w:tcPr>
          <w:p>
            <w:pPr>
              <w:spacing w:after="0"/>
              <w:rPr>
                <w:sz w:val="20"/>
                <w:szCs w:val="20"/>
                <w:color w:val="auto"/>
              </w:rPr>
            </w:pPr>
            <w:r>
              <w:rPr>
                <w:rFonts w:ascii="Arial" w:cs="Arial" w:eastAsia="Arial" w:hAnsi="Arial"/>
                <w:sz w:val="14"/>
                <w:szCs w:val="14"/>
                <w:color w:val="auto"/>
              </w:rPr>
              <w:t>Assets:</w:t>
            </w:r>
          </w:p>
        </w:tc>
        <w:tc>
          <w:tcPr>
            <w:tcW w:w="4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5280" w:type="dxa"/>
            <w:vAlign w:val="bottom"/>
          </w:tcPr>
          <w:p>
            <w:pPr>
              <w:ind w:left="160"/>
              <w:spacing w:after="0"/>
              <w:rPr>
                <w:sz w:val="20"/>
                <w:szCs w:val="20"/>
                <w:color w:val="auto"/>
              </w:rPr>
            </w:pPr>
            <w:r>
              <w:rPr>
                <w:rFonts w:ascii="Arial" w:cs="Arial" w:eastAsia="Arial" w:hAnsi="Arial"/>
                <w:sz w:val="14"/>
                <w:szCs w:val="14"/>
                <w:color w:val="auto"/>
              </w:rPr>
              <w:t>Nuclear decommissioning trusts</w:t>
            </w:r>
          </w:p>
        </w:tc>
        <w:tc>
          <w:tcPr>
            <w:tcW w:w="4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820" w:type="dxa"/>
            <w:vAlign w:val="bottom"/>
            <w:vMerge w:val="restart"/>
          </w:tcPr>
          <w:p>
            <w:pPr>
              <w:jc w:val="right"/>
              <w:ind w:right="108"/>
              <w:spacing w:after="0"/>
              <w:rPr>
                <w:sz w:val="20"/>
                <w:szCs w:val="20"/>
                <w:color w:val="auto"/>
              </w:rPr>
            </w:pPr>
            <w:r>
              <w:rPr>
                <w:rFonts w:ascii="Arial" w:cs="Arial" w:eastAsia="Arial" w:hAnsi="Arial"/>
                <w:sz w:val="14"/>
                <w:szCs w:val="14"/>
                <w:color w:val="auto"/>
              </w:rPr>
              <w:t>483</w:t>
            </w:r>
          </w:p>
        </w:tc>
        <w:tc>
          <w:tcPr>
            <w:tcW w:w="320" w:type="dxa"/>
            <w:vAlign w:val="bottom"/>
            <w:vMerge w:val="restart"/>
          </w:tcPr>
          <w:p>
            <w:pPr>
              <w:jc w:val="right"/>
              <w:ind w:right="8"/>
              <w:spacing w:after="0"/>
              <w:rPr>
                <w:sz w:val="20"/>
                <w:szCs w:val="20"/>
                <w:color w:val="auto"/>
              </w:rPr>
            </w:pPr>
            <w:r>
              <w:rPr>
                <w:rFonts w:ascii="Arial" w:cs="Arial" w:eastAsia="Arial" w:hAnsi="Arial"/>
                <w:sz w:val="14"/>
                <w:szCs w:val="14"/>
                <w:color w:val="auto"/>
              </w:rPr>
              <w:t>$</w:t>
            </w:r>
          </w:p>
        </w:tc>
        <w:tc>
          <w:tcPr>
            <w:tcW w:w="820" w:type="dxa"/>
            <w:vAlign w:val="bottom"/>
            <w:vMerge w:val="restart"/>
          </w:tcPr>
          <w:p>
            <w:pPr>
              <w:jc w:val="right"/>
              <w:ind w:right="88"/>
              <w:spacing w:after="0"/>
              <w:rPr>
                <w:sz w:val="20"/>
                <w:szCs w:val="20"/>
                <w:color w:val="auto"/>
              </w:rPr>
            </w:pPr>
            <w:r>
              <w:rPr>
                <w:rFonts w:ascii="Arial" w:cs="Arial" w:eastAsia="Arial" w:hAnsi="Arial"/>
                <w:sz w:val="14"/>
                <w:szCs w:val="14"/>
                <w:color w:val="auto"/>
              </w:rPr>
              <w:t>―</w:t>
            </w:r>
          </w:p>
        </w:tc>
        <w:tc>
          <w:tcPr>
            <w:tcW w:w="340" w:type="dxa"/>
            <w:vAlign w:val="bottom"/>
            <w:vMerge w:val="restart"/>
          </w:tcPr>
          <w:p>
            <w:pPr>
              <w:jc w:val="right"/>
              <w:ind w:right="8"/>
              <w:spacing w:after="0"/>
              <w:rPr>
                <w:sz w:val="20"/>
                <w:szCs w:val="20"/>
                <w:color w:val="auto"/>
              </w:rPr>
            </w:pPr>
            <w:r>
              <w:rPr>
                <w:rFonts w:ascii="Arial" w:cs="Arial" w:eastAsia="Arial" w:hAnsi="Arial"/>
                <w:sz w:val="14"/>
                <w:szCs w:val="14"/>
                <w:color w:val="auto"/>
              </w:rPr>
              <w:t>$</w:t>
            </w:r>
          </w:p>
        </w:tc>
        <w:tc>
          <w:tcPr>
            <w:tcW w:w="820" w:type="dxa"/>
            <w:vAlign w:val="bottom"/>
            <w:vMerge w:val="restart"/>
          </w:tcPr>
          <w:p>
            <w:pPr>
              <w:jc w:val="right"/>
              <w:ind w:right="108"/>
              <w:spacing w:after="0"/>
              <w:rPr>
                <w:sz w:val="20"/>
                <w:szCs w:val="20"/>
                <w:color w:val="auto"/>
              </w:rPr>
            </w:pPr>
            <w:r>
              <w:rPr>
                <w:rFonts w:ascii="Arial" w:cs="Arial" w:eastAsia="Arial" w:hAnsi="Arial"/>
                <w:sz w:val="14"/>
                <w:szCs w:val="14"/>
                <w:color w:val="auto"/>
              </w:rPr>
              <w:t>―</w:t>
            </w:r>
          </w:p>
        </w:tc>
        <w:tc>
          <w:tcPr>
            <w:tcW w:w="340" w:type="dxa"/>
            <w:vAlign w:val="bottom"/>
            <w:vMerge w:val="restart"/>
          </w:tcPr>
          <w:p>
            <w:pPr>
              <w:jc w:val="right"/>
              <w:ind w:right="28"/>
              <w:spacing w:after="0"/>
              <w:rPr>
                <w:sz w:val="20"/>
                <w:szCs w:val="20"/>
                <w:color w:val="auto"/>
              </w:rPr>
            </w:pPr>
            <w:r>
              <w:rPr>
                <w:rFonts w:ascii="Arial" w:cs="Arial" w:eastAsia="Arial" w:hAnsi="Arial"/>
                <w:sz w:val="14"/>
                <w:szCs w:val="14"/>
                <w:color w:val="auto"/>
              </w:rPr>
              <w:t>$</w:t>
            </w:r>
          </w:p>
        </w:tc>
        <w:tc>
          <w:tcPr>
            <w:tcW w:w="1080" w:type="dxa"/>
            <w:vAlign w:val="bottom"/>
            <w:vMerge w:val="restart"/>
          </w:tcPr>
          <w:p>
            <w:pPr>
              <w:jc w:val="center"/>
              <w:ind w:left="488"/>
              <w:spacing w:after="0"/>
              <w:rPr>
                <w:sz w:val="20"/>
                <w:szCs w:val="20"/>
                <w:color w:val="auto"/>
              </w:rPr>
            </w:pPr>
            <w:r>
              <w:rPr>
                <w:rFonts w:ascii="Arial" w:cs="Arial" w:eastAsia="Arial" w:hAnsi="Arial"/>
                <w:sz w:val="14"/>
                <w:szCs w:val="14"/>
                <w:color w:val="auto"/>
              </w:rPr>
              <w:t>―</w:t>
            </w:r>
          </w:p>
        </w:tc>
        <w:tc>
          <w:tcPr>
            <w:tcW w:w="380" w:type="dxa"/>
            <w:vAlign w:val="bottom"/>
            <w:vMerge w:val="restart"/>
          </w:tcPr>
          <w:p>
            <w:pPr>
              <w:jc w:val="right"/>
              <w:ind w:right="88"/>
              <w:spacing w:after="0"/>
              <w:rPr>
                <w:sz w:val="20"/>
                <w:szCs w:val="20"/>
                <w:color w:val="auto"/>
              </w:rPr>
            </w:pPr>
            <w:r>
              <w:rPr>
                <w:rFonts w:ascii="Arial" w:cs="Arial" w:eastAsia="Arial" w:hAnsi="Arial"/>
                <w:sz w:val="14"/>
                <w:szCs w:val="14"/>
                <w:color w:val="auto"/>
              </w:rPr>
              <w:t>$</w:t>
            </w:r>
          </w:p>
        </w:tc>
        <w:tc>
          <w:tcPr>
            <w:tcW w:w="780" w:type="dxa"/>
            <w:vAlign w:val="bottom"/>
            <w:vMerge w:val="restart"/>
          </w:tcPr>
          <w:p>
            <w:pPr>
              <w:jc w:val="right"/>
              <w:spacing w:after="0"/>
              <w:rPr>
                <w:sz w:val="20"/>
                <w:szCs w:val="20"/>
                <w:color w:val="auto"/>
              </w:rPr>
            </w:pPr>
            <w:r>
              <w:rPr>
                <w:rFonts w:ascii="Arial" w:cs="Arial" w:eastAsia="Arial" w:hAnsi="Arial"/>
                <w:sz w:val="14"/>
                <w:szCs w:val="14"/>
                <w:color w:val="auto"/>
              </w:rPr>
              <w:t>483</w:t>
            </w:r>
          </w:p>
        </w:tc>
        <w:tc>
          <w:tcPr>
            <w:tcW w:w="0" w:type="dxa"/>
            <w:vAlign w:val="bottom"/>
          </w:tcPr>
          <w:p>
            <w:pPr>
              <w:spacing w:after="0"/>
              <w:rPr>
                <w:sz w:val="1"/>
                <w:szCs w:val="1"/>
                <w:color w:val="auto"/>
              </w:rPr>
            </w:pPr>
          </w:p>
        </w:tc>
      </w:tr>
      <w:tr>
        <w:trPr>
          <w:trHeight w:val="159"/>
        </w:trPr>
        <w:tc>
          <w:tcPr>
            <w:tcW w:w="5280" w:type="dxa"/>
            <w:vAlign w:val="bottom"/>
          </w:tcPr>
          <w:p>
            <w:pPr>
              <w:ind w:left="400"/>
              <w:spacing w:after="0" w:line="127" w:lineRule="exact"/>
              <w:rPr>
                <w:sz w:val="20"/>
                <w:szCs w:val="20"/>
                <w:color w:val="auto"/>
              </w:rPr>
            </w:pPr>
            <w:r>
              <w:rPr>
                <w:rFonts w:ascii="Arial" w:cs="Arial" w:eastAsia="Arial" w:hAnsi="Arial"/>
                <w:sz w:val="14"/>
                <w:szCs w:val="14"/>
                <w:color w:val="auto"/>
              </w:rPr>
              <w:t>Equity securities</w:t>
            </w:r>
          </w:p>
        </w:tc>
        <w:tc>
          <w:tcPr>
            <w:tcW w:w="440" w:type="dxa"/>
            <w:vAlign w:val="bottom"/>
            <w:tcBorders>
              <w:bottom w:val="single" w:sz="8" w:color="auto"/>
            </w:tcBorders>
            <w:vMerge w:val="continue"/>
          </w:tcPr>
          <w:p>
            <w:pPr>
              <w:spacing w:after="0"/>
              <w:rPr>
                <w:sz w:val="13"/>
                <w:szCs w:val="13"/>
                <w:color w:val="auto"/>
              </w:rPr>
            </w:pPr>
          </w:p>
        </w:tc>
        <w:tc>
          <w:tcPr>
            <w:tcW w:w="820" w:type="dxa"/>
            <w:vAlign w:val="bottom"/>
            <w:tcBorders>
              <w:bottom w:val="single" w:sz="8" w:color="auto"/>
            </w:tcBorders>
            <w:vMerge w:val="continue"/>
          </w:tcPr>
          <w:p>
            <w:pPr>
              <w:spacing w:after="0"/>
              <w:rPr>
                <w:sz w:val="13"/>
                <w:szCs w:val="13"/>
                <w:color w:val="auto"/>
              </w:rPr>
            </w:pPr>
          </w:p>
        </w:tc>
        <w:tc>
          <w:tcPr>
            <w:tcW w:w="320" w:type="dxa"/>
            <w:vAlign w:val="bottom"/>
            <w:tcBorders>
              <w:bottom w:val="single" w:sz="8" w:color="auto"/>
            </w:tcBorders>
            <w:vMerge w:val="continue"/>
          </w:tcPr>
          <w:p>
            <w:pPr>
              <w:spacing w:after="0"/>
              <w:rPr>
                <w:sz w:val="13"/>
                <w:szCs w:val="13"/>
                <w:color w:val="auto"/>
              </w:rPr>
            </w:pPr>
          </w:p>
        </w:tc>
        <w:tc>
          <w:tcPr>
            <w:tcW w:w="820" w:type="dxa"/>
            <w:vAlign w:val="bottom"/>
            <w:tcBorders>
              <w:bottom w:val="single" w:sz="8" w:color="auto"/>
            </w:tcBorders>
            <w:vMerge w:val="continue"/>
          </w:tcPr>
          <w:p>
            <w:pPr>
              <w:spacing w:after="0"/>
              <w:rPr>
                <w:sz w:val="13"/>
                <w:szCs w:val="13"/>
                <w:color w:val="auto"/>
              </w:rPr>
            </w:pPr>
          </w:p>
        </w:tc>
        <w:tc>
          <w:tcPr>
            <w:tcW w:w="340" w:type="dxa"/>
            <w:vAlign w:val="bottom"/>
            <w:tcBorders>
              <w:bottom w:val="single" w:sz="8" w:color="auto"/>
            </w:tcBorders>
            <w:vMerge w:val="continue"/>
          </w:tcPr>
          <w:p>
            <w:pPr>
              <w:spacing w:after="0"/>
              <w:rPr>
                <w:sz w:val="13"/>
                <w:szCs w:val="13"/>
                <w:color w:val="auto"/>
              </w:rPr>
            </w:pPr>
          </w:p>
        </w:tc>
        <w:tc>
          <w:tcPr>
            <w:tcW w:w="820" w:type="dxa"/>
            <w:vAlign w:val="bottom"/>
            <w:tcBorders>
              <w:bottom w:val="single" w:sz="8" w:color="auto"/>
            </w:tcBorders>
            <w:vMerge w:val="continue"/>
          </w:tcPr>
          <w:p>
            <w:pPr>
              <w:spacing w:after="0"/>
              <w:rPr>
                <w:sz w:val="13"/>
                <w:szCs w:val="13"/>
                <w:color w:val="auto"/>
              </w:rPr>
            </w:pPr>
          </w:p>
        </w:tc>
        <w:tc>
          <w:tcPr>
            <w:tcW w:w="340" w:type="dxa"/>
            <w:vAlign w:val="bottom"/>
            <w:tcBorders>
              <w:bottom w:val="single" w:sz="8" w:color="auto"/>
            </w:tcBorders>
            <w:vMerge w:val="continue"/>
          </w:tcPr>
          <w:p>
            <w:pPr>
              <w:spacing w:after="0"/>
              <w:rPr>
                <w:sz w:val="13"/>
                <w:szCs w:val="13"/>
                <w:color w:val="auto"/>
              </w:rPr>
            </w:pPr>
          </w:p>
        </w:tc>
        <w:tc>
          <w:tcPr>
            <w:tcW w:w="1080" w:type="dxa"/>
            <w:vAlign w:val="bottom"/>
            <w:tcBorders>
              <w:bottom w:val="single" w:sz="8" w:color="auto"/>
            </w:tcBorders>
            <w:vMerge w:val="continue"/>
          </w:tcPr>
          <w:p>
            <w:pPr>
              <w:spacing w:after="0"/>
              <w:rPr>
                <w:sz w:val="13"/>
                <w:szCs w:val="13"/>
                <w:color w:val="auto"/>
              </w:rPr>
            </w:pPr>
          </w:p>
        </w:tc>
        <w:tc>
          <w:tcPr>
            <w:tcW w:w="380" w:type="dxa"/>
            <w:vAlign w:val="bottom"/>
            <w:tcBorders>
              <w:bottom w:val="single" w:sz="8" w:color="auto"/>
            </w:tcBorders>
            <w:vMerge w:val="continue"/>
          </w:tcPr>
          <w:p>
            <w:pPr>
              <w:spacing w:after="0"/>
              <w:rPr>
                <w:sz w:val="13"/>
                <w:szCs w:val="13"/>
                <w:color w:val="auto"/>
              </w:rPr>
            </w:pPr>
          </w:p>
        </w:tc>
        <w:tc>
          <w:tcPr>
            <w:tcW w:w="780" w:type="dxa"/>
            <w:vAlign w:val="bottom"/>
            <w:tcBorders>
              <w:bottom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67"/>
        </w:trPr>
        <w:tc>
          <w:tcPr>
            <w:tcW w:w="5280" w:type="dxa"/>
            <w:vAlign w:val="bottom"/>
          </w:tcPr>
          <w:p>
            <w:pPr>
              <w:ind w:left="400"/>
              <w:spacing w:after="0"/>
              <w:rPr>
                <w:sz w:val="20"/>
                <w:szCs w:val="20"/>
                <w:color w:val="auto"/>
              </w:rPr>
            </w:pPr>
            <w:r>
              <w:rPr>
                <w:rFonts w:ascii="Arial" w:cs="Arial" w:eastAsia="Arial" w:hAnsi="Arial"/>
                <w:sz w:val="14"/>
                <w:szCs w:val="14"/>
                <w:color w:val="auto"/>
              </w:rPr>
              <w:t>Debt securities:</w:t>
            </w:r>
          </w:p>
        </w:tc>
        <w:tc>
          <w:tcPr>
            <w:tcW w:w="4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280" w:type="dxa"/>
            <w:vAlign w:val="bottom"/>
          </w:tcPr>
          <w:p>
            <w:pPr>
              <w:ind w:left="560"/>
              <w:spacing w:after="0"/>
              <w:rPr>
                <w:sz w:val="20"/>
                <w:szCs w:val="20"/>
                <w:color w:val="auto"/>
              </w:rPr>
            </w:pPr>
            <w:r>
              <w:rPr>
                <w:rFonts w:ascii="Arial" w:cs="Arial" w:eastAsia="Arial" w:hAnsi="Arial"/>
                <w:sz w:val="14"/>
                <w:szCs w:val="14"/>
                <w:color w:val="auto"/>
              </w:rPr>
              <w:t>Debt securities issued by the U.S. Treasury and other</w:t>
            </w:r>
          </w:p>
        </w:tc>
        <w:tc>
          <w:tcPr>
            <w:tcW w:w="4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280" w:type="dxa"/>
            <w:vAlign w:val="bottom"/>
          </w:tcPr>
          <w:p>
            <w:pPr>
              <w:ind w:left="760"/>
              <w:spacing w:after="0"/>
              <w:rPr>
                <w:sz w:val="20"/>
                <w:szCs w:val="20"/>
                <w:color w:val="auto"/>
              </w:rPr>
            </w:pPr>
            <w:r>
              <w:rPr>
                <w:rFonts w:ascii="Arial" w:cs="Arial" w:eastAsia="Arial" w:hAnsi="Arial"/>
                <w:sz w:val="14"/>
                <w:szCs w:val="14"/>
                <w:color w:val="auto"/>
              </w:rPr>
              <w:t>U.S. government corporations and agencies</w:t>
            </w:r>
          </w:p>
        </w:tc>
        <w:tc>
          <w:tcPr>
            <w:tcW w:w="440" w:type="dxa"/>
            <w:vAlign w:val="bottom"/>
          </w:tcPr>
          <w:p>
            <w:pPr>
              <w:spacing w:after="0"/>
              <w:rPr>
                <w:sz w:val="14"/>
                <w:szCs w:val="14"/>
                <w:color w:val="auto"/>
              </w:rPr>
            </w:pPr>
          </w:p>
        </w:tc>
        <w:tc>
          <w:tcPr>
            <w:tcW w:w="820" w:type="dxa"/>
            <w:vAlign w:val="bottom"/>
          </w:tcPr>
          <w:p>
            <w:pPr>
              <w:jc w:val="right"/>
              <w:ind w:right="108"/>
              <w:spacing w:after="0"/>
              <w:rPr>
                <w:sz w:val="20"/>
                <w:szCs w:val="20"/>
                <w:color w:val="auto"/>
              </w:rPr>
            </w:pPr>
            <w:r>
              <w:rPr>
                <w:rFonts w:ascii="Arial" w:cs="Arial" w:eastAsia="Arial" w:hAnsi="Arial"/>
                <w:sz w:val="14"/>
                <w:szCs w:val="14"/>
                <w:color w:val="auto"/>
              </w:rPr>
              <w:t>144</w:t>
            </w:r>
          </w:p>
        </w:tc>
        <w:tc>
          <w:tcPr>
            <w:tcW w:w="320" w:type="dxa"/>
            <w:vAlign w:val="bottom"/>
          </w:tcPr>
          <w:p>
            <w:pPr>
              <w:spacing w:after="0"/>
              <w:rPr>
                <w:sz w:val="14"/>
                <w:szCs w:val="14"/>
                <w:color w:val="auto"/>
              </w:rPr>
            </w:pPr>
          </w:p>
        </w:tc>
        <w:tc>
          <w:tcPr>
            <w:tcW w:w="820" w:type="dxa"/>
            <w:vAlign w:val="bottom"/>
          </w:tcPr>
          <w:p>
            <w:pPr>
              <w:jc w:val="right"/>
              <w:ind w:right="88"/>
              <w:spacing w:after="0"/>
              <w:rPr>
                <w:sz w:val="20"/>
                <w:szCs w:val="20"/>
                <w:color w:val="auto"/>
              </w:rPr>
            </w:pPr>
            <w:r>
              <w:rPr>
                <w:rFonts w:ascii="Arial" w:cs="Arial" w:eastAsia="Arial" w:hAnsi="Arial"/>
                <w:sz w:val="14"/>
                <w:szCs w:val="14"/>
                <w:color w:val="auto"/>
              </w:rPr>
              <w:t>28</w:t>
            </w:r>
          </w:p>
        </w:tc>
        <w:tc>
          <w:tcPr>
            <w:tcW w:w="340" w:type="dxa"/>
            <w:vAlign w:val="bottom"/>
          </w:tcPr>
          <w:p>
            <w:pPr>
              <w:spacing w:after="0"/>
              <w:rPr>
                <w:sz w:val="14"/>
                <w:szCs w:val="14"/>
                <w:color w:val="auto"/>
              </w:rPr>
            </w:pPr>
          </w:p>
        </w:tc>
        <w:tc>
          <w:tcPr>
            <w:tcW w:w="82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4"/>
                <w:szCs w:val="14"/>
                <w:color w:val="auto"/>
              </w:rPr>
            </w:pPr>
          </w:p>
        </w:tc>
        <w:tc>
          <w:tcPr>
            <w:tcW w:w="1080" w:type="dxa"/>
            <w:vAlign w:val="bottom"/>
          </w:tcPr>
          <w:p>
            <w:pPr>
              <w:jc w:val="center"/>
              <w:ind w:left="488"/>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172</w:t>
            </w:r>
          </w:p>
        </w:tc>
        <w:tc>
          <w:tcPr>
            <w:tcW w:w="0" w:type="dxa"/>
            <w:vAlign w:val="bottom"/>
          </w:tcPr>
          <w:p>
            <w:pPr>
              <w:spacing w:after="0"/>
              <w:rPr>
                <w:sz w:val="1"/>
                <w:szCs w:val="1"/>
                <w:color w:val="auto"/>
              </w:rPr>
            </w:pPr>
          </w:p>
        </w:tc>
      </w:tr>
      <w:tr>
        <w:trPr>
          <w:trHeight w:val="162"/>
        </w:trPr>
        <w:tc>
          <w:tcPr>
            <w:tcW w:w="5280" w:type="dxa"/>
            <w:vAlign w:val="bottom"/>
          </w:tcPr>
          <w:p>
            <w:pPr>
              <w:ind w:left="560"/>
              <w:spacing w:after="0"/>
              <w:rPr>
                <w:sz w:val="20"/>
                <w:szCs w:val="20"/>
                <w:color w:val="auto"/>
              </w:rPr>
            </w:pPr>
            <w:r>
              <w:rPr>
                <w:rFonts w:ascii="Arial" w:cs="Arial" w:eastAsia="Arial" w:hAnsi="Arial"/>
                <w:sz w:val="14"/>
                <w:szCs w:val="14"/>
                <w:color w:val="auto"/>
              </w:rPr>
              <w:t>Municipal bonds</w:t>
            </w:r>
          </w:p>
        </w:tc>
        <w:tc>
          <w:tcPr>
            <w:tcW w:w="440" w:type="dxa"/>
            <w:vAlign w:val="bottom"/>
          </w:tcPr>
          <w:p>
            <w:pPr>
              <w:spacing w:after="0"/>
              <w:rPr>
                <w:sz w:val="14"/>
                <w:szCs w:val="14"/>
                <w:color w:val="auto"/>
              </w:rPr>
            </w:pPr>
          </w:p>
        </w:tc>
        <w:tc>
          <w:tcPr>
            <w:tcW w:w="82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4"/>
                <w:szCs w:val="14"/>
                <w:color w:val="auto"/>
              </w:rPr>
            </w:pPr>
          </w:p>
        </w:tc>
        <w:tc>
          <w:tcPr>
            <w:tcW w:w="820" w:type="dxa"/>
            <w:vAlign w:val="bottom"/>
          </w:tcPr>
          <w:p>
            <w:pPr>
              <w:jc w:val="right"/>
              <w:ind w:right="88"/>
              <w:spacing w:after="0"/>
              <w:rPr>
                <w:sz w:val="20"/>
                <w:szCs w:val="20"/>
                <w:color w:val="auto"/>
              </w:rPr>
            </w:pPr>
            <w:r>
              <w:rPr>
                <w:rFonts w:ascii="Arial" w:cs="Arial" w:eastAsia="Arial" w:hAnsi="Arial"/>
                <w:sz w:val="14"/>
                <w:szCs w:val="14"/>
                <w:color w:val="auto"/>
              </w:rPr>
              <w:t>118</w:t>
            </w:r>
          </w:p>
        </w:tc>
        <w:tc>
          <w:tcPr>
            <w:tcW w:w="340" w:type="dxa"/>
            <w:vAlign w:val="bottom"/>
          </w:tcPr>
          <w:p>
            <w:pPr>
              <w:spacing w:after="0"/>
              <w:rPr>
                <w:sz w:val="14"/>
                <w:szCs w:val="14"/>
                <w:color w:val="auto"/>
              </w:rPr>
            </w:pPr>
          </w:p>
        </w:tc>
        <w:tc>
          <w:tcPr>
            <w:tcW w:w="82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4"/>
                <w:szCs w:val="14"/>
                <w:color w:val="auto"/>
              </w:rPr>
            </w:pPr>
          </w:p>
        </w:tc>
        <w:tc>
          <w:tcPr>
            <w:tcW w:w="1080" w:type="dxa"/>
            <w:vAlign w:val="bottom"/>
          </w:tcPr>
          <w:p>
            <w:pPr>
              <w:jc w:val="center"/>
              <w:ind w:left="488"/>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118</w:t>
            </w:r>
          </w:p>
        </w:tc>
        <w:tc>
          <w:tcPr>
            <w:tcW w:w="0" w:type="dxa"/>
            <w:vAlign w:val="bottom"/>
          </w:tcPr>
          <w:p>
            <w:pPr>
              <w:spacing w:after="0"/>
              <w:rPr>
                <w:sz w:val="1"/>
                <w:szCs w:val="1"/>
                <w:color w:val="auto"/>
              </w:rPr>
            </w:pPr>
          </w:p>
        </w:tc>
      </w:tr>
      <w:tr>
        <w:trPr>
          <w:trHeight w:val="164"/>
        </w:trPr>
        <w:tc>
          <w:tcPr>
            <w:tcW w:w="5280" w:type="dxa"/>
            <w:vAlign w:val="bottom"/>
          </w:tcPr>
          <w:p>
            <w:pPr>
              <w:ind w:left="560"/>
              <w:spacing w:after="0" w:line="137" w:lineRule="exact"/>
              <w:rPr>
                <w:sz w:val="20"/>
                <w:szCs w:val="20"/>
                <w:color w:val="auto"/>
              </w:rPr>
            </w:pPr>
            <w:r>
              <w:rPr>
                <w:rFonts w:ascii="Arial" w:cs="Arial" w:eastAsia="Arial" w:hAnsi="Arial"/>
                <w:sz w:val="14"/>
                <w:szCs w:val="14"/>
                <w:color w:val="auto"/>
              </w:rPr>
              <w:t>Other securities</w:t>
            </w:r>
          </w:p>
        </w:tc>
        <w:tc>
          <w:tcPr>
            <w:tcW w:w="4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108"/>
              <w:spacing w:after="0" w:line="137" w:lineRule="exact"/>
              <w:rPr>
                <w:sz w:val="20"/>
                <w:szCs w:val="20"/>
                <w:color w:val="auto"/>
              </w:rPr>
            </w:pPr>
            <w:r>
              <w:rPr>
                <w:rFonts w:ascii="Arial" w:cs="Arial" w:eastAsia="Arial" w:hAnsi="Arial"/>
                <w:sz w:val="14"/>
                <w:szCs w:val="14"/>
                <w:color w:val="auto"/>
              </w:rPr>
              <w:t>―</w:t>
            </w:r>
          </w:p>
        </w:tc>
        <w:tc>
          <w:tcPr>
            <w:tcW w:w="3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88"/>
              <w:spacing w:after="0" w:line="137" w:lineRule="exact"/>
              <w:rPr>
                <w:sz w:val="20"/>
                <w:szCs w:val="20"/>
                <w:color w:val="auto"/>
              </w:rPr>
            </w:pPr>
            <w:r>
              <w:rPr>
                <w:rFonts w:ascii="Arial" w:cs="Arial" w:eastAsia="Arial" w:hAnsi="Arial"/>
                <w:sz w:val="14"/>
                <w:szCs w:val="14"/>
                <w:color w:val="auto"/>
              </w:rPr>
              <w:t>24</w:t>
            </w:r>
          </w:p>
        </w:tc>
        <w:tc>
          <w:tcPr>
            <w:tcW w:w="3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108"/>
              <w:spacing w:after="0" w:line="137" w:lineRule="exact"/>
              <w:rPr>
                <w:sz w:val="20"/>
                <w:szCs w:val="20"/>
                <w:color w:val="auto"/>
              </w:rPr>
            </w:pPr>
            <w:r>
              <w:rPr>
                <w:rFonts w:ascii="Arial" w:cs="Arial" w:eastAsia="Arial" w:hAnsi="Arial"/>
                <w:sz w:val="14"/>
                <w:szCs w:val="14"/>
                <w:color w:val="auto"/>
              </w:rPr>
              <w:t>―</w:t>
            </w:r>
          </w:p>
        </w:tc>
        <w:tc>
          <w:tcPr>
            <w:tcW w:w="34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center"/>
              <w:ind w:left="488"/>
              <w:spacing w:after="0" w:line="137" w:lineRule="exact"/>
              <w:rPr>
                <w:sz w:val="20"/>
                <w:szCs w:val="20"/>
                <w:color w:val="auto"/>
              </w:rPr>
            </w:pPr>
            <w:r>
              <w:rPr>
                <w:rFonts w:ascii="Arial" w:cs="Arial" w:eastAsia="Arial" w:hAnsi="Arial"/>
                <w:sz w:val="14"/>
                <w:szCs w:val="14"/>
                <w:color w:val="auto"/>
              </w:rPr>
              <w:t>―</w:t>
            </w:r>
          </w:p>
        </w:tc>
        <w:tc>
          <w:tcPr>
            <w:tcW w:w="38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spacing w:after="0" w:line="137" w:lineRule="exact"/>
              <w:rPr>
                <w:sz w:val="20"/>
                <w:szCs w:val="20"/>
                <w:color w:val="auto"/>
              </w:rPr>
            </w:pPr>
            <w:r>
              <w:rPr>
                <w:rFonts w:ascii="Arial" w:cs="Arial" w:eastAsia="Arial" w:hAnsi="Arial"/>
                <w:sz w:val="14"/>
                <w:szCs w:val="14"/>
                <w:color w:val="auto"/>
              </w:rPr>
              <w:t>24</w:t>
            </w:r>
          </w:p>
        </w:tc>
        <w:tc>
          <w:tcPr>
            <w:tcW w:w="0" w:type="dxa"/>
            <w:vAlign w:val="bottom"/>
          </w:tcPr>
          <w:p>
            <w:pPr>
              <w:spacing w:after="0"/>
              <w:rPr>
                <w:sz w:val="1"/>
                <w:szCs w:val="1"/>
                <w:color w:val="auto"/>
              </w:rPr>
            </w:pPr>
          </w:p>
        </w:tc>
      </w:tr>
      <w:tr>
        <w:trPr>
          <w:trHeight w:val="169"/>
        </w:trPr>
        <w:tc>
          <w:tcPr>
            <w:tcW w:w="5280" w:type="dxa"/>
            <w:vAlign w:val="bottom"/>
          </w:tcPr>
          <w:p>
            <w:pPr>
              <w:ind w:left="400"/>
              <w:spacing w:after="0" w:line="142" w:lineRule="exact"/>
              <w:rPr>
                <w:sz w:val="20"/>
                <w:szCs w:val="20"/>
                <w:color w:val="auto"/>
              </w:rPr>
            </w:pPr>
            <w:r>
              <w:rPr>
                <w:rFonts w:ascii="Arial" w:cs="Arial" w:eastAsia="Arial" w:hAnsi="Arial"/>
                <w:sz w:val="14"/>
                <w:szCs w:val="14"/>
                <w:color w:val="auto"/>
              </w:rPr>
              <w:t>Total debt securities</w:t>
            </w:r>
          </w:p>
        </w:tc>
        <w:tc>
          <w:tcPr>
            <w:tcW w:w="4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108"/>
              <w:spacing w:after="0" w:line="142" w:lineRule="exact"/>
              <w:rPr>
                <w:sz w:val="20"/>
                <w:szCs w:val="20"/>
                <w:color w:val="auto"/>
              </w:rPr>
            </w:pPr>
            <w:r>
              <w:rPr>
                <w:rFonts w:ascii="Arial" w:cs="Arial" w:eastAsia="Arial" w:hAnsi="Arial"/>
                <w:sz w:val="14"/>
                <w:szCs w:val="14"/>
                <w:color w:val="auto"/>
              </w:rPr>
              <w:t>144</w:t>
            </w:r>
          </w:p>
        </w:tc>
        <w:tc>
          <w:tcPr>
            <w:tcW w:w="3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88"/>
              <w:spacing w:after="0" w:line="142" w:lineRule="exact"/>
              <w:rPr>
                <w:sz w:val="20"/>
                <w:szCs w:val="20"/>
                <w:color w:val="auto"/>
              </w:rPr>
            </w:pPr>
            <w:r>
              <w:rPr>
                <w:rFonts w:ascii="Arial" w:cs="Arial" w:eastAsia="Arial" w:hAnsi="Arial"/>
                <w:sz w:val="14"/>
                <w:szCs w:val="14"/>
                <w:color w:val="auto"/>
              </w:rPr>
              <w:t>170</w:t>
            </w:r>
          </w:p>
        </w:tc>
        <w:tc>
          <w:tcPr>
            <w:tcW w:w="3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108"/>
              <w:spacing w:after="0" w:line="142" w:lineRule="exact"/>
              <w:rPr>
                <w:sz w:val="20"/>
                <w:szCs w:val="20"/>
                <w:color w:val="auto"/>
              </w:rPr>
            </w:pPr>
            <w:r>
              <w:rPr>
                <w:rFonts w:ascii="Arial" w:cs="Arial" w:eastAsia="Arial" w:hAnsi="Arial"/>
                <w:sz w:val="14"/>
                <w:szCs w:val="14"/>
                <w:color w:val="auto"/>
              </w:rPr>
              <w:t>―</w:t>
            </w:r>
          </w:p>
        </w:tc>
        <w:tc>
          <w:tcPr>
            <w:tcW w:w="34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center"/>
              <w:ind w:left="488"/>
              <w:spacing w:after="0" w:line="142" w:lineRule="exact"/>
              <w:rPr>
                <w:sz w:val="20"/>
                <w:szCs w:val="20"/>
                <w:color w:val="auto"/>
              </w:rPr>
            </w:pPr>
            <w:r>
              <w:rPr>
                <w:rFonts w:ascii="Arial" w:cs="Arial" w:eastAsia="Arial" w:hAnsi="Arial"/>
                <w:sz w:val="14"/>
                <w:szCs w:val="14"/>
                <w:color w:val="auto"/>
              </w:rPr>
              <w:t>―</w:t>
            </w:r>
          </w:p>
        </w:tc>
        <w:tc>
          <w:tcPr>
            <w:tcW w:w="38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314</w:t>
            </w:r>
          </w:p>
        </w:tc>
        <w:tc>
          <w:tcPr>
            <w:tcW w:w="0" w:type="dxa"/>
            <w:vAlign w:val="bottom"/>
          </w:tcPr>
          <w:p>
            <w:pPr>
              <w:spacing w:after="0"/>
              <w:rPr>
                <w:sz w:val="1"/>
                <w:szCs w:val="1"/>
                <w:color w:val="auto"/>
              </w:rPr>
            </w:pPr>
          </w:p>
        </w:tc>
      </w:tr>
      <w:tr>
        <w:trPr>
          <w:trHeight w:val="169"/>
        </w:trPr>
        <w:tc>
          <w:tcPr>
            <w:tcW w:w="5280" w:type="dxa"/>
            <w:vAlign w:val="bottom"/>
          </w:tcPr>
          <w:p>
            <w:pPr>
              <w:ind w:left="160"/>
              <w:spacing w:after="0" w:line="142" w:lineRule="exact"/>
              <w:rPr>
                <w:sz w:val="20"/>
                <w:szCs w:val="20"/>
                <w:color w:val="auto"/>
              </w:rPr>
            </w:pPr>
            <w:r>
              <w:rPr>
                <w:rFonts w:ascii="Arial" w:cs="Arial" w:eastAsia="Arial" w:hAnsi="Arial"/>
                <w:sz w:val="14"/>
                <w:szCs w:val="14"/>
                <w:color w:val="auto"/>
              </w:rPr>
              <w:t>Total nuclear decommissioning trusts(1)</w:t>
            </w:r>
          </w:p>
        </w:tc>
        <w:tc>
          <w:tcPr>
            <w:tcW w:w="4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108"/>
              <w:spacing w:after="0" w:line="142" w:lineRule="exact"/>
              <w:rPr>
                <w:sz w:val="20"/>
                <w:szCs w:val="20"/>
                <w:color w:val="auto"/>
              </w:rPr>
            </w:pPr>
            <w:r>
              <w:rPr>
                <w:rFonts w:ascii="Arial" w:cs="Arial" w:eastAsia="Arial" w:hAnsi="Arial"/>
                <w:sz w:val="14"/>
                <w:szCs w:val="14"/>
                <w:color w:val="auto"/>
              </w:rPr>
              <w:t>627</w:t>
            </w:r>
          </w:p>
        </w:tc>
        <w:tc>
          <w:tcPr>
            <w:tcW w:w="3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88"/>
              <w:spacing w:after="0" w:line="142" w:lineRule="exact"/>
              <w:rPr>
                <w:sz w:val="20"/>
                <w:szCs w:val="20"/>
                <w:color w:val="auto"/>
              </w:rPr>
            </w:pPr>
            <w:r>
              <w:rPr>
                <w:rFonts w:ascii="Arial" w:cs="Arial" w:eastAsia="Arial" w:hAnsi="Arial"/>
                <w:sz w:val="14"/>
                <w:szCs w:val="14"/>
                <w:color w:val="auto"/>
              </w:rPr>
              <w:t>170</w:t>
            </w:r>
          </w:p>
        </w:tc>
        <w:tc>
          <w:tcPr>
            <w:tcW w:w="3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108"/>
              <w:spacing w:after="0" w:line="142" w:lineRule="exact"/>
              <w:rPr>
                <w:sz w:val="20"/>
                <w:szCs w:val="20"/>
                <w:color w:val="auto"/>
              </w:rPr>
            </w:pPr>
            <w:r>
              <w:rPr>
                <w:rFonts w:ascii="Arial" w:cs="Arial" w:eastAsia="Arial" w:hAnsi="Arial"/>
                <w:sz w:val="14"/>
                <w:szCs w:val="14"/>
                <w:color w:val="auto"/>
              </w:rPr>
              <w:t>―</w:t>
            </w:r>
          </w:p>
        </w:tc>
        <w:tc>
          <w:tcPr>
            <w:tcW w:w="34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center"/>
              <w:ind w:left="488"/>
              <w:spacing w:after="0" w:line="142" w:lineRule="exact"/>
              <w:rPr>
                <w:sz w:val="20"/>
                <w:szCs w:val="20"/>
                <w:color w:val="auto"/>
              </w:rPr>
            </w:pPr>
            <w:r>
              <w:rPr>
                <w:rFonts w:ascii="Arial" w:cs="Arial" w:eastAsia="Arial" w:hAnsi="Arial"/>
                <w:sz w:val="14"/>
                <w:szCs w:val="14"/>
                <w:color w:val="auto"/>
              </w:rPr>
              <w:t>―</w:t>
            </w:r>
          </w:p>
        </w:tc>
        <w:tc>
          <w:tcPr>
            <w:tcW w:w="38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797</w:t>
            </w:r>
          </w:p>
        </w:tc>
        <w:tc>
          <w:tcPr>
            <w:tcW w:w="0" w:type="dxa"/>
            <w:vAlign w:val="bottom"/>
          </w:tcPr>
          <w:p>
            <w:pPr>
              <w:spacing w:after="0"/>
              <w:rPr>
                <w:sz w:val="1"/>
                <w:szCs w:val="1"/>
                <w:color w:val="auto"/>
              </w:rPr>
            </w:pPr>
          </w:p>
        </w:tc>
      </w:tr>
      <w:tr>
        <w:trPr>
          <w:trHeight w:val="167"/>
        </w:trPr>
        <w:tc>
          <w:tcPr>
            <w:tcW w:w="5280" w:type="dxa"/>
            <w:vAlign w:val="bottom"/>
          </w:tcPr>
          <w:p>
            <w:pPr>
              <w:ind w:left="160"/>
              <w:spacing w:after="0"/>
              <w:rPr>
                <w:sz w:val="20"/>
                <w:szCs w:val="20"/>
                <w:color w:val="auto"/>
              </w:rPr>
            </w:pPr>
            <w:r>
              <w:rPr>
                <w:rFonts w:ascii="Arial" w:cs="Arial" w:eastAsia="Arial" w:hAnsi="Arial"/>
                <w:sz w:val="14"/>
                <w:szCs w:val="14"/>
                <w:color w:val="auto"/>
              </w:rPr>
              <w:t>Commodity contracts subject to rate recovery</w:t>
            </w:r>
          </w:p>
        </w:tc>
        <w:tc>
          <w:tcPr>
            <w:tcW w:w="440" w:type="dxa"/>
            <w:vAlign w:val="bottom"/>
          </w:tcPr>
          <w:p>
            <w:pPr>
              <w:spacing w:after="0"/>
              <w:rPr>
                <w:sz w:val="14"/>
                <w:szCs w:val="14"/>
                <w:color w:val="auto"/>
              </w:rPr>
            </w:pPr>
          </w:p>
        </w:tc>
        <w:tc>
          <w:tcPr>
            <w:tcW w:w="820" w:type="dxa"/>
            <w:vAlign w:val="bottom"/>
          </w:tcPr>
          <w:p>
            <w:pPr>
              <w:jc w:val="right"/>
              <w:ind w:right="108"/>
              <w:spacing w:after="0"/>
              <w:rPr>
                <w:sz w:val="20"/>
                <w:szCs w:val="20"/>
                <w:color w:val="auto"/>
              </w:rPr>
            </w:pPr>
            <w:r>
              <w:rPr>
                <w:rFonts w:ascii="Arial" w:cs="Arial" w:eastAsia="Arial" w:hAnsi="Arial"/>
                <w:sz w:val="14"/>
                <w:szCs w:val="14"/>
                <w:color w:val="auto"/>
              </w:rPr>
              <w:t>18</w:t>
            </w:r>
          </w:p>
        </w:tc>
        <w:tc>
          <w:tcPr>
            <w:tcW w:w="320" w:type="dxa"/>
            <w:vAlign w:val="bottom"/>
          </w:tcPr>
          <w:p>
            <w:pPr>
              <w:spacing w:after="0"/>
              <w:rPr>
                <w:sz w:val="14"/>
                <w:szCs w:val="14"/>
                <w:color w:val="auto"/>
              </w:rPr>
            </w:pPr>
          </w:p>
        </w:tc>
        <w:tc>
          <w:tcPr>
            <w:tcW w:w="82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4"/>
                <w:szCs w:val="14"/>
                <w:color w:val="auto"/>
              </w:rPr>
            </w:pPr>
          </w:p>
        </w:tc>
        <w:tc>
          <w:tcPr>
            <w:tcW w:w="820" w:type="dxa"/>
            <w:vAlign w:val="bottom"/>
          </w:tcPr>
          <w:p>
            <w:pPr>
              <w:jc w:val="right"/>
              <w:ind w:right="108"/>
              <w:spacing w:after="0"/>
              <w:rPr>
                <w:sz w:val="20"/>
                <w:szCs w:val="20"/>
                <w:color w:val="auto"/>
              </w:rPr>
            </w:pPr>
            <w:r>
              <w:rPr>
                <w:rFonts w:ascii="Arial" w:cs="Arial" w:eastAsia="Arial" w:hAnsi="Arial"/>
                <w:sz w:val="14"/>
                <w:szCs w:val="14"/>
                <w:color w:val="auto"/>
              </w:rPr>
              <w:t>3</w:t>
            </w:r>
          </w:p>
        </w:tc>
        <w:tc>
          <w:tcPr>
            <w:tcW w:w="340" w:type="dxa"/>
            <w:vAlign w:val="bottom"/>
          </w:tcPr>
          <w:p>
            <w:pPr>
              <w:spacing w:after="0"/>
              <w:rPr>
                <w:sz w:val="14"/>
                <w:szCs w:val="14"/>
                <w:color w:val="auto"/>
              </w:rPr>
            </w:pPr>
          </w:p>
        </w:tc>
        <w:tc>
          <w:tcPr>
            <w:tcW w:w="1080" w:type="dxa"/>
            <w:vAlign w:val="bottom"/>
          </w:tcPr>
          <w:p>
            <w:pPr>
              <w:jc w:val="center"/>
              <w:ind w:left="488"/>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21</w:t>
            </w:r>
          </w:p>
        </w:tc>
        <w:tc>
          <w:tcPr>
            <w:tcW w:w="0" w:type="dxa"/>
            <w:vAlign w:val="bottom"/>
          </w:tcPr>
          <w:p>
            <w:pPr>
              <w:spacing w:after="0"/>
              <w:rPr>
                <w:sz w:val="1"/>
                <w:szCs w:val="1"/>
                <w:color w:val="auto"/>
              </w:rPr>
            </w:pPr>
          </w:p>
        </w:tc>
      </w:tr>
      <w:tr>
        <w:trPr>
          <w:trHeight w:val="164"/>
        </w:trPr>
        <w:tc>
          <w:tcPr>
            <w:tcW w:w="5280" w:type="dxa"/>
            <w:vAlign w:val="bottom"/>
          </w:tcPr>
          <w:p>
            <w:pPr>
              <w:ind w:left="160"/>
              <w:spacing w:after="0" w:line="137" w:lineRule="exact"/>
              <w:rPr>
                <w:sz w:val="20"/>
                <w:szCs w:val="20"/>
                <w:color w:val="auto"/>
              </w:rPr>
            </w:pPr>
            <w:r>
              <w:rPr>
                <w:rFonts w:ascii="Arial" w:cs="Arial" w:eastAsia="Arial" w:hAnsi="Arial"/>
                <w:sz w:val="14"/>
                <w:szCs w:val="14"/>
                <w:color w:val="auto"/>
              </w:rPr>
              <w:t>Commodity contracts not subject to rate recovery</w:t>
            </w:r>
          </w:p>
        </w:tc>
        <w:tc>
          <w:tcPr>
            <w:tcW w:w="4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108"/>
              <w:spacing w:after="0" w:line="137" w:lineRule="exact"/>
              <w:rPr>
                <w:sz w:val="20"/>
                <w:szCs w:val="20"/>
                <w:color w:val="auto"/>
              </w:rPr>
            </w:pPr>
            <w:r>
              <w:rPr>
                <w:rFonts w:ascii="Arial" w:cs="Arial" w:eastAsia="Arial" w:hAnsi="Arial"/>
                <w:sz w:val="14"/>
                <w:szCs w:val="14"/>
                <w:color w:val="auto"/>
              </w:rPr>
              <w:t>1</w:t>
            </w:r>
          </w:p>
        </w:tc>
        <w:tc>
          <w:tcPr>
            <w:tcW w:w="3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88"/>
              <w:spacing w:after="0" w:line="137" w:lineRule="exact"/>
              <w:rPr>
                <w:sz w:val="20"/>
                <w:szCs w:val="20"/>
                <w:color w:val="auto"/>
              </w:rPr>
            </w:pPr>
            <w:r>
              <w:rPr>
                <w:rFonts w:ascii="Arial" w:cs="Arial" w:eastAsia="Arial" w:hAnsi="Arial"/>
                <w:sz w:val="14"/>
                <w:szCs w:val="14"/>
                <w:color w:val="auto"/>
              </w:rPr>
              <w:t>―</w:t>
            </w:r>
          </w:p>
        </w:tc>
        <w:tc>
          <w:tcPr>
            <w:tcW w:w="3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108"/>
              <w:spacing w:after="0" w:line="137" w:lineRule="exact"/>
              <w:rPr>
                <w:sz w:val="20"/>
                <w:szCs w:val="20"/>
                <w:color w:val="auto"/>
              </w:rPr>
            </w:pPr>
            <w:r>
              <w:rPr>
                <w:rFonts w:ascii="Arial" w:cs="Arial" w:eastAsia="Arial" w:hAnsi="Arial"/>
                <w:sz w:val="14"/>
                <w:szCs w:val="14"/>
                <w:color w:val="auto"/>
              </w:rPr>
              <w:t>―</w:t>
            </w:r>
          </w:p>
        </w:tc>
        <w:tc>
          <w:tcPr>
            <w:tcW w:w="34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center"/>
              <w:ind w:left="488"/>
              <w:spacing w:after="0" w:line="137" w:lineRule="exact"/>
              <w:rPr>
                <w:sz w:val="20"/>
                <w:szCs w:val="20"/>
                <w:color w:val="auto"/>
              </w:rPr>
            </w:pPr>
            <w:r>
              <w:rPr>
                <w:rFonts w:ascii="Arial" w:cs="Arial" w:eastAsia="Arial" w:hAnsi="Arial"/>
                <w:sz w:val="14"/>
                <w:szCs w:val="14"/>
                <w:color w:val="auto"/>
              </w:rPr>
              <w:t>―</w:t>
            </w:r>
          </w:p>
        </w:tc>
        <w:tc>
          <w:tcPr>
            <w:tcW w:w="38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spacing w:after="0" w:line="137" w:lineRule="exact"/>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169"/>
        </w:trPr>
        <w:tc>
          <w:tcPr>
            <w:tcW w:w="5280" w:type="dxa"/>
            <w:vAlign w:val="bottom"/>
          </w:tcPr>
          <w:p>
            <w:pPr>
              <w:spacing w:after="0" w:line="142" w:lineRule="exact"/>
              <w:rPr>
                <w:sz w:val="20"/>
                <w:szCs w:val="20"/>
                <w:color w:val="auto"/>
              </w:rPr>
            </w:pPr>
            <w:r>
              <w:rPr>
                <w:rFonts w:ascii="Arial" w:cs="Arial" w:eastAsia="Arial" w:hAnsi="Arial"/>
                <w:sz w:val="14"/>
                <w:szCs w:val="14"/>
                <w:color w:val="auto"/>
              </w:rPr>
              <w:t>Total</w:t>
            </w:r>
          </w:p>
        </w:tc>
        <w:tc>
          <w:tcPr>
            <w:tcW w:w="4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tcPr>
          <w:p>
            <w:pPr>
              <w:jc w:val="right"/>
              <w:ind w:right="108"/>
              <w:spacing w:after="0" w:line="142" w:lineRule="exact"/>
              <w:rPr>
                <w:sz w:val="20"/>
                <w:szCs w:val="20"/>
                <w:color w:val="auto"/>
              </w:rPr>
            </w:pPr>
            <w:r>
              <w:rPr>
                <w:rFonts w:ascii="Arial" w:cs="Arial" w:eastAsia="Arial" w:hAnsi="Arial"/>
                <w:sz w:val="14"/>
                <w:szCs w:val="14"/>
                <w:color w:val="auto"/>
              </w:rPr>
              <w:t>646</w:t>
            </w:r>
          </w:p>
        </w:tc>
        <w:tc>
          <w:tcPr>
            <w:tcW w:w="320" w:type="dxa"/>
            <w:vAlign w:val="bottom"/>
            <w:tcBorders>
              <w:bottom w:val="single" w:sz="8" w:color="auto"/>
            </w:tcBorders>
          </w:tcPr>
          <w:p>
            <w:pPr>
              <w:jc w:val="right"/>
              <w:ind w:right="8"/>
              <w:spacing w:after="0" w:line="142" w:lineRule="exact"/>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tcPr>
          <w:p>
            <w:pPr>
              <w:jc w:val="right"/>
              <w:ind w:right="88"/>
              <w:spacing w:after="0" w:line="142" w:lineRule="exact"/>
              <w:rPr>
                <w:sz w:val="20"/>
                <w:szCs w:val="20"/>
                <w:color w:val="auto"/>
              </w:rPr>
            </w:pPr>
            <w:r>
              <w:rPr>
                <w:rFonts w:ascii="Arial" w:cs="Arial" w:eastAsia="Arial" w:hAnsi="Arial"/>
                <w:sz w:val="14"/>
                <w:szCs w:val="14"/>
                <w:color w:val="auto"/>
              </w:rPr>
              <w:t>170</w:t>
            </w:r>
          </w:p>
        </w:tc>
        <w:tc>
          <w:tcPr>
            <w:tcW w:w="340" w:type="dxa"/>
            <w:vAlign w:val="bottom"/>
            <w:tcBorders>
              <w:bottom w:val="single" w:sz="8" w:color="auto"/>
            </w:tcBorders>
          </w:tcPr>
          <w:p>
            <w:pPr>
              <w:jc w:val="right"/>
              <w:ind w:right="8"/>
              <w:spacing w:after="0" w:line="142" w:lineRule="exact"/>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tcPr>
          <w:p>
            <w:pPr>
              <w:jc w:val="right"/>
              <w:ind w:right="108"/>
              <w:spacing w:after="0" w:line="142" w:lineRule="exact"/>
              <w:rPr>
                <w:sz w:val="20"/>
                <w:szCs w:val="20"/>
                <w:color w:val="auto"/>
              </w:rPr>
            </w:pPr>
            <w:r>
              <w:rPr>
                <w:rFonts w:ascii="Arial" w:cs="Arial" w:eastAsia="Arial" w:hAnsi="Arial"/>
                <w:sz w:val="14"/>
                <w:szCs w:val="14"/>
                <w:color w:val="auto"/>
              </w:rPr>
              <w:t>3</w:t>
            </w:r>
          </w:p>
        </w:tc>
        <w:tc>
          <w:tcPr>
            <w:tcW w:w="340" w:type="dxa"/>
            <w:vAlign w:val="bottom"/>
            <w:tcBorders>
              <w:bottom w:val="single" w:sz="8" w:color="auto"/>
            </w:tcBorders>
          </w:tcPr>
          <w:p>
            <w:pPr>
              <w:jc w:val="right"/>
              <w:ind w:right="28"/>
              <w:spacing w:after="0" w:line="142" w:lineRule="exact"/>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tcPr>
          <w:p>
            <w:pPr>
              <w:jc w:val="center"/>
              <w:ind w:left="488"/>
              <w:spacing w:after="0" w:line="142" w:lineRule="exact"/>
              <w:rPr>
                <w:sz w:val="20"/>
                <w:szCs w:val="20"/>
                <w:color w:val="auto"/>
              </w:rPr>
            </w:pPr>
            <w:r>
              <w:rPr>
                <w:rFonts w:ascii="Arial" w:cs="Arial" w:eastAsia="Arial" w:hAnsi="Arial"/>
                <w:sz w:val="14"/>
                <w:szCs w:val="14"/>
                <w:color w:val="auto"/>
              </w:rPr>
              <w:t>―</w:t>
            </w:r>
          </w:p>
        </w:tc>
        <w:tc>
          <w:tcPr>
            <w:tcW w:w="380" w:type="dxa"/>
            <w:vAlign w:val="bottom"/>
            <w:tcBorders>
              <w:bottom w:val="single" w:sz="8" w:color="auto"/>
            </w:tcBorders>
          </w:tcPr>
          <w:p>
            <w:pPr>
              <w:jc w:val="right"/>
              <w:ind w:right="88"/>
              <w:spacing w:after="0" w:line="142" w:lineRule="exact"/>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819</w:t>
            </w:r>
          </w:p>
        </w:tc>
        <w:tc>
          <w:tcPr>
            <w:tcW w:w="0" w:type="dxa"/>
            <w:vAlign w:val="bottom"/>
          </w:tcPr>
          <w:p>
            <w:pPr>
              <w:spacing w:after="0"/>
              <w:rPr>
                <w:sz w:val="1"/>
                <w:szCs w:val="1"/>
                <w:color w:val="auto"/>
              </w:rPr>
            </w:pPr>
          </w:p>
        </w:tc>
      </w:tr>
      <w:tr>
        <w:trPr>
          <w:trHeight w:val="329"/>
        </w:trPr>
        <w:tc>
          <w:tcPr>
            <w:tcW w:w="5280" w:type="dxa"/>
            <w:vAlign w:val="bottom"/>
          </w:tcPr>
          <w:p>
            <w:pPr>
              <w:spacing w:after="0"/>
              <w:rPr>
                <w:sz w:val="20"/>
                <w:szCs w:val="20"/>
                <w:color w:val="auto"/>
              </w:rPr>
            </w:pPr>
            <w:r>
              <w:rPr>
                <w:rFonts w:ascii="Arial" w:cs="Arial" w:eastAsia="Arial" w:hAnsi="Arial"/>
                <w:sz w:val="14"/>
                <w:szCs w:val="14"/>
                <w:color w:val="auto"/>
              </w:rPr>
              <w:t>Liabilities:</w:t>
            </w:r>
          </w:p>
        </w:tc>
        <w:tc>
          <w:tcPr>
            <w:tcW w:w="4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5280" w:type="dxa"/>
            <w:vAlign w:val="bottom"/>
          </w:tcPr>
          <w:p>
            <w:pPr>
              <w:ind w:left="160"/>
              <w:spacing w:after="0"/>
              <w:rPr>
                <w:sz w:val="20"/>
                <w:szCs w:val="20"/>
                <w:color w:val="auto"/>
              </w:rPr>
            </w:pPr>
            <w:r>
              <w:rPr>
                <w:rFonts w:ascii="Arial" w:cs="Arial" w:eastAsia="Arial" w:hAnsi="Arial"/>
                <w:sz w:val="14"/>
                <w:szCs w:val="14"/>
                <w:color w:val="auto"/>
              </w:rPr>
              <w:t>Interest rate instruments</w:t>
            </w:r>
          </w:p>
        </w:tc>
        <w:tc>
          <w:tcPr>
            <w:tcW w:w="440" w:type="dxa"/>
            <w:vAlign w:val="bottom"/>
          </w:tcPr>
          <w:p>
            <w:pPr>
              <w:jc w:val="right"/>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32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88"/>
              <w:spacing w:after="0"/>
              <w:rPr>
                <w:sz w:val="20"/>
                <w:szCs w:val="20"/>
                <w:color w:val="auto"/>
              </w:rPr>
            </w:pPr>
            <w:r>
              <w:rPr>
                <w:rFonts w:ascii="Arial" w:cs="Arial" w:eastAsia="Arial" w:hAnsi="Arial"/>
                <w:sz w:val="14"/>
                <w:szCs w:val="14"/>
                <w:color w:val="auto"/>
              </w:rPr>
              <w:t>61</w:t>
            </w:r>
          </w:p>
        </w:tc>
        <w:tc>
          <w:tcPr>
            <w:tcW w:w="34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3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080" w:type="dxa"/>
            <w:vAlign w:val="bottom"/>
          </w:tcPr>
          <w:p>
            <w:pPr>
              <w:jc w:val="center"/>
              <w:ind w:left="488"/>
              <w:spacing w:after="0"/>
              <w:rPr>
                <w:sz w:val="20"/>
                <w:szCs w:val="20"/>
                <w:color w:val="auto"/>
              </w:rPr>
            </w:pPr>
            <w:r>
              <w:rPr>
                <w:rFonts w:ascii="Arial" w:cs="Arial" w:eastAsia="Arial" w:hAnsi="Arial"/>
                <w:sz w:val="14"/>
                <w:szCs w:val="14"/>
                <w:color w:val="auto"/>
              </w:rPr>
              <w:t>―</w:t>
            </w:r>
          </w:p>
        </w:tc>
        <w:tc>
          <w:tcPr>
            <w:tcW w:w="38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61</w:t>
            </w:r>
          </w:p>
        </w:tc>
        <w:tc>
          <w:tcPr>
            <w:tcW w:w="0" w:type="dxa"/>
            <w:vAlign w:val="bottom"/>
          </w:tcPr>
          <w:p>
            <w:pPr>
              <w:spacing w:after="0"/>
              <w:rPr>
                <w:sz w:val="1"/>
                <w:szCs w:val="1"/>
                <w:color w:val="auto"/>
              </w:rPr>
            </w:pPr>
          </w:p>
        </w:tc>
      </w:tr>
      <w:tr>
        <w:trPr>
          <w:trHeight w:val="164"/>
        </w:trPr>
        <w:tc>
          <w:tcPr>
            <w:tcW w:w="5280" w:type="dxa"/>
            <w:vAlign w:val="bottom"/>
          </w:tcPr>
          <w:p>
            <w:pPr>
              <w:ind w:left="160"/>
              <w:spacing w:after="0" w:line="137" w:lineRule="exact"/>
              <w:rPr>
                <w:sz w:val="20"/>
                <w:szCs w:val="20"/>
                <w:color w:val="auto"/>
              </w:rPr>
            </w:pPr>
            <w:r>
              <w:rPr>
                <w:rFonts w:ascii="Arial" w:cs="Arial" w:eastAsia="Arial" w:hAnsi="Arial"/>
                <w:sz w:val="14"/>
                <w:szCs w:val="14"/>
                <w:color w:val="auto"/>
              </w:rPr>
              <w:t>Commodity contracts subject to rate recovery</w:t>
            </w:r>
          </w:p>
        </w:tc>
        <w:tc>
          <w:tcPr>
            <w:tcW w:w="4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108"/>
              <w:spacing w:after="0" w:line="137" w:lineRule="exact"/>
              <w:rPr>
                <w:sz w:val="20"/>
                <w:szCs w:val="20"/>
                <w:color w:val="auto"/>
              </w:rPr>
            </w:pPr>
            <w:r>
              <w:rPr>
                <w:rFonts w:ascii="Arial" w:cs="Arial" w:eastAsia="Arial" w:hAnsi="Arial"/>
                <w:sz w:val="14"/>
                <w:szCs w:val="14"/>
                <w:color w:val="auto"/>
              </w:rPr>
              <w:t>42</w:t>
            </w:r>
          </w:p>
        </w:tc>
        <w:tc>
          <w:tcPr>
            <w:tcW w:w="3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88"/>
              <w:spacing w:after="0" w:line="137" w:lineRule="exact"/>
              <w:rPr>
                <w:sz w:val="20"/>
                <w:szCs w:val="20"/>
                <w:color w:val="auto"/>
              </w:rPr>
            </w:pPr>
            <w:r>
              <w:rPr>
                <w:rFonts w:ascii="Arial" w:cs="Arial" w:eastAsia="Arial" w:hAnsi="Arial"/>
                <w:sz w:val="14"/>
                <w:szCs w:val="14"/>
                <w:color w:val="auto"/>
              </w:rPr>
              <w:t>3</w:t>
            </w:r>
          </w:p>
        </w:tc>
        <w:tc>
          <w:tcPr>
            <w:tcW w:w="3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108"/>
              <w:spacing w:after="0" w:line="137" w:lineRule="exact"/>
              <w:rPr>
                <w:sz w:val="20"/>
                <w:szCs w:val="20"/>
                <w:color w:val="auto"/>
              </w:rPr>
            </w:pPr>
            <w:r>
              <w:rPr>
                <w:rFonts w:ascii="Arial" w:cs="Arial" w:eastAsia="Arial" w:hAnsi="Arial"/>
                <w:sz w:val="14"/>
                <w:szCs w:val="14"/>
                <w:color w:val="auto"/>
              </w:rPr>
              <w:t>―</w:t>
            </w:r>
          </w:p>
        </w:tc>
        <w:tc>
          <w:tcPr>
            <w:tcW w:w="34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center"/>
              <w:ind w:left="468"/>
              <w:spacing w:after="0" w:line="137" w:lineRule="exact"/>
              <w:rPr>
                <w:sz w:val="20"/>
                <w:szCs w:val="20"/>
                <w:color w:val="auto"/>
              </w:rPr>
            </w:pPr>
            <w:r>
              <w:rPr>
                <w:rFonts w:ascii="Arial" w:cs="Arial" w:eastAsia="Arial" w:hAnsi="Arial"/>
                <w:sz w:val="14"/>
                <w:szCs w:val="14"/>
                <w:color w:val="auto"/>
              </w:rPr>
              <w:t>(42)</w:t>
            </w:r>
          </w:p>
        </w:tc>
        <w:tc>
          <w:tcPr>
            <w:tcW w:w="38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spacing w:after="0" w:line="137" w:lineRule="exact"/>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169"/>
        </w:trPr>
        <w:tc>
          <w:tcPr>
            <w:tcW w:w="528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Total</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42</w:t>
            </w:r>
          </w:p>
        </w:tc>
        <w:tc>
          <w:tcPr>
            <w:tcW w:w="3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64</w:t>
            </w:r>
          </w:p>
        </w:tc>
        <w:tc>
          <w:tcPr>
            <w:tcW w:w="3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3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tcPr>
          <w:p>
            <w:pPr>
              <w:jc w:val="center"/>
              <w:ind w:left="468"/>
              <w:spacing w:after="0"/>
              <w:rPr>
                <w:sz w:val="20"/>
                <w:szCs w:val="20"/>
                <w:color w:val="auto"/>
              </w:rPr>
            </w:pPr>
            <w:r>
              <w:rPr>
                <w:rFonts w:ascii="Arial" w:cs="Arial" w:eastAsia="Arial" w:hAnsi="Arial"/>
                <w:sz w:val="14"/>
                <w:szCs w:val="14"/>
                <w:color w:val="auto"/>
              </w:rPr>
              <w:t>(42)</w:t>
            </w:r>
          </w:p>
        </w:tc>
        <w:tc>
          <w:tcPr>
            <w:tcW w:w="38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64</w:t>
            </w:r>
          </w:p>
        </w:tc>
        <w:tc>
          <w:tcPr>
            <w:tcW w:w="0" w:type="dxa"/>
            <w:vAlign w:val="bottom"/>
          </w:tcPr>
          <w:p>
            <w:pPr>
              <w:spacing w:after="0"/>
              <w:rPr>
                <w:sz w:val="1"/>
                <w:szCs w:val="1"/>
                <w:color w:val="auto"/>
              </w:rPr>
            </w:pPr>
          </w:p>
        </w:tc>
      </w:tr>
      <w:tr>
        <w:trPr>
          <w:trHeight w:val="331"/>
        </w:trPr>
        <w:tc>
          <w:tcPr>
            <w:tcW w:w="5280" w:type="dxa"/>
            <w:vAlign w:val="bottom"/>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3400" w:type="dxa"/>
            <w:vAlign w:val="bottom"/>
            <w:tcBorders>
              <w:bottom w:val="single" w:sz="8" w:color="auto"/>
            </w:tcBorders>
            <w:gridSpan w:val="5"/>
          </w:tcPr>
          <w:p>
            <w:pPr>
              <w:jc w:val="center"/>
              <w:ind w:right="348"/>
              <w:spacing w:after="0"/>
              <w:rPr>
                <w:sz w:val="20"/>
                <w:szCs w:val="20"/>
                <w:color w:val="auto"/>
              </w:rPr>
            </w:pPr>
            <w:r>
              <w:rPr>
                <w:rFonts w:ascii="Arial" w:cs="Arial" w:eastAsia="Arial" w:hAnsi="Arial"/>
                <w:sz w:val="14"/>
                <w:szCs w:val="14"/>
                <w:color w:val="auto"/>
              </w:rPr>
              <w:t>At fair value as of December 31, 2010</w:t>
            </w:r>
          </w:p>
        </w:tc>
        <w:tc>
          <w:tcPr>
            <w:tcW w:w="38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7"/>
        </w:trPr>
        <w:tc>
          <w:tcPr>
            <w:tcW w:w="52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80" w:type="dxa"/>
            <w:vAlign w:val="bottom"/>
          </w:tcPr>
          <w:p>
            <w:pPr>
              <w:jc w:val="center"/>
              <w:ind w:right="168"/>
              <w:spacing w:after="0"/>
              <w:rPr>
                <w:sz w:val="20"/>
                <w:szCs w:val="20"/>
                <w:color w:val="auto"/>
              </w:rPr>
            </w:pPr>
            <w:r>
              <w:rPr>
                <w:rFonts w:ascii="Arial" w:cs="Arial" w:eastAsia="Arial" w:hAnsi="Arial"/>
                <w:sz w:val="14"/>
                <w:szCs w:val="14"/>
                <w:color w:val="auto"/>
              </w:rPr>
              <w:t>Collateral</w:t>
            </w:r>
          </w:p>
        </w:tc>
        <w:tc>
          <w:tcPr>
            <w:tcW w:w="3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5280" w:type="dxa"/>
            <w:vAlign w:val="bottom"/>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208"/>
              <w:spacing w:after="0" w:line="157" w:lineRule="exact"/>
              <w:rPr>
                <w:sz w:val="20"/>
                <w:szCs w:val="20"/>
                <w:color w:val="auto"/>
              </w:rPr>
            </w:pPr>
            <w:r>
              <w:rPr>
                <w:rFonts w:ascii="Arial" w:cs="Arial" w:eastAsia="Arial" w:hAnsi="Arial"/>
                <w:sz w:val="14"/>
                <w:szCs w:val="14"/>
                <w:color w:val="auto"/>
              </w:rPr>
              <w:t>Level 1</w:t>
            </w:r>
          </w:p>
        </w:tc>
        <w:tc>
          <w:tcPr>
            <w:tcW w:w="3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208"/>
              <w:spacing w:after="0" w:line="157" w:lineRule="exact"/>
              <w:rPr>
                <w:sz w:val="20"/>
                <w:szCs w:val="20"/>
                <w:color w:val="auto"/>
              </w:rPr>
            </w:pPr>
            <w:r>
              <w:rPr>
                <w:rFonts w:ascii="Arial" w:cs="Arial" w:eastAsia="Arial" w:hAnsi="Arial"/>
                <w:sz w:val="14"/>
                <w:szCs w:val="14"/>
                <w:color w:val="auto"/>
              </w:rPr>
              <w:t>Level 2</w:t>
            </w:r>
          </w:p>
        </w:tc>
        <w:tc>
          <w:tcPr>
            <w:tcW w:w="3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208"/>
              <w:spacing w:after="0" w:line="157" w:lineRule="exact"/>
              <w:rPr>
                <w:sz w:val="20"/>
                <w:szCs w:val="20"/>
                <w:color w:val="auto"/>
              </w:rPr>
            </w:pPr>
            <w:r>
              <w:rPr>
                <w:rFonts w:ascii="Arial" w:cs="Arial" w:eastAsia="Arial" w:hAnsi="Arial"/>
                <w:sz w:val="14"/>
                <w:szCs w:val="14"/>
                <w:color w:val="auto"/>
              </w:rPr>
              <w:t>Level 3</w:t>
            </w:r>
          </w:p>
        </w:tc>
        <w:tc>
          <w:tcPr>
            <w:tcW w:w="34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center"/>
              <w:ind w:right="168"/>
              <w:spacing w:after="0" w:line="157" w:lineRule="exact"/>
              <w:rPr>
                <w:sz w:val="20"/>
                <w:szCs w:val="20"/>
                <w:color w:val="auto"/>
              </w:rPr>
            </w:pPr>
            <w:r>
              <w:rPr>
                <w:rFonts w:ascii="Arial" w:cs="Arial" w:eastAsia="Arial" w:hAnsi="Arial"/>
                <w:sz w:val="14"/>
                <w:szCs w:val="14"/>
                <w:color w:val="auto"/>
              </w:rPr>
              <w:t>netted</w:t>
            </w:r>
          </w:p>
        </w:tc>
        <w:tc>
          <w:tcPr>
            <w:tcW w:w="38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248"/>
              <w:spacing w:after="0" w:line="157" w:lineRule="exact"/>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167"/>
        </w:trPr>
        <w:tc>
          <w:tcPr>
            <w:tcW w:w="5280" w:type="dxa"/>
            <w:vAlign w:val="bottom"/>
          </w:tcPr>
          <w:p>
            <w:pPr>
              <w:spacing w:after="0"/>
              <w:rPr>
                <w:sz w:val="20"/>
                <w:szCs w:val="20"/>
                <w:color w:val="auto"/>
              </w:rPr>
            </w:pPr>
            <w:r>
              <w:rPr>
                <w:rFonts w:ascii="Arial" w:cs="Arial" w:eastAsia="Arial" w:hAnsi="Arial"/>
                <w:sz w:val="14"/>
                <w:szCs w:val="14"/>
                <w:color w:val="auto"/>
              </w:rPr>
              <w:t>Assets:</w:t>
            </w:r>
          </w:p>
        </w:tc>
        <w:tc>
          <w:tcPr>
            <w:tcW w:w="4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5280" w:type="dxa"/>
            <w:vAlign w:val="bottom"/>
          </w:tcPr>
          <w:p>
            <w:pPr>
              <w:ind w:left="160"/>
              <w:spacing w:after="0"/>
              <w:rPr>
                <w:sz w:val="20"/>
                <w:szCs w:val="20"/>
                <w:color w:val="auto"/>
              </w:rPr>
            </w:pPr>
            <w:r>
              <w:rPr>
                <w:rFonts w:ascii="Arial" w:cs="Arial" w:eastAsia="Arial" w:hAnsi="Arial"/>
                <w:sz w:val="14"/>
                <w:szCs w:val="14"/>
                <w:color w:val="auto"/>
              </w:rPr>
              <w:t>Nuclear decommissioning trusts</w:t>
            </w:r>
          </w:p>
        </w:tc>
        <w:tc>
          <w:tcPr>
            <w:tcW w:w="4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820" w:type="dxa"/>
            <w:vAlign w:val="bottom"/>
            <w:vMerge w:val="restart"/>
          </w:tcPr>
          <w:p>
            <w:pPr>
              <w:jc w:val="right"/>
              <w:ind w:right="108"/>
              <w:spacing w:after="0"/>
              <w:rPr>
                <w:sz w:val="20"/>
                <w:szCs w:val="20"/>
                <w:color w:val="auto"/>
              </w:rPr>
            </w:pPr>
            <w:r>
              <w:rPr>
                <w:rFonts w:ascii="Arial" w:cs="Arial" w:eastAsia="Arial" w:hAnsi="Arial"/>
                <w:sz w:val="14"/>
                <w:szCs w:val="14"/>
                <w:color w:val="auto"/>
              </w:rPr>
              <w:t>460</w:t>
            </w:r>
          </w:p>
        </w:tc>
        <w:tc>
          <w:tcPr>
            <w:tcW w:w="320" w:type="dxa"/>
            <w:vAlign w:val="bottom"/>
            <w:vMerge w:val="restart"/>
          </w:tcPr>
          <w:p>
            <w:pPr>
              <w:jc w:val="right"/>
              <w:ind w:right="8"/>
              <w:spacing w:after="0"/>
              <w:rPr>
                <w:sz w:val="20"/>
                <w:szCs w:val="20"/>
                <w:color w:val="auto"/>
              </w:rPr>
            </w:pPr>
            <w:r>
              <w:rPr>
                <w:rFonts w:ascii="Arial" w:cs="Arial" w:eastAsia="Arial" w:hAnsi="Arial"/>
                <w:sz w:val="14"/>
                <w:szCs w:val="14"/>
                <w:color w:val="auto"/>
              </w:rPr>
              <w:t>$</w:t>
            </w:r>
          </w:p>
        </w:tc>
        <w:tc>
          <w:tcPr>
            <w:tcW w:w="820" w:type="dxa"/>
            <w:vAlign w:val="bottom"/>
            <w:vMerge w:val="restart"/>
          </w:tcPr>
          <w:p>
            <w:pPr>
              <w:jc w:val="right"/>
              <w:ind w:right="88"/>
              <w:spacing w:after="0"/>
              <w:rPr>
                <w:sz w:val="20"/>
                <w:szCs w:val="20"/>
                <w:color w:val="auto"/>
              </w:rPr>
            </w:pPr>
            <w:r>
              <w:rPr>
                <w:rFonts w:ascii="Arial" w:cs="Arial" w:eastAsia="Arial" w:hAnsi="Arial"/>
                <w:sz w:val="14"/>
                <w:szCs w:val="14"/>
                <w:color w:val="auto"/>
              </w:rPr>
              <w:t>―</w:t>
            </w:r>
          </w:p>
        </w:tc>
        <w:tc>
          <w:tcPr>
            <w:tcW w:w="340" w:type="dxa"/>
            <w:vAlign w:val="bottom"/>
            <w:vMerge w:val="restart"/>
          </w:tcPr>
          <w:p>
            <w:pPr>
              <w:jc w:val="right"/>
              <w:ind w:right="8"/>
              <w:spacing w:after="0"/>
              <w:rPr>
                <w:sz w:val="20"/>
                <w:szCs w:val="20"/>
                <w:color w:val="auto"/>
              </w:rPr>
            </w:pPr>
            <w:r>
              <w:rPr>
                <w:rFonts w:ascii="Arial" w:cs="Arial" w:eastAsia="Arial" w:hAnsi="Arial"/>
                <w:sz w:val="14"/>
                <w:szCs w:val="14"/>
                <w:color w:val="auto"/>
              </w:rPr>
              <w:t>$</w:t>
            </w:r>
          </w:p>
        </w:tc>
        <w:tc>
          <w:tcPr>
            <w:tcW w:w="820" w:type="dxa"/>
            <w:vAlign w:val="bottom"/>
            <w:vMerge w:val="restart"/>
          </w:tcPr>
          <w:p>
            <w:pPr>
              <w:jc w:val="right"/>
              <w:ind w:right="108"/>
              <w:spacing w:after="0"/>
              <w:rPr>
                <w:sz w:val="20"/>
                <w:szCs w:val="20"/>
                <w:color w:val="auto"/>
              </w:rPr>
            </w:pPr>
            <w:r>
              <w:rPr>
                <w:rFonts w:ascii="Arial" w:cs="Arial" w:eastAsia="Arial" w:hAnsi="Arial"/>
                <w:sz w:val="14"/>
                <w:szCs w:val="14"/>
                <w:color w:val="auto"/>
              </w:rPr>
              <w:t>―</w:t>
            </w:r>
          </w:p>
        </w:tc>
        <w:tc>
          <w:tcPr>
            <w:tcW w:w="340" w:type="dxa"/>
            <w:vAlign w:val="bottom"/>
            <w:vMerge w:val="restart"/>
          </w:tcPr>
          <w:p>
            <w:pPr>
              <w:jc w:val="right"/>
              <w:ind w:right="28"/>
              <w:spacing w:after="0"/>
              <w:rPr>
                <w:sz w:val="20"/>
                <w:szCs w:val="20"/>
                <w:color w:val="auto"/>
              </w:rPr>
            </w:pPr>
            <w:r>
              <w:rPr>
                <w:rFonts w:ascii="Arial" w:cs="Arial" w:eastAsia="Arial" w:hAnsi="Arial"/>
                <w:sz w:val="14"/>
                <w:szCs w:val="14"/>
                <w:color w:val="auto"/>
              </w:rPr>
              <w:t>$</w:t>
            </w:r>
          </w:p>
        </w:tc>
        <w:tc>
          <w:tcPr>
            <w:tcW w:w="1080" w:type="dxa"/>
            <w:vAlign w:val="bottom"/>
            <w:vMerge w:val="restart"/>
          </w:tcPr>
          <w:p>
            <w:pPr>
              <w:jc w:val="center"/>
              <w:ind w:left="488"/>
              <w:spacing w:after="0"/>
              <w:rPr>
                <w:sz w:val="20"/>
                <w:szCs w:val="20"/>
                <w:color w:val="auto"/>
              </w:rPr>
            </w:pPr>
            <w:r>
              <w:rPr>
                <w:rFonts w:ascii="Arial" w:cs="Arial" w:eastAsia="Arial" w:hAnsi="Arial"/>
                <w:sz w:val="14"/>
                <w:szCs w:val="14"/>
                <w:color w:val="auto"/>
              </w:rPr>
              <w:t>―</w:t>
            </w:r>
          </w:p>
        </w:tc>
        <w:tc>
          <w:tcPr>
            <w:tcW w:w="380" w:type="dxa"/>
            <w:vAlign w:val="bottom"/>
            <w:vMerge w:val="restart"/>
          </w:tcPr>
          <w:p>
            <w:pPr>
              <w:jc w:val="right"/>
              <w:ind w:right="88"/>
              <w:spacing w:after="0"/>
              <w:rPr>
                <w:sz w:val="20"/>
                <w:szCs w:val="20"/>
                <w:color w:val="auto"/>
              </w:rPr>
            </w:pPr>
            <w:r>
              <w:rPr>
                <w:rFonts w:ascii="Arial" w:cs="Arial" w:eastAsia="Arial" w:hAnsi="Arial"/>
                <w:sz w:val="14"/>
                <w:szCs w:val="14"/>
                <w:color w:val="auto"/>
              </w:rPr>
              <w:t>$</w:t>
            </w:r>
          </w:p>
        </w:tc>
        <w:tc>
          <w:tcPr>
            <w:tcW w:w="780" w:type="dxa"/>
            <w:vAlign w:val="bottom"/>
            <w:vMerge w:val="restart"/>
          </w:tcPr>
          <w:p>
            <w:pPr>
              <w:jc w:val="right"/>
              <w:spacing w:after="0"/>
              <w:rPr>
                <w:sz w:val="20"/>
                <w:szCs w:val="20"/>
                <w:color w:val="auto"/>
              </w:rPr>
            </w:pPr>
            <w:r>
              <w:rPr>
                <w:rFonts w:ascii="Arial" w:cs="Arial" w:eastAsia="Arial" w:hAnsi="Arial"/>
                <w:sz w:val="14"/>
                <w:szCs w:val="14"/>
                <w:color w:val="auto"/>
              </w:rPr>
              <w:t>460</w:t>
            </w:r>
          </w:p>
        </w:tc>
        <w:tc>
          <w:tcPr>
            <w:tcW w:w="0" w:type="dxa"/>
            <w:vAlign w:val="bottom"/>
          </w:tcPr>
          <w:p>
            <w:pPr>
              <w:spacing w:after="0"/>
              <w:rPr>
                <w:sz w:val="1"/>
                <w:szCs w:val="1"/>
                <w:color w:val="auto"/>
              </w:rPr>
            </w:pPr>
          </w:p>
        </w:tc>
      </w:tr>
      <w:tr>
        <w:trPr>
          <w:trHeight w:val="159"/>
        </w:trPr>
        <w:tc>
          <w:tcPr>
            <w:tcW w:w="5280" w:type="dxa"/>
            <w:vAlign w:val="bottom"/>
          </w:tcPr>
          <w:p>
            <w:pPr>
              <w:ind w:left="400"/>
              <w:spacing w:after="0" w:line="127" w:lineRule="exact"/>
              <w:rPr>
                <w:sz w:val="20"/>
                <w:szCs w:val="20"/>
                <w:color w:val="auto"/>
              </w:rPr>
            </w:pPr>
            <w:r>
              <w:rPr>
                <w:rFonts w:ascii="Arial" w:cs="Arial" w:eastAsia="Arial" w:hAnsi="Arial"/>
                <w:sz w:val="14"/>
                <w:szCs w:val="14"/>
                <w:color w:val="auto"/>
              </w:rPr>
              <w:t>Equity securities</w:t>
            </w:r>
          </w:p>
        </w:tc>
        <w:tc>
          <w:tcPr>
            <w:tcW w:w="440" w:type="dxa"/>
            <w:vAlign w:val="bottom"/>
            <w:tcBorders>
              <w:bottom w:val="single" w:sz="8" w:color="auto"/>
            </w:tcBorders>
            <w:vMerge w:val="continue"/>
          </w:tcPr>
          <w:p>
            <w:pPr>
              <w:spacing w:after="0"/>
              <w:rPr>
                <w:sz w:val="13"/>
                <w:szCs w:val="13"/>
                <w:color w:val="auto"/>
              </w:rPr>
            </w:pPr>
          </w:p>
        </w:tc>
        <w:tc>
          <w:tcPr>
            <w:tcW w:w="820" w:type="dxa"/>
            <w:vAlign w:val="bottom"/>
            <w:tcBorders>
              <w:bottom w:val="single" w:sz="8" w:color="auto"/>
            </w:tcBorders>
            <w:vMerge w:val="continue"/>
          </w:tcPr>
          <w:p>
            <w:pPr>
              <w:spacing w:after="0"/>
              <w:rPr>
                <w:sz w:val="13"/>
                <w:szCs w:val="13"/>
                <w:color w:val="auto"/>
              </w:rPr>
            </w:pPr>
          </w:p>
        </w:tc>
        <w:tc>
          <w:tcPr>
            <w:tcW w:w="320" w:type="dxa"/>
            <w:vAlign w:val="bottom"/>
            <w:tcBorders>
              <w:bottom w:val="single" w:sz="8" w:color="auto"/>
            </w:tcBorders>
            <w:vMerge w:val="continue"/>
          </w:tcPr>
          <w:p>
            <w:pPr>
              <w:spacing w:after="0"/>
              <w:rPr>
                <w:sz w:val="13"/>
                <w:szCs w:val="13"/>
                <w:color w:val="auto"/>
              </w:rPr>
            </w:pPr>
          </w:p>
        </w:tc>
        <w:tc>
          <w:tcPr>
            <w:tcW w:w="820" w:type="dxa"/>
            <w:vAlign w:val="bottom"/>
            <w:tcBorders>
              <w:bottom w:val="single" w:sz="8" w:color="auto"/>
            </w:tcBorders>
            <w:vMerge w:val="continue"/>
          </w:tcPr>
          <w:p>
            <w:pPr>
              <w:spacing w:after="0"/>
              <w:rPr>
                <w:sz w:val="13"/>
                <w:szCs w:val="13"/>
                <w:color w:val="auto"/>
              </w:rPr>
            </w:pPr>
          </w:p>
        </w:tc>
        <w:tc>
          <w:tcPr>
            <w:tcW w:w="340" w:type="dxa"/>
            <w:vAlign w:val="bottom"/>
            <w:tcBorders>
              <w:bottom w:val="single" w:sz="8" w:color="auto"/>
            </w:tcBorders>
            <w:vMerge w:val="continue"/>
          </w:tcPr>
          <w:p>
            <w:pPr>
              <w:spacing w:after="0"/>
              <w:rPr>
                <w:sz w:val="13"/>
                <w:szCs w:val="13"/>
                <w:color w:val="auto"/>
              </w:rPr>
            </w:pPr>
          </w:p>
        </w:tc>
        <w:tc>
          <w:tcPr>
            <w:tcW w:w="820" w:type="dxa"/>
            <w:vAlign w:val="bottom"/>
            <w:tcBorders>
              <w:bottom w:val="single" w:sz="8" w:color="auto"/>
            </w:tcBorders>
            <w:vMerge w:val="continue"/>
          </w:tcPr>
          <w:p>
            <w:pPr>
              <w:spacing w:after="0"/>
              <w:rPr>
                <w:sz w:val="13"/>
                <w:szCs w:val="13"/>
                <w:color w:val="auto"/>
              </w:rPr>
            </w:pPr>
          </w:p>
        </w:tc>
        <w:tc>
          <w:tcPr>
            <w:tcW w:w="340" w:type="dxa"/>
            <w:vAlign w:val="bottom"/>
            <w:tcBorders>
              <w:bottom w:val="single" w:sz="8" w:color="auto"/>
            </w:tcBorders>
            <w:vMerge w:val="continue"/>
          </w:tcPr>
          <w:p>
            <w:pPr>
              <w:spacing w:after="0"/>
              <w:rPr>
                <w:sz w:val="13"/>
                <w:szCs w:val="13"/>
                <w:color w:val="auto"/>
              </w:rPr>
            </w:pPr>
          </w:p>
        </w:tc>
        <w:tc>
          <w:tcPr>
            <w:tcW w:w="1080" w:type="dxa"/>
            <w:vAlign w:val="bottom"/>
            <w:tcBorders>
              <w:bottom w:val="single" w:sz="8" w:color="auto"/>
            </w:tcBorders>
            <w:vMerge w:val="continue"/>
          </w:tcPr>
          <w:p>
            <w:pPr>
              <w:spacing w:after="0"/>
              <w:rPr>
                <w:sz w:val="13"/>
                <w:szCs w:val="13"/>
                <w:color w:val="auto"/>
              </w:rPr>
            </w:pPr>
          </w:p>
        </w:tc>
        <w:tc>
          <w:tcPr>
            <w:tcW w:w="380" w:type="dxa"/>
            <w:vAlign w:val="bottom"/>
            <w:tcBorders>
              <w:bottom w:val="single" w:sz="8" w:color="auto"/>
            </w:tcBorders>
            <w:vMerge w:val="continue"/>
          </w:tcPr>
          <w:p>
            <w:pPr>
              <w:spacing w:after="0"/>
              <w:rPr>
                <w:sz w:val="13"/>
                <w:szCs w:val="13"/>
                <w:color w:val="auto"/>
              </w:rPr>
            </w:pPr>
          </w:p>
        </w:tc>
        <w:tc>
          <w:tcPr>
            <w:tcW w:w="780" w:type="dxa"/>
            <w:vAlign w:val="bottom"/>
            <w:tcBorders>
              <w:bottom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67"/>
        </w:trPr>
        <w:tc>
          <w:tcPr>
            <w:tcW w:w="5280" w:type="dxa"/>
            <w:vAlign w:val="bottom"/>
          </w:tcPr>
          <w:p>
            <w:pPr>
              <w:ind w:left="400"/>
              <w:spacing w:after="0"/>
              <w:rPr>
                <w:sz w:val="20"/>
                <w:szCs w:val="20"/>
                <w:color w:val="auto"/>
              </w:rPr>
            </w:pPr>
            <w:r>
              <w:rPr>
                <w:rFonts w:ascii="Arial" w:cs="Arial" w:eastAsia="Arial" w:hAnsi="Arial"/>
                <w:sz w:val="14"/>
                <w:szCs w:val="14"/>
                <w:color w:val="auto"/>
              </w:rPr>
              <w:t>Debt securities:</w:t>
            </w:r>
          </w:p>
        </w:tc>
        <w:tc>
          <w:tcPr>
            <w:tcW w:w="4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280" w:type="dxa"/>
            <w:vAlign w:val="bottom"/>
          </w:tcPr>
          <w:p>
            <w:pPr>
              <w:ind w:left="560"/>
              <w:spacing w:after="0"/>
              <w:rPr>
                <w:sz w:val="20"/>
                <w:szCs w:val="20"/>
                <w:color w:val="auto"/>
              </w:rPr>
            </w:pPr>
            <w:r>
              <w:rPr>
                <w:rFonts w:ascii="Arial" w:cs="Arial" w:eastAsia="Arial" w:hAnsi="Arial"/>
                <w:sz w:val="14"/>
                <w:szCs w:val="14"/>
                <w:color w:val="auto"/>
              </w:rPr>
              <w:t>Debt securities issued by the U.S. Treasury and other</w:t>
            </w:r>
          </w:p>
        </w:tc>
        <w:tc>
          <w:tcPr>
            <w:tcW w:w="4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280" w:type="dxa"/>
            <w:vAlign w:val="bottom"/>
          </w:tcPr>
          <w:p>
            <w:pPr>
              <w:ind w:left="760"/>
              <w:spacing w:after="0"/>
              <w:rPr>
                <w:sz w:val="20"/>
                <w:szCs w:val="20"/>
                <w:color w:val="auto"/>
              </w:rPr>
            </w:pPr>
            <w:r>
              <w:rPr>
                <w:rFonts w:ascii="Arial" w:cs="Arial" w:eastAsia="Arial" w:hAnsi="Arial"/>
                <w:sz w:val="14"/>
                <w:szCs w:val="14"/>
                <w:color w:val="auto"/>
              </w:rPr>
              <w:t>U.S. government corporations and agencies</w:t>
            </w:r>
          </w:p>
        </w:tc>
        <w:tc>
          <w:tcPr>
            <w:tcW w:w="440" w:type="dxa"/>
            <w:vAlign w:val="bottom"/>
          </w:tcPr>
          <w:p>
            <w:pPr>
              <w:spacing w:after="0"/>
              <w:rPr>
                <w:sz w:val="14"/>
                <w:szCs w:val="14"/>
                <w:color w:val="auto"/>
              </w:rPr>
            </w:pPr>
          </w:p>
        </w:tc>
        <w:tc>
          <w:tcPr>
            <w:tcW w:w="820" w:type="dxa"/>
            <w:vAlign w:val="bottom"/>
          </w:tcPr>
          <w:p>
            <w:pPr>
              <w:jc w:val="right"/>
              <w:ind w:right="108"/>
              <w:spacing w:after="0"/>
              <w:rPr>
                <w:sz w:val="20"/>
                <w:szCs w:val="20"/>
                <w:color w:val="auto"/>
              </w:rPr>
            </w:pPr>
            <w:r>
              <w:rPr>
                <w:rFonts w:ascii="Arial" w:cs="Arial" w:eastAsia="Arial" w:hAnsi="Arial"/>
                <w:sz w:val="14"/>
                <w:szCs w:val="14"/>
                <w:color w:val="auto"/>
              </w:rPr>
              <w:t>144</w:t>
            </w:r>
          </w:p>
        </w:tc>
        <w:tc>
          <w:tcPr>
            <w:tcW w:w="320" w:type="dxa"/>
            <w:vAlign w:val="bottom"/>
          </w:tcPr>
          <w:p>
            <w:pPr>
              <w:spacing w:after="0"/>
              <w:rPr>
                <w:sz w:val="14"/>
                <w:szCs w:val="14"/>
                <w:color w:val="auto"/>
              </w:rPr>
            </w:pPr>
          </w:p>
        </w:tc>
        <w:tc>
          <w:tcPr>
            <w:tcW w:w="820" w:type="dxa"/>
            <w:vAlign w:val="bottom"/>
          </w:tcPr>
          <w:p>
            <w:pPr>
              <w:jc w:val="right"/>
              <w:ind w:right="88"/>
              <w:spacing w:after="0"/>
              <w:rPr>
                <w:sz w:val="20"/>
                <w:szCs w:val="20"/>
                <w:color w:val="auto"/>
              </w:rPr>
            </w:pPr>
            <w:r>
              <w:rPr>
                <w:rFonts w:ascii="Arial" w:cs="Arial" w:eastAsia="Arial" w:hAnsi="Arial"/>
                <w:sz w:val="14"/>
                <w:szCs w:val="14"/>
                <w:color w:val="auto"/>
              </w:rPr>
              <w:t>30</w:t>
            </w:r>
          </w:p>
        </w:tc>
        <w:tc>
          <w:tcPr>
            <w:tcW w:w="340" w:type="dxa"/>
            <w:vAlign w:val="bottom"/>
          </w:tcPr>
          <w:p>
            <w:pPr>
              <w:spacing w:after="0"/>
              <w:rPr>
                <w:sz w:val="14"/>
                <w:szCs w:val="14"/>
                <w:color w:val="auto"/>
              </w:rPr>
            </w:pPr>
          </w:p>
        </w:tc>
        <w:tc>
          <w:tcPr>
            <w:tcW w:w="82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4"/>
                <w:szCs w:val="14"/>
                <w:color w:val="auto"/>
              </w:rPr>
            </w:pPr>
          </w:p>
        </w:tc>
        <w:tc>
          <w:tcPr>
            <w:tcW w:w="1080" w:type="dxa"/>
            <w:vAlign w:val="bottom"/>
          </w:tcPr>
          <w:p>
            <w:pPr>
              <w:jc w:val="center"/>
              <w:ind w:left="488"/>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174</w:t>
            </w:r>
          </w:p>
        </w:tc>
        <w:tc>
          <w:tcPr>
            <w:tcW w:w="0" w:type="dxa"/>
            <w:vAlign w:val="bottom"/>
          </w:tcPr>
          <w:p>
            <w:pPr>
              <w:spacing w:after="0"/>
              <w:rPr>
                <w:sz w:val="1"/>
                <w:szCs w:val="1"/>
                <w:color w:val="auto"/>
              </w:rPr>
            </w:pPr>
          </w:p>
        </w:tc>
      </w:tr>
      <w:tr>
        <w:trPr>
          <w:trHeight w:val="162"/>
        </w:trPr>
        <w:tc>
          <w:tcPr>
            <w:tcW w:w="5280" w:type="dxa"/>
            <w:vAlign w:val="bottom"/>
          </w:tcPr>
          <w:p>
            <w:pPr>
              <w:ind w:left="560"/>
              <w:spacing w:after="0"/>
              <w:rPr>
                <w:sz w:val="20"/>
                <w:szCs w:val="20"/>
                <w:color w:val="auto"/>
              </w:rPr>
            </w:pPr>
            <w:r>
              <w:rPr>
                <w:rFonts w:ascii="Arial" w:cs="Arial" w:eastAsia="Arial" w:hAnsi="Arial"/>
                <w:sz w:val="14"/>
                <w:szCs w:val="14"/>
                <w:color w:val="auto"/>
              </w:rPr>
              <w:t>Municipal bonds</w:t>
            </w:r>
          </w:p>
        </w:tc>
        <w:tc>
          <w:tcPr>
            <w:tcW w:w="440" w:type="dxa"/>
            <w:vAlign w:val="bottom"/>
          </w:tcPr>
          <w:p>
            <w:pPr>
              <w:spacing w:after="0"/>
              <w:rPr>
                <w:sz w:val="14"/>
                <w:szCs w:val="14"/>
                <w:color w:val="auto"/>
              </w:rPr>
            </w:pPr>
          </w:p>
        </w:tc>
        <w:tc>
          <w:tcPr>
            <w:tcW w:w="82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4"/>
                <w:szCs w:val="14"/>
                <w:color w:val="auto"/>
              </w:rPr>
            </w:pPr>
          </w:p>
        </w:tc>
        <w:tc>
          <w:tcPr>
            <w:tcW w:w="820" w:type="dxa"/>
            <w:vAlign w:val="bottom"/>
          </w:tcPr>
          <w:p>
            <w:pPr>
              <w:jc w:val="right"/>
              <w:ind w:right="88"/>
              <w:spacing w:after="0"/>
              <w:rPr>
                <w:sz w:val="20"/>
                <w:szCs w:val="20"/>
                <w:color w:val="auto"/>
              </w:rPr>
            </w:pPr>
            <w:r>
              <w:rPr>
                <w:rFonts w:ascii="Arial" w:cs="Arial" w:eastAsia="Arial" w:hAnsi="Arial"/>
                <w:sz w:val="14"/>
                <w:szCs w:val="14"/>
                <w:color w:val="auto"/>
              </w:rPr>
              <w:t>100</w:t>
            </w:r>
          </w:p>
        </w:tc>
        <w:tc>
          <w:tcPr>
            <w:tcW w:w="340" w:type="dxa"/>
            <w:vAlign w:val="bottom"/>
          </w:tcPr>
          <w:p>
            <w:pPr>
              <w:spacing w:after="0"/>
              <w:rPr>
                <w:sz w:val="14"/>
                <w:szCs w:val="14"/>
                <w:color w:val="auto"/>
              </w:rPr>
            </w:pPr>
          </w:p>
        </w:tc>
        <w:tc>
          <w:tcPr>
            <w:tcW w:w="82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4"/>
                <w:szCs w:val="14"/>
                <w:color w:val="auto"/>
              </w:rPr>
            </w:pPr>
          </w:p>
        </w:tc>
        <w:tc>
          <w:tcPr>
            <w:tcW w:w="1080" w:type="dxa"/>
            <w:vAlign w:val="bottom"/>
          </w:tcPr>
          <w:p>
            <w:pPr>
              <w:jc w:val="center"/>
              <w:ind w:left="488"/>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100</w:t>
            </w:r>
          </w:p>
        </w:tc>
        <w:tc>
          <w:tcPr>
            <w:tcW w:w="0" w:type="dxa"/>
            <w:vAlign w:val="bottom"/>
          </w:tcPr>
          <w:p>
            <w:pPr>
              <w:spacing w:after="0"/>
              <w:rPr>
                <w:sz w:val="1"/>
                <w:szCs w:val="1"/>
                <w:color w:val="auto"/>
              </w:rPr>
            </w:pPr>
          </w:p>
        </w:tc>
      </w:tr>
      <w:tr>
        <w:trPr>
          <w:trHeight w:val="164"/>
        </w:trPr>
        <w:tc>
          <w:tcPr>
            <w:tcW w:w="5280" w:type="dxa"/>
            <w:vAlign w:val="bottom"/>
          </w:tcPr>
          <w:p>
            <w:pPr>
              <w:ind w:left="560"/>
              <w:spacing w:after="0" w:line="137" w:lineRule="exact"/>
              <w:rPr>
                <w:sz w:val="20"/>
                <w:szCs w:val="20"/>
                <w:color w:val="auto"/>
              </w:rPr>
            </w:pPr>
            <w:r>
              <w:rPr>
                <w:rFonts w:ascii="Arial" w:cs="Arial" w:eastAsia="Arial" w:hAnsi="Arial"/>
                <w:sz w:val="14"/>
                <w:szCs w:val="14"/>
                <w:color w:val="auto"/>
              </w:rPr>
              <w:t>Other securities</w:t>
            </w:r>
          </w:p>
        </w:tc>
        <w:tc>
          <w:tcPr>
            <w:tcW w:w="4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108"/>
              <w:spacing w:after="0" w:line="137" w:lineRule="exact"/>
              <w:rPr>
                <w:sz w:val="20"/>
                <w:szCs w:val="20"/>
                <w:color w:val="auto"/>
              </w:rPr>
            </w:pPr>
            <w:r>
              <w:rPr>
                <w:rFonts w:ascii="Arial" w:cs="Arial" w:eastAsia="Arial" w:hAnsi="Arial"/>
                <w:sz w:val="14"/>
                <w:szCs w:val="14"/>
                <w:color w:val="auto"/>
              </w:rPr>
              <w:t>―</w:t>
            </w:r>
          </w:p>
        </w:tc>
        <w:tc>
          <w:tcPr>
            <w:tcW w:w="3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88"/>
              <w:spacing w:after="0" w:line="137" w:lineRule="exact"/>
              <w:rPr>
                <w:sz w:val="20"/>
                <w:szCs w:val="20"/>
                <w:color w:val="auto"/>
              </w:rPr>
            </w:pPr>
            <w:r>
              <w:rPr>
                <w:rFonts w:ascii="Arial" w:cs="Arial" w:eastAsia="Arial" w:hAnsi="Arial"/>
                <w:sz w:val="14"/>
                <w:szCs w:val="14"/>
                <w:color w:val="auto"/>
              </w:rPr>
              <w:t>25</w:t>
            </w:r>
          </w:p>
        </w:tc>
        <w:tc>
          <w:tcPr>
            <w:tcW w:w="3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108"/>
              <w:spacing w:after="0" w:line="137" w:lineRule="exact"/>
              <w:rPr>
                <w:sz w:val="20"/>
                <w:szCs w:val="20"/>
                <w:color w:val="auto"/>
              </w:rPr>
            </w:pPr>
            <w:r>
              <w:rPr>
                <w:rFonts w:ascii="Arial" w:cs="Arial" w:eastAsia="Arial" w:hAnsi="Arial"/>
                <w:sz w:val="14"/>
                <w:szCs w:val="14"/>
                <w:color w:val="auto"/>
              </w:rPr>
              <w:t>―</w:t>
            </w:r>
          </w:p>
        </w:tc>
        <w:tc>
          <w:tcPr>
            <w:tcW w:w="34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center"/>
              <w:ind w:left="488"/>
              <w:spacing w:after="0" w:line="137" w:lineRule="exact"/>
              <w:rPr>
                <w:sz w:val="20"/>
                <w:szCs w:val="20"/>
                <w:color w:val="auto"/>
              </w:rPr>
            </w:pPr>
            <w:r>
              <w:rPr>
                <w:rFonts w:ascii="Arial" w:cs="Arial" w:eastAsia="Arial" w:hAnsi="Arial"/>
                <w:sz w:val="14"/>
                <w:szCs w:val="14"/>
                <w:color w:val="auto"/>
              </w:rPr>
              <w:t>―</w:t>
            </w:r>
          </w:p>
        </w:tc>
        <w:tc>
          <w:tcPr>
            <w:tcW w:w="38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spacing w:after="0" w:line="137" w:lineRule="exact"/>
              <w:rPr>
                <w:sz w:val="20"/>
                <w:szCs w:val="20"/>
                <w:color w:val="auto"/>
              </w:rPr>
            </w:pPr>
            <w:r>
              <w:rPr>
                <w:rFonts w:ascii="Arial" w:cs="Arial" w:eastAsia="Arial" w:hAnsi="Arial"/>
                <w:sz w:val="14"/>
                <w:szCs w:val="14"/>
                <w:color w:val="auto"/>
              </w:rPr>
              <w:t>25</w:t>
            </w:r>
          </w:p>
        </w:tc>
        <w:tc>
          <w:tcPr>
            <w:tcW w:w="0" w:type="dxa"/>
            <w:vAlign w:val="bottom"/>
          </w:tcPr>
          <w:p>
            <w:pPr>
              <w:spacing w:after="0"/>
              <w:rPr>
                <w:sz w:val="1"/>
                <w:szCs w:val="1"/>
                <w:color w:val="auto"/>
              </w:rPr>
            </w:pPr>
          </w:p>
        </w:tc>
      </w:tr>
      <w:tr>
        <w:trPr>
          <w:trHeight w:val="169"/>
        </w:trPr>
        <w:tc>
          <w:tcPr>
            <w:tcW w:w="5280" w:type="dxa"/>
            <w:vAlign w:val="bottom"/>
          </w:tcPr>
          <w:p>
            <w:pPr>
              <w:ind w:left="400"/>
              <w:spacing w:after="0" w:line="142" w:lineRule="exact"/>
              <w:rPr>
                <w:sz w:val="20"/>
                <w:szCs w:val="20"/>
                <w:color w:val="auto"/>
              </w:rPr>
            </w:pPr>
            <w:r>
              <w:rPr>
                <w:rFonts w:ascii="Arial" w:cs="Arial" w:eastAsia="Arial" w:hAnsi="Arial"/>
                <w:sz w:val="14"/>
                <w:szCs w:val="14"/>
                <w:color w:val="auto"/>
              </w:rPr>
              <w:t>Total debt securities</w:t>
            </w:r>
          </w:p>
        </w:tc>
        <w:tc>
          <w:tcPr>
            <w:tcW w:w="4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108"/>
              <w:spacing w:after="0" w:line="142" w:lineRule="exact"/>
              <w:rPr>
                <w:sz w:val="20"/>
                <w:szCs w:val="20"/>
                <w:color w:val="auto"/>
              </w:rPr>
            </w:pPr>
            <w:r>
              <w:rPr>
                <w:rFonts w:ascii="Arial" w:cs="Arial" w:eastAsia="Arial" w:hAnsi="Arial"/>
                <w:sz w:val="14"/>
                <w:szCs w:val="14"/>
                <w:color w:val="auto"/>
              </w:rPr>
              <w:t>144</w:t>
            </w:r>
          </w:p>
        </w:tc>
        <w:tc>
          <w:tcPr>
            <w:tcW w:w="3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88"/>
              <w:spacing w:after="0" w:line="142" w:lineRule="exact"/>
              <w:rPr>
                <w:sz w:val="20"/>
                <w:szCs w:val="20"/>
                <w:color w:val="auto"/>
              </w:rPr>
            </w:pPr>
            <w:r>
              <w:rPr>
                <w:rFonts w:ascii="Arial" w:cs="Arial" w:eastAsia="Arial" w:hAnsi="Arial"/>
                <w:sz w:val="14"/>
                <w:szCs w:val="14"/>
                <w:color w:val="auto"/>
              </w:rPr>
              <w:t>155</w:t>
            </w:r>
          </w:p>
        </w:tc>
        <w:tc>
          <w:tcPr>
            <w:tcW w:w="3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108"/>
              <w:spacing w:after="0" w:line="142" w:lineRule="exact"/>
              <w:rPr>
                <w:sz w:val="20"/>
                <w:szCs w:val="20"/>
                <w:color w:val="auto"/>
              </w:rPr>
            </w:pPr>
            <w:r>
              <w:rPr>
                <w:rFonts w:ascii="Arial" w:cs="Arial" w:eastAsia="Arial" w:hAnsi="Arial"/>
                <w:sz w:val="14"/>
                <w:szCs w:val="14"/>
                <w:color w:val="auto"/>
              </w:rPr>
              <w:t>―</w:t>
            </w:r>
          </w:p>
        </w:tc>
        <w:tc>
          <w:tcPr>
            <w:tcW w:w="34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center"/>
              <w:ind w:left="488"/>
              <w:spacing w:after="0" w:line="142" w:lineRule="exact"/>
              <w:rPr>
                <w:sz w:val="20"/>
                <w:szCs w:val="20"/>
                <w:color w:val="auto"/>
              </w:rPr>
            </w:pPr>
            <w:r>
              <w:rPr>
                <w:rFonts w:ascii="Arial" w:cs="Arial" w:eastAsia="Arial" w:hAnsi="Arial"/>
                <w:sz w:val="14"/>
                <w:szCs w:val="14"/>
                <w:color w:val="auto"/>
              </w:rPr>
              <w:t>―</w:t>
            </w:r>
          </w:p>
        </w:tc>
        <w:tc>
          <w:tcPr>
            <w:tcW w:w="38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299</w:t>
            </w:r>
          </w:p>
        </w:tc>
        <w:tc>
          <w:tcPr>
            <w:tcW w:w="0" w:type="dxa"/>
            <w:vAlign w:val="bottom"/>
          </w:tcPr>
          <w:p>
            <w:pPr>
              <w:spacing w:after="0"/>
              <w:rPr>
                <w:sz w:val="1"/>
                <w:szCs w:val="1"/>
                <w:color w:val="auto"/>
              </w:rPr>
            </w:pPr>
          </w:p>
        </w:tc>
      </w:tr>
      <w:tr>
        <w:trPr>
          <w:trHeight w:val="169"/>
        </w:trPr>
        <w:tc>
          <w:tcPr>
            <w:tcW w:w="5280" w:type="dxa"/>
            <w:vAlign w:val="bottom"/>
          </w:tcPr>
          <w:p>
            <w:pPr>
              <w:ind w:left="160"/>
              <w:spacing w:after="0" w:line="142" w:lineRule="exact"/>
              <w:rPr>
                <w:sz w:val="20"/>
                <w:szCs w:val="20"/>
                <w:color w:val="auto"/>
              </w:rPr>
            </w:pPr>
            <w:r>
              <w:rPr>
                <w:rFonts w:ascii="Arial" w:cs="Arial" w:eastAsia="Arial" w:hAnsi="Arial"/>
                <w:sz w:val="14"/>
                <w:szCs w:val="14"/>
                <w:color w:val="auto"/>
              </w:rPr>
              <w:t>Total nuclear decommissioning trusts(1)</w:t>
            </w:r>
          </w:p>
        </w:tc>
        <w:tc>
          <w:tcPr>
            <w:tcW w:w="4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108"/>
              <w:spacing w:after="0" w:line="142" w:lineRule="exact"/>
              <w:rPr>
                <w:sz w:val="20"/>
                <w:szCs w:val="20"/>
                <w:color w:val="auto"/>
              </w:rPr>
            </w:pPr>
            <w:r>
              <w:rPr>
                <w:rFonts w:ascii="Arial" w:cs="Arial" w:eastAsia="Arial" w:hAnsi="Arial"/>
                <w:sz w:val="14"/>
                <w:szCs w:val="14"/>
                <w:color w:val="auto"/>
              </w:rPr>
              <w:t>604</w:t>
            </w:r>
          </w:p>
        </w:tc>
        <w:tc>
          <w:tcPr>
            <w:tcW w:w="3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88"/>
              <w:spacing w:after="0" w:line="142" w:lineRule="exact"/>
              <w:rPr>
                <w:sz w:val="20"/>
                <w:szCs w:val="20"/>
                <w:color w:val="auto"/>
              </w:rPr>
            </w:pPr>
            <w:r>
              <w:rPr>
                <w:rFonts w:ascii="Arial" w:cs="Arial" w:eastAsia="Arial" w:hAnsi="Arial"/>
                <w:sz w:val="14"/>
                <w:szCs w:val="14"/>
                <w:color w:val="auto"/>
              </w:rPr>
              <w:t>155</w:t>
            </w:r>
          </w:p>
        </w:tc>
        <w:tc>
          <w:tcPr>
            <w:tcW w:w="3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108"/>
              <w:spacing w:after="0" w:line="142" w:lineRule="exact"/>
              <w:rPr>
                <w:sz w:val="20"/>
                <w:szCs w:val="20"/>
                <w:color w:val="auto"/>
              </w:rPr>
            </w:pPr>
            <w:r>
              <w:rPr>
                <w:rFonts w:ascii="Arial" w:cs="Arial" w:eastAsia="Arial" w:hAnsi="Arial"/>
                <w:sz w:val="14"/>
                <w:szCs w:val="14"/>
                <w:color w:val="auto"/>
              </w:rPr>
              <w:t>―</w:t>
            </w:r>
          </w:p>
        </w:tc>
        <w:tc>
          <w:tcPr>
            <w:tcW w:w="34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center"/>
              <w:ind w:left="488"/>
              <w:spacing w:after="0" w:line="142" w:lineRule="exact"/>
              <w:rPr>
                <w:sz w:val="20"/>
                <w:szCs w:val="20"/>
                <w:color w:val="auto"/>
              </w:rPr>
            </w:pPr>
            <w:r>
              <w:rPr>
                <w:rFonts w:ascii="Arial" w:cs="Arial" w:eastAsia="Arial" w:hAnsi="Arial"/>
                <w:sz w:val="14"/>
                <w:szCs w:val="14"/>
                <w:color w:val="auto"/>
              </w:rPr>
              <w:t>―</w:t>
            </w:r>
          </w:p>
        </w:tc>
        <w:tc>
          <w:tcPr>
            <w:tcW w:w="38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759</w:t>
            </w:r>
          </w:p>
        </w:tc>
        <w:tc>
          <w:tcPr>
            <w:tcW w:w="0" w:type="dxa"/>
            <w:vAlign w:val="bottom"/>
          </w:tcPr>
          <w:p>
            <w:pPr>
              <w:spacing w:after="0"/>
              <w:rPr>
                <w:sz w:val="1"/>
                <w:szCs w:val="1"/>
                <w:color w:val="auto"/>
              </w:rPr>
            </w:pPr>
          </w:p>
        </w:tc>
      </w:tr>
      <w:tr>
        <w:trPr>
          <w:trHeight w:val="167"/>
        </w:trPr>
        <w:tc>
          <w:tcPr>
            <w:tcW w:w="5280" w:type="dxa"/>
            <w:vAlign w:val="bottom"/>
          </w:tcPr>
          <w:p>
            <w:pPr>
              <w:ind w:left="160"/>
              <w:spacing w:after="0"/>
              <w:rPr>
                <w:sz w:val="20"/>
                <w:szCs w:val="20"/>
                <w:color w:val="auto"/>
              </w:rPr>
            </w:pPr>
            <w:r>
              <w:rPr>
                <w:rFonts w:ascii="Arial" w:cs="Arial" w:eastAsia="Arial" w:hAnsi="Arial"/>
                <w:sz w:val="14"/>
                <w:szCs w:val="14"/>
                <w:color w:val="auto"/>
              </w:rPr>
              <w:t>Commodity contracts subject to rate recovery</w:t>
            </w:r>
          </w:p>
        </w:tc>
        <w:tc>
          <w:tcPr>
            <w:tcW w:w="440" w:type="dxa"/>
            <w:vAlign w:val="bottom"/>
          </w:tcPr>
          <w:p>
            <w:pPr>
              <w:spacing w:after="0"/>
              <w:rPr>
                <w:sz w:val="14"/>
                <w:szCs w:val="14"/>
                <w:color w:val="auto"/>
              </w:rPr>
            </w:pPr>
          </w:p>
        </w:tc>
        <w:tc>
          <w:tcPr>
            <w:tcW w:w="820" w:type="dxa"/>
            <w:vAlign w:val="bottom"/>
          </w:tcPr>
          <w:p>
            <w:pPr>
              <w:jc w:val="right"/>
              <w:ind w:right="108"/>
              <w:spacing w:after="0"/>
              <w:rPr>
                <w:sz w:val="20"/>
                <w:szCs w:val="20"/>
                <w:color w:val="auto"/>
              </w:rPr>
            </w:pPr>
            <w:r>
              <w:rPr>
                <w:rFonts w:ascii="Arial" w:cs="Arial" w:eastAsia="Arial" w:hAnsi="Arial"/>
                <w:sz w:val="14"/>
                <w:szCs w:val="14"/>
                <w:color w:val="auto"/>
              </w:rPr>
              <w:t>24</w:t>
            </w:r>
          </w:p>
        </w:tc>
        <w:tc>
          <w:tcPr>
            <w:tcW w:w="320" w:type="dxa"/>
            <w:vAlign w:val="bottom"/>
          </w:tcPr>
          <w:p>
            <w:pPr>
              <w:spacing w:after="0"/>
              <w:rPr>
                <w:sz w:val="14"/>
                <w:szCs w:val="14"/>
                <w:color w:val="auto"/>
              </w:rPr>
            </w:pPr>
          </w:p>
        </w:tc>
        <w:tc>
          <w:tcPr>
            <w:tcW w:w="82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4"/>
                <w:szCs w:val="14"/>
                <w:color w:val="auto"/>
              </w:rPr>
            </w:pPr>
          </w:p>
        </w:tc>
        <w:tc>
          <w:tcPr>
            <w:tcW w:w="820" w:type="dxa"/>
            <w:vAlign w:val="bottom"/>
          </w:tcPr>
          <w:p>
            <w:pPr>
              <w:jc w:val="right"/>
              <w:ind w:right="108"/>
              <w:spacing w:after="0"/>
              <w:rPr>
                <w:sz w:val="20"/>
                <w:szCs w:val="20"/>
                <w:color w:val="auto"/>
              </w:rPr>
            </w:pPr>
            <w:r>
              <w:rPr>
                <w:rFonts w:ascii="Arial" w:cs="Arial" w:eastAsia="Arial" w:hAnsi="Arial"/>
                <w:sz w:val="14"/>
                <w:szCs w:val="14"/>
                <w:color w:val="auto"/>
              </w:rPr>
              <w:t>2</w:t>
            </w:r>
          </w:p>
        </w:tc>
        <w:tc>
          <w:tcPr>
            <w:tcW w:w="340" w:type="dxa"/>
            <w:vAlign w:val="bottom"/>
          </w:tcPr>
          <w:p>
            <w:pPr>
              <w:spacing w:after="0"/>
              <w:rPr>
                <w:sz w:val="14"/>
                <w:szCs w:val="14"/>
                <w:color w:val="auto"/>
              </w:rPr>
            </w:pPr>
          </w:p>
        </w:tc>
        <w:tc>
          <w:tcPr>
            <w:tcW w:w="1080" w:type="dxa"/>
            <w:vAlign w:val="bottom"/>
          </w:tcPr>
          <w:p>
            <w:pPr>
              <w:jc w:val="center"/>
              <w:ind w:left="488"/>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26</w:t>
            </w:r>
          </w:p>
        </w:tc>
        <w:tc>
          <w:tcPr>
            <w:tcW w:w="0" w:type="dxa"/>
            <w:vAlign w:val="bottom"/>
          </w:tcPr>
          <w:p>
            <w:pPr>
              <w:spacing w:after="0"/>
              <w:rPr>
                <w:sz w:val="1"/>
                <w:szCs w:val="1"/>
                <w:color w:val="auto"/>
              </w:rPr>
            </w:pPr>
          </w:p>
        </w:tc>
      </w:tr>
      <w:tr>
        <w:trPr>
          <w:trHeight w:val="164"/>
        </w:trPr>
        <w:tc>
          <w:tcPr>
            <w:tcW w:w="5280" w:type="dxa"/>
            <w:vAlign w:val="bottom"/>
          </w:tcPr>
          <w:p>
            <w:pPr>
              <w:ind w:left="160"/>
              <w:spacing w:after="0" w:line="137" w:lineRule="exact"/>
              <w:rPr>
                <w:sz w:val="20"/>
                <w:szCs w:val="20"/>
                <w:color w:val="auto"/>
              </w:rPr>
            </w:pPr>
            <w:r>
              <w:rPr>
                <w:rFonts w:ascii="Arial" w:cs="Arial" w:eastAsia="Arial" w:hAnsi="Arial"/>
                <w:sz w:val="14"/>
                <w:szCs w:val="14"/>
                <w:color w:val="auto"/>
              </w:rPr>
              <w:t>Commodity contracts not subject to rate recovery</w:t>
            </w:r>
          </w:p>
        </w:tc>
        <w:tc>
          <w:tcPr>
            <w:tcW w:w="4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108"/>
              <w:spacing w:after="0" w:line="137" w:lineRule="exact"/>
              <w:rPr>
                <w:sz w:val="20"/>
                <w:szCs w:val="20"/>
                <w:color w:val="auto"/>
              </w:rPr>
            </w:pPr>
            <w:r>
              <w:rPr>
                <w:rFonts w:ascii="Arial" w:cs="Arial" w:eastAsia="Arial" w:hAnsi="Arial"/>
                <w:sz w:val="14"/>
                <w:szCs w:val="14"/>
                <w:color w:val="auto"/>
              </w:rPr>
              <w:t>2</w:t>
            </w:r>
          </w:p>
        </w:tc>
        <w:tc>
          <w:tcPr>
            <w:tcW w:w="3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88"/>
              <w:spacing w:after="0" w:line="137" w:lineRule="exact"/>
              <w:rPr>
                <w:sz w:val="20"/>
                <w:szCs w:val="20"/>
                <w:color w:val="auto"/>
              </w:rPr>
            </w:pPr>
            <w:r>
              <w:rPr>
                <w:rFonts w:ascii="Arial" w:cs="Arial" w:eastAsia="Arial" w:hAnsi="Arial"/>
                <w:sz w:val="14"/>
                <w:szCs w:val="14"/>
                <w:color w:val="auto"/>
              </w:rPr>
              <w:t>―</w:t>
            </w:r>
          </w:p>
        </w:tc>
        <w:tc>
          <w:tcPr>
            <w:tcW w:w="3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108"/>
              <w:spacing w:after="0" w:line="137" w:lineRule="exact"/>
              <w:rPr>
                <w:sz w:val="20"/>
                <w:szCs w:val="20"/>
                <w:color w:val="auto"/>
              </w:rPr>
            </w:pPr>
            <w:r>
              <w:rPr>
                <w:rFonts w:ascii="Arial" w:cs="Arial" w:eastAsia="Arial" w:hAnsi="Arial"/>
                <w:sz w:val="14"/>
                <w:szCs w:val="14"/>
                <w:color w:val="auto"/>
              </w:rPr>
              <w:t>―</w:t>
            </w:r>
          </w:p>
        </w:tc>
        <w:tc>
          <w:tcPr>
            <w:tcW w:w="34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center"/>
              <w:ind w:left="488"/>
              <w:spacing w:after="0" w:line="137" w:lineRule="exact"/>
              <w:rPr>
                <w:sz w:val="20"/>
                <w:szCs w:val="20"/>
                <w:color w:val="auto"/>
              </w:rPr>
            </w:pPr>
            <w:r>
              <w:rPr>
                <w:rFonts w:ascii="Arial" w:cs="Arial" w:eastAsia="Arial" w:hAnsi="Arial"/>
                <w:sz w:val="14"/>
                <w:szCs w:val="14"/>
                <w:color w:val="auto"/>
              </w:rPr>
              <w:t>―</w:t>
            </w:r>
          </w:p>
        </w:tc>
        <w:tc>
          <w:tcPr>
            <w:tcW w:w="38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spacing w:after="0" w:line="137" w:lineRule="exact"/>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169"/>
        </w:trPr>
        <w:tc>
          <w:tcPr>
            <w:tcW w:w="5280" w:type="dxa"/>
            <w:vAlign w:val="bottom"/>
          </w:tcPr>
          <w:p>
            <w:pPr>
              <w:spacing w:after="0" w:line="142" w:lineRule="exact"/>
              <w:rPr>
                <w:sz w:val="20"/>
                <w:szCs w:val="20"/>
                <w:color w:val="auto"/>
              </w:rPr>
            </w:pPr>
            <w:r>
              <w:rPr>
                <w:rFonts w:ascii="Arial" w:cs="Arial" w:eastAsia="Arial" w:hAnsi="Arial"/>
                <w:sz w:val="14"/>
                <w:szCs w:val="14"/>
                <w:color w:val="auto"/>
              </w:rPr>
              <w:t>Total</w:t>
            </w:r>
          </w:p>
        </w:tc>
        <w:tc>
          <w:tcPr>
            <w:tcW w:w="4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tcPr>
          <w:p>
            <w:pPr>
              <w:jc w:val="right"/>
              <w:ind w:right="108"/>
              <w:spacing w:after="0" w:line="142" w:lineRule="exact"/>
              <w:rPr>
                <w:sz w:val="20"/>
                <w:szCs w:val="20"/>
                <w:color w:val="auto"/>
              </w:rPr>
            </w:pPr>
            <w:r>
              <w:rPr>
                <w:rFonts w:ascii="Arial" w:cs="Arial" w:eastAsia="Arial" w:hAnsi="Arial"/>
                <w:sz w:val="14"/>
                <w:szCs w:val="14"/>
                <w:color w:val="auto"/>
              </w:rPr>
              <w:t>630</w:t>
            </w:r>
          </w:p>
        </w:tc>
        <w:tc>
          <w:tcPr>
            <w:tcW w:w="320" w:type="dxa"/>
            <w:vAlign w:val="bottom"/>
            <w:tcBorders>
              <w:bottom w:val="single" w:sz="8" w:color="auto"/>
            </w:tcBorders>
          </w:tcPr>
          <w:p>
            <w:pPr>
              <w:jc w:val="right"/>
              <w:ind w:right="8"/>
              <w:spacing w:after="0" w:line="142" w:lineRule="exact"/>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tcPr>
          <w:p>
            <w:pPr>
              <w:jc w:val="right"/>
              <w:ind w:right="88"/>
              <w:spacing w:after="0" w:line="142" w:lineRule="exact"/>
              <w:rPr>
                <w:sz w:val="20"/>
                <w:szCs w:val="20"/>
                <w:color w:val="auto"/>
              </w:rPr>
            </w:pPr>
            <w:r>
              <w:rPr>
                <w:rFonts w:ascii="Arial" w:cs="Arial" w:eastAsia="Arial" w:hAnsi="Arial"/>
                <w:sz w:val="14"/>
                <w:szCs w:val="14"/>
                <w:color w:val="auto"/>
              </w:rPr>
              <w:t>155</w:t>
            </w:r>
          </w:p>
        </w:tc>
        <w:tc>
          <w:tcPr>
            <w:tcW w:w="340" w:type="dxa"/>
            <w:vAlign w:val="bottom"/>
            <w:tcBorders>
              <w:bottom w:val="single" w:sz="8" w:color="auto"/>
            </w:tcBorders>
          </w:tcPr>
          <w:p>
            <w:pPr>
              <w:jc w:val="right"/>
              <w:ind w:right="8"/>
              <w:spacing w:after="0" w:line="142" w:lineRule="exact"/>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tcPr>
          <w:p>
            <w:pPr>
              <w:jc w:val="right"/>
              <w:ind w:right="108"/>
              <w:spacing w:after="0" w:line="142" w:lineRule="exact"/>
              <w:rPr>
                <w:sz w:val="20"/>
                <w:szCs w:val="20"/>
                <w:color w:val="auto"/>
              </w:rPr>
            </w:pPr>
            <w:r>
              <w:rPr>
                <w:rFonts w:ascii="Arial" w:cs="Arial" w:eastAsia="Arial" w:hAnsi="Arial"/>
                <w:sz w:val="14"/>
                <w:szCs w:val="14"/>
                <w:color w:val="auto"/>
              </w:rPr>
              <w:t>2</w:t>
            </w:r>
          </w:p>
        </w:tc>
        <w:tc>
          <w:tcPr>
            <w:tcW w:w="340" w:type="dxa"/>
            <w:vAlign w:val="bottom"/>
            <w:tcBorders>
              <w:bottom w:val="single" w:sz="8" w:color="auto"/>
            </w:tcBorders>
          </w:tcPr>
          <w:p>
            <w:pPr>
              <w:jc w:val="right"/>
              <w:ind w:right="28"/>
              <w:spacing w:after="0" w:line="142" w:lineRule="exact"/>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tcPr>
          <w:p>
            <w:pPr>
              <w:jc w:val="center"/>
              <w:ind w:left="488"/>
              <w:spacing w:after="0" w:line="142" w:lineRule="exact"/>
              <w:rPr>
                <w:sz w:val="20"/>
                <w:szCs w:val="20"/>
                <w:color w:val="auto"/>
              </w:rPr>
            </w:pPr>
            <w:r>
              <w:rPr>
                <w:rFonts w:ascii="Arial" w:cs="Arial" w:eastAsia="Arial" w:hAnsi="Arial"/>
                <w:sz w:val="14"/>
                <w:szCs w:val="14"/>
                <w:color w:val="auto"/>
              </w:rPr>
              <w:t>―</w:t>
            </w:r>
          </w:p>
        </w:tc>
        <w:tc>
          <w:tcPr>
            <w:tcW w:w="380" w:type="dxa"/>
            <w:vAlign w:val="bottom"/>
            <w:tcBorders>
              <w:bottom w:val="single" w:sz="8" w:color="auto"/>
            </w:tcBorders>
          </w:tcPr>
          <w:p>
            <w:pPr>
              <w:jc w:val="right"/>
              <w:ind w:right="88"/>
              <w:spacing w:after="0" w:line="142" w:lineRule="exact"/>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787</w:t>
            </w:r>
          </w:p>
        </w:tc>
        <w:tc>
          <w:tcPr>
            <w:tcW w:w="0" w:type="dxa"/>
            <w:vAlign w:val="bottom"/>
          </w:tcPr>
          <w:p>
            <w:pPr>
              <w:spacing w:after="0"/>
              <w:rPr>
                <w:sz w:val="1"/>
                <w:szCs w:val="1"/>
                <w:color w:val="auto"/>
              </w:rPr>
            </w:pPr>
          </w:p>
        </w:tc>
      </w:tr>
    </w:tbl>
    <w:p>
      <w:pPr>
        <w:sectPr>
          <w:pgSz w:w="11900" w:h="16838" w:orient="portrait"/>
          <w:cols w:equalWidth="0" w:num="1">
            <w:col w:w="11420"/>
          </w:cols>
          <w:pgMar w:left="240" w:top="108" w:right="239" w:bottom="0" w:gutter="0" w:footer="0" w:header="0"/>
        </w:sectPr>
      </w:pPr>
    </w:p>
    <w:bookmarkStart w:id="41" w:name="page42"/>
    <w:bookmarkEnd w:id="4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280" w:type="dxa"/>
            <w:vAlign w:val="bottom"/>
          </w:tcPr>
          <w:p>
            <w:pPr>
              <w:spacing w:after="0"/>
              <w:rPr>
                <w:sz w:val="20"/>
                <w:szCs w:val="20"/>
                <w:color w:val="auto"/>
              </w:rPr>
            </w:pPr>
            <w:r>
              <w:rPr>
                <w:rFonts w:ascii="Arial" w:cs="Arial" w:eastAsia="Arial" w:hAnsi="Arial"/>
                <w:sz w:val="14"/>
                <w:szCs w:val="14"/>
                <w:color w:val="auto"/>
              </w:rPr>
              <w:t>Liabilities:</w:t>
            </w:r>
          </w:p>
        </w:tc>
        <w:tc>
          <w:tcPr>
            <w:tcW w:w="6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60" w:type="dxa"/>
            <w:vAlign w:val="bottom"/>
          </w:tcPr>
          <w:p>
            <w:pPr>
              <w:spacing w:after="0"/>
              <w:rPr>
                <w:sz w:val="14"/>
                <w:szCs w:val="14"/>
                <w:color w:val="auto"/>
              </w:rPr>
            </w:pPr>
          </w:p>
        </w:tc>
      </w:tr>
      <w:tr>
        <w:trPr>
          <w:trHeight w:val="162"/>
        </w:trPr>
        <w:tc>
          <w:tcPr>
            <w:tcW w:w="5280" w:type="dxa"/>
            <w:vAlign w:val="bottom"/>
          </w:tcPr>
          <w:p>
            <w:pPr>
              <w:ind w:left="160"/>
              <w:spacing w:after="0"/>
              <w:rPr>
                <w:sz w:val="20"/>
                <w:szCs w:val="20"/>
                <w:color w:val="auto"/>
              </w:rPr>
            </w:pPr>
            <w:r>
              <w:rPr>
                <w:rFonts w:ascii="Arial" w:cs="Arial" w:eastAsia="Arial" w:hAnsi="Arial"/>
                <w:sz w:val="14"/>
                <w:szCs w:val="14"/>
                <w:color w:val="auto"/>
              </w:rPr>
              <w:t>Interest rate instruments</w:t>
            </w:r>
          </w:p>
        </w:tc>
        <w:tc>
          <w:tcPr>
            <w:tcW w:w="66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60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540" w:type="dxa"/>
            <w:vAlign w:val="bottom"/>
          </w:tcPr>
          <w:p>
            <w:pPr>
              <w:jc w:val="right"/>
              <w:ind w:right="228"/>
              <w:spacing w:after="0"/>
              <w:rPr>
                <w:sz w:val="20"/>
                <w:szCs w:val="20"/>
                <w:color w:val="auto"/>
              </w:rPr>
            </w:pPr>
            <w:r>
              <w:rPr>
                <w:rFonts w:ascii="Arial" w:cs="Arial" w:eastAsia="Arial" w:hAnsi="Arial"/>
                <w:sz w:val="14"/>
                <w:szCs w:val="14"/>
                <w:color w:val="auto"/>
              </w:rPr>
              <w:t>$</w:t>
            </w:r>
          </w:p>
        </w:tc>
        <w:tc>
          <w:tcPr>
            <w:tcW w:w="600" w:type="dxa"/>
            <w:vAlign w:val="bottom"/>
          </w:tcPr>
          <w:p>
            <w:pPr>
              <w:jc w:val="right"/>
              <w:ind w:right="88"/>
              <w:spacing w:after="0"/>
              <w:rPr>
                <w:sz w:val="20"/>
                <w:szCs w:val="20"/>
                <w:color w:val="auto"/>
              </w:rPr>
            </w:pPr>
            <w:r>
              <w:rPr>
                <w:rFonts w:ascii="Arial" w:cs="Arial" w:eastAsia="Arial" w:hAnsi="Arial"/>
                <w:sz w:val="14"/>
                <w:szCs w:val="14"/>
                <w:color w:val="auto"/>
              </w:rPr>
              <w:t>58</w:t>
            </w:r>
          </w:p>
        </w:tc>
        <w:tc>
          <w:tcPr>
            <w:tcW w:w="54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620" w:type="dxa"/>
            <w:vAlign w:val="bottom"/>
          </w:tcPr>
          <w:p>
            <w:pPr>
              <w:ind w:left="300"/>
              <w:spacing w:after="0"/>
              <w:rPr>
                <w:sz w:val="20"/>
                <w:szCs w:val="20"/>
                <w:color w:val="auto"/>
              </w:rPr>
            </w:pPr>
            <w:r>
              <w:rPr>
                <w:rFonts w:ascii="Arial" w:cs="Arial" w:eastAsia="Arial" w:hAnsi="Arial"/>
                <w:sz w:val="14"/>
                <w:szCs w:val="14"/>
                <w:color w:val="auto"/>
              </w:rPr>
              <w:t>―</w:t>
            </w:r>
          </w:p>
        </w:tc>
        <w:tc>
          <w:tcPr>
            <w:tcW w:w="620" w:type="dxa"/>
            <w:vAlign w:val="bottom"/>
          </w:tcPr>
          <w:p>
            <w:pPr>
              <w:jc w:val="right"/>
              <w:ind w:right="308"/>
              <w:spacing w:after="0"/>
              <w:rPr>
                <w:sz w:val="20"/>
                <w:szCs w:val="20"/>
                <w:color w:val="auto"/>
              </w:rPr>
            </w:pPr>
            <w:r>
              <w:rPr>
                <w:rFonts w:ascii="Arial" w:cs="Arial" w:eastAsia="Arial" w:hAnsi="Arial"/>
                <w:sz w:val="14"/>
                <w:szCs w:val="14"/>
                <w:color w:val="auto"/>
              </w:rPr>
              <w:t>$</w:t>
            </w:r>
          </w:p>
        </w:tc>
        <w:tc>
          <w:tcPr>
            <w:tcW w:w="800" w:type="dxa"/>
            <w:vAlign w:val="bottom"/>
          </w:tcPr>
          <w:p>
            <w:pPr>
              <w:jc w:val="center"/>
              <w:ind w:left="208"/>
              <w:spacing w:after="0"/>
              <w:rPr>
                <w:sz w:val="20"/>
                <w:szCs w:val="20"/>
                <w:color w:val="auto"/>
              </w:rPr>
            </w:pPr>
            <w:r>
              <w:rPr>
                <w:rFonts w:ascii="Arial" w:cs="Arial" w:eastAsia="Arial" w:hAnsi="Arial"/>
                <w:sz w:val="14"/>
                <w:szCs w:val="14"/>
                <w:color w:val="auto"/>
              </w:rPr>
              <w:t>―</w:t>
            </w:r>
          </w:p>
        </w:tc>
        <w:tc>
          <w:tcPr>
            <w:tcW w:w="600" w:type="dxa"/>
            <w:vAlign w:val="bottom"/>
          </w:tcPr>
          <w:p>
            <w:pPr>
              <w:jc w:val="right"/>
              <w:ind w:right="308"/>
              <w:spacing w:after="0"/>
              <w:rPr>
                <w:sz w:val="20"/>
                <w:szCs w:val="20"/>
                <w:color w:val="auto"/>
              </w:rPr>
            </w:pPr>
            <w:r>
              <w:rPr>
                <w:rFonts w:ascii="Arial" w:cs="Arial" w:eastAsia="Arial" w:hAnsi="Arial"/>
                <w:sz w:val="14"/>
                <w:szCs w:val="14"/>
                <w:color w:val="auto"/>
              </w:rPr>
              <w:t>$</w:t>
            </w:r>
          </w:p>
        </w:tc>
        <w:tc>
          <w:tcPr>
            <w:tcW w:w="560" w:type="dxa"/>
            <w:vAlign w:val="bottom"/>
          </w:tcPr>
          <w:p>
            <w:pPr>
              <w:jc w:val="right"/>
              <w:spacing w:after="0"/>
              <w:rPr>
                <w:sz w:val="20"/>
                <w:szCs w:val="20"/>
                <w:color w:val="auto"/>
              </w:rPr>
            </w:pPr>
            <w:r>
              <w:rPr>
                <w:rFonts w:ascii="Arial" w:cs="Arial" w:eastAsia="Arial" w:hAnsi="Arial"/>
                <w:sz w:val="14"/>
                <w:szCs w:val="14"/>
                <w:color w:val="auto"/>
              </w:rPr>
              <w:t>58</w:t>
            </w:r>
          </w:p>
        </w:tc>
      </w:tr>
      <w:tr>
        <w:trPr>
          <w:trHeight w:val="164"/>
        </w:trPr>
        <w:tc>
          <w:tcPr>
            <w:tcW w:w="5280" w:type="dxa"/>
            <w:vAlign w:val="bottom"/>
          </w:tcPr>
          <w:p>
            <w:pPr>
              <w:ind w:left="160"/>
              <w:spacing w:after="0" w:line="137" w:lineRule="exact"/>
              <w:rPr>
                <w:sz w:val="20"/>
                <w:szCs w:val="20"/>
                <w:color w:val="auto"/>
              </w:rPr>
            </w:pPr>
            <w:r>
              <w:rPr>
                <w:rFonts w:ascii="Arial" w:cs="Arial" w:eastAsia="Arial" w:hAnsi="Arial"/>
                <w:sz w:val="14"/>
                <w:szCs w:val="14"/>
                <w:color w:val="auto"/>
              </w:rPr>
              <w:t>Commodity contracts subject to rate recovery</w:t>
            </w:r>
          </w:p>
        </w:tc>
        <w:tc>
          <w:tcPr>
            <w:tcW w:w="66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08"/>
              <w:spacing w:after="0" w:line="137" w:lineRule="exact"/>
              <w:rPr>
                <w:sz w:val="20"/>
                <w:szCs w:val="20"/>
                <w:color w:val="auto"/>
              </w:rPr>
            </w:pPr>
            <w:r>
              <w:rPr>
                <w:rFonts w:ascii="Arial" w:cs="Arial" w:eastAsia="Arial" w:hAnsi="Arial"/>
                <w:sz w:val="14"/>
                <w:szCs w:val="14"/>
                <w:color w:val="auto"/>
              </w:rPr>
              <w:t>60</w:t>
            </w:r>
          </w:p>
        </w:tc>
        <w:tc>
          <w:tcPr>
            <w:tcW w:w="54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88"/>
              <w:spacing w:after="0" w:line="137" w:lineRule="exact"/>
              <w:rPr>
                <w:sz w:val="20"/>
                <w:szCs w:val="20"/>
                <w:color w:val="auto"/>
              </w:rPr>
            </w:pPr>
            <w:r>
              <w:rPr>
                <w:rFonts w:ascii="Arial" w:cs="Arial" w:eastAsia="Arial" w:hAnsi="Arial"/>
                <w:sz w:val="14"/>
                <w:szCs w:val="14"/>
                <w:color w:val="auto"/>
              </w:rPr>
              <w:t>2</w:t>
            </w:r>
          </w:p>
        </w:tc>
        <w:tc>
          <w:tcPr>
            <w:tcW w:w="54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ind w:left="300"/>
              <w:spacing w:after="0" w:line="137" w:lineRule="exact"/>
              <w:rPr>
                <w:sz w:val="20"/>
                <w:szCs w:val="20"/>
                <w:color w:val="auto"/>
              </w:rPr>
            </w:pPr>
            <w:r>
              <w:rPr>
                <w:rFonts w:ascii="Arial" w:cs="Arial" w:eastAsia="Arial" w:hAnsi="Arial"/>
                <w:sz w:val="14"/>
                <w:szCs w:val="14"/>
                <w:color w:val="auto"/>
              </w:rPr>
              <w:t>―</w:t>
            </w:r>
          </w:p>
        </w:tc>
        <w:tc>
          <w:tcPr>
            <w:tcW w:w="6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center"/>
              <w:ind w:left="188"/>
              <w:spacing w:after="0" w:line="137" w:lineRule="exact"/>
              <w:rPr>
                <w:sz w:val="20"/>
                <w:szCs w:val="20"/>
                <w:color w:val="auto"/>
              </w:rPr>
            </w:pPr>
            <w:r>
              <w:rPr>
                <w:rFonts w:ascii="Arial" w:cs="Arial" w:eastAsia="Arial" w:hAnsi="Arial"/>
                <w:sz w:val="14"/>
                <w:szCs w:val="14"/>
                <w:color w:val="auto"/>
              </w:rPr>
              <w:t>(60)</w:t>
            </w:r>
          </w:p>
        </w:tc>
        <w:tc>
          <w:tcPr>
            <w:tcW w:w="6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spacing w:after="0" w:line="137" w:lineRule="exact"/>
              <w:rPr>
                <w:sz w:val="20"/>
                <w:szCs w:val="20"/>
                <w:color w:val="auto"/>
              </w:rPr>
            </w:pPr>
            <w:r>
              <w:rPr>
                <w:rFonts w:ascii="Arial" w:cs="Arial" w:eastAsia="Arial" w:hAnsi="Arial"/>
                <w:sz w:val="14"/>
                <w:szCs w:val="14"/>
                <w:color w:val="auto"/>
              </w:rPr>
              <w:t>2</w:t>
            </w:r>
          </w:p>
        </w:tc>
      </w:tr>
      <w:tr>
        <w:trPr>
          <w:trHeight w:val="169"/>
        </w:trPr>
        <w:tc>
          <w:tcPr>
            <w:tcW w:w="528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Total</w:t>
            </w:r>
          </w:p>
        </w:tc>
        <w:tc>
          <w:tcPr>
            <w:tcW w:w="66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rPr>
              <w:t>$</w:t>
            </w:r>
          </w:p>
        </w:tc>
        <w:tc>
          <w:tcPr>
            <w:tcW w:w="60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60</w:t>
            </w:r>
          </w:p>
        </w:tc>
        <w:tc>
          <w:tcPr>
            <w:tcW w:w="54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color w:val="auto"/>
              </w:rPr>
              <w:t>$</w:t>
            </w:r>
          </w:p>
        </w:tc>
        <w:tc>
          <w:tcPr>
            <w:tcW w:w="60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60</w:t>
            </w:r>
          </w:p>
        </w:tc>
        <w:tc>
          <w:tcPr>
            <w:tcW w:w="54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rPr>
              <w:t>$</w:t>
            </w:r>
          </w:p>
        </w:tc>
        <w:tc>
          <w:tcPr>
            <w:tcW w:w="620" w:type="dxa"/>
            <w:vAlign w:val="bottom"/>
            <w:tcBorders>
              <w:bottom w:val="single" w:sz="8" w:color="auto"/>
            </w:tcBorders>
          </w:tcPr>
          <w:p>
            <w:pPr>
              <w:ind w:left="300"/>
              <w:spacing w:after="0"/>
              <w:rPr>
                <w:sz w:val="20"/>
                <w:szCs w:val="20"/>
                <w:color w:val="auto"/>
              </w:rPr>
            </w:pPr>
            <w:r>
              <w:rPr>
                <w:rFonts w:ascii="Arial" w:cs="Arial" w:eastAsia="Arial" w:hAnsi="Arial"/>
                <w:sz w:val="14"/>
                <w:szCs w:val="14"/>
                <w:color w:val="auto"/>
              </w:rPr>
              <w:t>―</w:t>
            </w:r>
          </w:p>
        </w:tc>
        <w:tc>
          <w:tcPr>
            <w:tcW w:w="62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tcPr>
          <w:p>
            <w:pPr>
              <w:jc w:val="center"/>
              <w:ind w:left="188"/>
              <w:spacing w:after="0"/>
              <w:rPr>
                <w:sz w:val="20"/>
                <w:szCs w:val="20"/>
                <w:color w:val="auto"/>
              </w:rPr>
            </w:pPr>
            <w:r>
              <w:rPr>
                <w:rFonts w:ascii="Arial" w:cs="Arial" w:eastAsia="Arial" w:hAnsi="Arial"/>
                <w:sz w:val="14"/>
                <w:szCs w:val="14"/>
                <w:color w:val="auto"/>
              </w:rPr>
              <w:t>(60)</w:t>
            </w:r>
          </w:p>
        </w:tc>
        <w:tc>
          <w:tcPr>
            <w:tcW w:w="60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color w:val="auto"/>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60</w:t>
            </w:r>
          </w:p>
        </w:tc>
      </w:tr>
    </w:tbl>
    <w:p>
      <w:pPr>
        <w:spacing w:after="0" w:line="31" w:lineRule="exact"/>
        <w:rPr>
          <w:sz w:val="20"/>
          <w:szCs w:val="20"/>
          <w:color w:val="auto"/>
        </w:rPr>
      </w:pPr>
    </w:p>
    <w:p>
      <w:pPr>
        <w:ind w:left="640" w:hanging="632"/>
        <w:spacing w:after="0"/>
        <w:tabs>
          <w:tab w:leader="none" w:pos="640" w:val="left"/>
        </w:tabs>
        <w:numPr>
          <w:ilvl w:val="0"/>
          <w:numId w:val="33"/>
        </w:numPr>
        <w:rPr>
          <w:rFonts w:ascii="Arial" w:cs="Arial" w:eastAsia="Arial" w:hAnsi="Arial"/>
          <w:sz w:val="14"/>
          <w:szCs w:val="14"/>
          <w:i w:val="1"/>
          <w:iCs w:val="1"/>
          <w:color w:val="auto"/>
        </w:rPr>
      </w:pPr>
      <w:r>
        <w:rPr>
          <w:rFonts w:ascii="Arial" w:cs="Arial" w:eastAsia="Arial" w:hAnsi="Arial"/>
          <w:sz w:val="14"/>
          <w:szCs w:val="14"/>
          <w:i w:val="1"/>
          <w:iCs w:val="1"/>
          <w:color w:val="auto"/>
        </w:rPr>
        <w:t>Excludes cash balances and cash equivalents.</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RECURRING FAIR VALUE MEASURES -- SOCALGAS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-104775</wp:posOffset>
            </wp:positionV>
            <wp:extent cx="7246620" cy="22288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46620" cy="222885"/>
                    </a:xfrm>
                    <a:prstGeom prst="rect">
                      <a:avLst/>
                    </a:prstGeom>
                    <a:noFill/>
                  </pic:spPr>
                </pic:pic>
              </a:graphicData>
            </a:graphic>
          </wp:anchor>
        </w:drawing>
      </w:r>
    </w:p>
    <w:p>
      <w:pPr>
        <w:spacing w:after="0" w:line="8"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(Dollars in millions)</w:t>
      </w:r>
    </w:p>
    <w:tbl>
      <w:tblPr>
        <w:tblLayout w:type="fixed"/>
        <w:tblInd w:w="0" w:type="dxa"/>
        <w:tblCellMar>
          <w:top w:w="0" w:type="dxa"/>
          <w:left w:w="0" w:type="dxa"/>
          <w:bottom w:w="0" w:type="dxa"/>
          <w:right w:w="0" w:type="dxa"/>
        </w:tblCellMar>
      </w:tblPr>
      <w:tr>
        <w:trPr>
          <w:trHeight w:val="165"/>
        </w:trPr>
        <w:tc>
          <w:tcPr>
            <w:tcW w:w="4540" w:type="dxa"/>
            <w:vAlign w:val="bottom"/>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3160" w:type="dxa"/>
            <w:vAlign w:val="bottom"/>
            <w:tcBorders>
              <w:bottom w:val="single" w:sz="8" w:color="auto"/>
            </w:tcBorders>
            <w:gridSpan w:val="5"/>
          </w:tcPr>
          <w:p>
            <w:pPr>
              <w:jc w:val="right"/>
              <w:ind w:right="108"/>
              <w:spacing w:after="0" w:line="159" w:lineRule="exact"/>
              <w:rPr>
                <w:sz w:val="20"/>
                <w:szCs w:val="20"/>
                <w:color w:val="auto"/>
              </w:rPr>
            </w:pPr>
            <w:r>
              <w:rPr>
                <w:rFonts w:ascii="Arial" w:cs="Arial" w:eastAsia="Arial" w:hAnsi="Arial"/>
                <w:sz w:val="14"/>
                <w:szCs w:val="14"/>
                <w:color w:val="auto"/>
              </w:rPr>
              <w:t>At fair value as of June 30, 2011</w:t>
            </w:r>
          </w:p>
        </w:tc>
        <w:tc>
          <w:tcPr>
            <w:tcW w:w="96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r>
      <w:tr>
        <w:trPr>
          <w:trHeight w:val="167"/>
        </w:trPr>
        <w:tc>
          <w:tcPr>
            <w:tcW w:w="45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60" w:type="dxa"/>
            <w:vAlign w:val="bottom"/>
          </w:tcPr>
          <w:p>
            <w:pPr>
              <w:jc w:val="center"/>
              <w:ind w:right="248"/>
              <w:spacing w:after="0"/>
              <w:rPr>
                <w:sz w:val="20"/>
                <w:szCs w:val="20"/>
                <w:color w:val="auto"/>
              </w:rPr>
            </w:pPr>
            <w:r>
              <w:rPr>
                <w:rFonts w:ascii="Arial" w:cs="Arial" w:eastAsia="Arial" w:hAnsi="Arial"/>
                <w:sz w:val="14"/>
                <w:szCs w:val="14"/>
                <w:color w:val="auto"/>
              </w:rPr>
              <w:t>Collateral</w:t>
            </w:r>
          </w:p>
        </w:tc>
        <w:tc>
          <w:tcPr>
            <w:tcW w:w="42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64"/>
        </w:trPr>
        <w:tc>
          <w:tcPr>
            <w:tcW w:w="4540" w:type="dxa"/>
            <w:vAlign w:val="bottom"/>
          </w:tcPr>
          <w:p>
            <w:pPr>
              <w:spacing w:after="0"/>
              <w:rPr>
                <w:sz w:val="14"/>
                <w:szCs w:val="14"/>
                <w:color w:val="auto"/>
              </w:rPr>
            </w:pPr>
          </w:p>
        </w:tc>
        <w:tc>
          <w:tcPr>
            <w:tcW w:w="1140" w:type="dxa"/>
            <w:vAlign w:val="bottom"/>
            <w:tcBorders>
              <w:bottom w:val="single" w:sz="8" w:color="auto"/>
            </w:tcBorders>
          </w:tcPr>
          <w:p>
            <w:pPr>
              <w:jc w:val="right"/>
              <w:spacing w:after="0" w:line="157" w:lineRule="exact"/>
              <w:rPr>
                <w:sz w:val="20"/>
                <w:szCs w:val="20"/>
                <w:color w:val="auto"/>
              </w:rPr>
            </w:pPr>
            <w:r>
              <w:rPr>
                <w:rFonts w:ascii="Arial" w:cs="Arial" w:eastAsia="Arial" w:hAnsi="Arial"/>
                <w:sz w:val="14"/>
                <w:szCs w:val="14"/>
                <w:color w:val="auto"/>
              </w:rPr>
              <w:t>Level 1</w:t>
            </w:r>
          </w:p>
        </w:tc>
        <w:tc>
          <w:tcPr>
            <w:tcW w:w="36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spacing w:after="0" w:line="157" w:lineRule="exact"/>
              <w:rPr>
                <w:sz w:val="20"/>
                <w:szCs w:val="20"/>
                <w:color w:val="auto"/>
              </w:rPr>
            </w:pPr>
            <w:r>
              <w:rPr>
                <w:rFonts w:ascii="Arial" w:cs="Arial" w:eastAsia="Arial" w:hAnsi="Arial"/>
                <w:sz w:val="14"/>
                <w:szCs w:val="14"/>
                <w:color w:val="auto"/>
              </w:rPr>
              <w:t>Level 2</w:t>
            </w:r>
          </w:p>
        </w:tc>
        <w:tc>
          <w:tcPr>
            <w:tcW w:w="36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ind w:left="120"/>
              <w:spacing w:after="0" w:line="157" w:lineRule="exact"/>
              <w:rPr>
                <w:sz w:val="20"/>
                <w:szCs w:val="20"/>
                <w:color w:val="auto"/>
              </w:rPr>
            </w:pPr>
            <w:r>
              <w:rPr>
                <w:rFonts w:ascii="Arial" w:cs="Arial" w:eastAsia="Arial" w:hAnsi="Arial"/>
                <w:sz w:val="14"/>
                <w:szCs w:val="14"/>
                <w:color w:val="auto"/>
              </w:rPr>
              <w:t>Level 3</w:t>
            </w:r>
          </w:p>
        </w:tc>
        <w:tc>
          <w:tcPr>
            <w:tcW w:w="44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center"/>
              <w:ind w:right="248"/>
              <w:spacing w:after="0" w:line="157" w:lineRule="exact"/>
              <w:rPr>
                <w:sz w:val="20"/>
                <w:szCs w:val="20"/>
                <w:color w:val="auto"/>
              </w:rPr>
            </w:pPr>
            <w:r>
              <w:rPr>
                <w:rFonts w:ascii="Arial" w:cs="Arial" w:eastAsia="Arial" w:hAnsi="Arial"/>
                <w:sz w:val="14"/>
                <w:szCs w:val="14"/>
                <w:color w:val="auto"/>
              </w:rPr>
              <w:t>netted</w:t>
            </w:r>
          </w:p>
        </w:tc>
        <w:tc>
          <w:tcPr>
            <w:tcW w:w="4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288"/>
              <w:spacing w:after="0" w:line="157" w:lineRule="exact"/>
              <w:rPr>
                <w:sz w:val="20"/>
                <w:szCs w:val="20"/>
                <w:color w:val="auto"/>
              </w:rPr>
            </w:pPr>
            <w:r>
              <w:rPr>
                <w:rFonts w:ascii="Arial" w:cs="Arial" w:eastAsia="Arial" w:hAnsi="Arial"/>
                <w:sz w:val="14"/>
                <w:szCs w:val="14"/>
                <w:color w:val="auto"/>
              </w:rPr>
              <w:t>Total</w:t>
            </w:r>
          </w:p>
        </w:tc>
      </w:tr>
      <w:tr>
        <w:trPr>
          <w:trHeight w:val="167"/>
        </w:trPr>
        <w:tc>
          <w:tcPr>
            <w:tcW w:w="4540" w:type="dxa"/>
            <w:vAlign w:val="bottom"/>
          </w:tcPr>
          <w:p>
            <w:pPr>
              <w:spacing w:after="0"/>
              <w:rPr>
                <w:sz w:val="20"/>
                <w:szCs w:val="20"/>
                <w:color w:val="auto"/>
              </w:rPr>
            </w:pPr>
            <w:r>
              <w:rPr>
                <w:rFonts w:ascii="Arial" w:cs="Arial" w:eastAsia="Arial" w:hAnsi="Arial"/>
                <w:sz w:val="14"/>
                <w:szCs w:val="14"/>
                <w:color w:val="auto"/>
              </w:rPr>
              <w:t>Assets:</w:t>
            </w:r>
          </w:p>
        </w:tc>
        <w:tc>
          <w:tcPr>
            <w:tcW w:w="11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62"/>
        </w:trPr>
        <w:tc>
          <w:tcPr>
            <w:tcW w:w="4540" w:type="dxa"/>
            <w:vAlign w:val="bottom"/>
          </w:tcPr>
          <w:p>
            <w:pPr>
              <w:ind w:left="160"/>
              <w:spacing w:after="0"/>
              <w:rPr>
                <w:sz w:val="20"/>
                <w:szCs w:val="20"/>
                <w:color w:val="auto"/>
              </w:rPr>
            </w:pPr>
            <w:r>
              <w:rPr>
                <w:rFonts w:ascii="Arial" w:cs="Arial" w:eastAsia="Arial" w:hAnsi="Arial"/>
                <w:sz w:val="14"/>
                <w:szCs w:val="14"/>
                <w:color w:val="auto"/>
              </w:rPr>
              <w:t>Commodity contracts subject to rate recovery</w:t>
            </w:r>
          </w:p>
        </w:tc>
        <w:tc>
          <w:tcPr>
            <w:tcW w:w="1140" w:type="dxa"/>
            <w:vAlign w:val="bottom"/>
          </w:tcPr>
          <w:p>
            <w:pPr>
              <w:jc w:val="right"/>
              <w:ind w:right="688"/>
              <w:spacing w:after="0"/>
              <w:rPr>
                <w:sz w:val="20"/>
                <w:szCs w:val="20"/>
                <w:color w:val="auto"/>
              </w:rPr>
            </w:pPr>
            <w:r>
              <w:rPr>
                <w:rFonts w:ascii="Arial" w:cs="Arial" w:eastAsia="Arial" w:hAnsi="Arial"/>
                <w:sz w:val="14"/>
                <w:szCs w:val="14"/>
                <w:color w:val="auto"/>
              </w:rPr>
              <w:t>$</w:t>
            </w:r>
          </w:p>
        </w:tc>
        <w:tc>
          <w:tcPr>
            <w:tcW w:w="360" w:type="dxa"/>
            <w:vAlign w:val="bottom"/>
          </w:tcPr>
          <w:p>
            <w:pPr>
              <w:jc w:val="right"/>
              <w:ind w:right="88"/>
              <w:spacing w:after="0"/>
              <w:rPr>
                <w:sz w:val="20"/>
                <w:szCs w:val="20"/>
                <w:color w:val="auto"/>
              </w:rPr>
            </w:pPr>
            <w:r>
              <w:rPr>
                <w:rFonts w:ascii="Arial" w:cs="Arial" w:eastAsia="Arial" w:hAnsi="Arial"/>
                <w:sz w:val="14"/>
                <w:szCs w:val="14"/>
                <w:color w:val="auto"/>
              </w:rPr>
              <w:t>3</w:t>
            </w:r>
          </w:p>
        </w:tc>
        <w:tc>
          <w:tcPr>
            <w:tcW w:w="1000" w:type="dxa"/>
            <w:vAlign w:val="bottom"/>
          </w:tcPr>
          <w:p>
            <w:pPr>
              <w:jc w:val="right"/>
              <w:ind w:right="688"/>
              <w:spacing w:after="0"/>
              <w:rPr>
                <w:sz w:val="20"/>
                <w:szCs w:val="20"/>
                <w:color w:val="auto"/>
              </w:rPr>
            </w:pPr>
            <w:r>
              <w:rPr>
                <w:rFonts w:ascii="Arial" w:cs="Arial" w:eastAsia="Arial" w:hAnsi="Arial"/>
                <w:sz w:val="14"/>
                <w:szCs w:val="14"/>
                <w:color w:val="auto"/>
              </w:rPr>
              <w:t>$</w:t>
            </w:r>
          </w:p>
        </w:tc>
        <w:tc>
          <w:tcPr>
            <w:tcW w:w="360" w:type="dxa"/>
            <w:vAlign w:val="bottom"/>
          </w:tcPr>
          <w:p>
            <w:pPr>
              <w:jc w:val="right"/>
              <w:ind w:right="88"/>
              <w:spacing w:after="0"/>
              <w:rPr>
                <w:sz w:val="20"/>
                <w:szCs w:val="20"/>
                <w:color w:val="auto"/>
              </w:rPr>
            </w:pPr>
            <w:r>
              <w:rPr>
                <w:rFonts w:ascii="Arial" w:cs="Arial" w:eastAsia="Arial" w:hAnsi="Arial"/>
                <w:sz w:val="14"/>
                <w:szCs w:val="14"/>
                <w:color w:val="auto"/>
              </w:rPr>
              <w:t>1</w:t>
            </w:r>
          </w:p>
        </w:tc>
        <w:tc>
          <w:tcPr>
            <w:tcW w:w="38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980" w:type="dxa"/>
            <w:vAlign w:val="bottom"/>
          </w:tcPr>
          <w:p>
            <w:pPr>
              <w:ind w:left="680"/>
              <w:spacing w:after="0"/>
              <w:rPr>
                <w:sz w:val="20"/>
                <w:szCs w:val="20"/>
                <w:color w:val="auto"/>
              </w:rPr>
            </w:pPr>
            <w:r>
              <w:rPr>
                <w:rFonts w:ascii="Arial" w:cs="Arial" w:eastAsia="Arial" w:hAnsi="Arial"/>
                <w:sz w:val="14"/>
                <w:szCs w:val="14"/>
                <w:color w:val="auto"/>
              </w:rPr>
              <w:t>―</w:t>
            </w:r>
          </w:p>
        </w:tc>
        <w:tc>
          <w:tcPr>
            <w:tcW w:w="44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960" w:type="dxa"/>
            <w:vAlign w:val="bottom"/>
          </w:tcPr>
          <w:p>
            <w:pPr>
              <w:ind w:left="640"/>
              <w:spacing w:after="0"/>
              <w:rPr>
                <w:sz w:val="20"/>
                <w:szCs w:val="20"/>
                <w:color w:val="auto"/>
              </w:rPr>
            </w:pPr>
            <w:r>
              <w:rPr>
                <w:rFonts w:ascii="Arial" w:cs="Arial" w:eastAsia="Arial" w:hAnsi="Arial"/>
                <w:sz w:val="14"/>
                <w:szCs w:val="14"/>
                <w:color w:val="auto"/>
              </w:rPr>
              <w:t>―</w:t>
            </w:r>
          </w:p>
        </w:tc>
        <w:tc>
          <w:tcPr>
            <w:tcW w:w="42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4</w:t>
            </w:r>
          </w:p>
        </w:tc>
      </w:tr>
      <w:tr>
        <w:trPr>
          <w:trHeight w:val="164"/>
        </w:trPr>
        <w:tc>
          <w:tcPr>
            <w:tcW w:w="4540" w:type="dxa"/>
            <w:vAlign w:val="bottom"/>
          </w:tcPr>
          <w:p>
            <w:pPr>
              <w:ind w:left="160"/>
              <w:spacing w:after="0" w:line="137" w:lineRule="exact"/>
              <w:rPr>
                <w:sz w:val="20"/>
                <w:szCs w:val="20"/>
                <w:color w:val="auto"/>
              </w:rPr>
            </w:pPr>
            <w:r>
              <w:rPr>
                <w:rFonts w:ascii="Arial" w:cs="Arial" w:eastAsia="Arial" w:hAnsi="Arial"/>
                <w:sz w:val="14"/>
                <w:szCs w:val="14"/>
                <w:color w:val="auto"/>
              </w:rPr>
              <w:t>Commodity contracts not subject to rate recovery</w:t>
            </w:r>
          </w:p>
        </w:tc>
        <w:tc>
          <w:tcPr>
            <w:tcW w:w="114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jc w:val="right"/>
              <w:ind w:right="88"/>
              <w:spacing w:after="0" w:line="137" w:lineRule="exact"/>
              <w:rPr>
                <w:sz w:val="20"/>
                <w:szCs w:val="20"/>
                <w:color w:val="auto"/>
              </w:rPr>
            </w:pPr>
            <w:r>
              <w:rPr>
                <w:rFonts w:ascii="Arial" w:cs="Arial" w:eastAsia="Arial" w:hAnsi="Arial"/>
                <w:sz w:val="14"/>
                <w:szCs w:val="14"/>
                <w:color w:val="auto"/>
              </w:rPr>
              <w:t>2</w:t>
            </w:r>
          </w:p>
        </w:tc>
        <w:tc>
          <w:tcPr>
            <w:tcW w:w="100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jc w:val="right"/>
              <w:ind w:right="88"/>
              <w:spacing w:after="0" w:line="137" w:lineRule="exact"/>
              <w:rPr>
                <w:sz w:val="20"/>
                <w:szCs w:val="20"/>
                <w:color w:val="auto"/>
              </w:rPr>
            </w:pPr>
            <w:r>
              <w:rPr>
                <w:rFonts w:ascii="Arial" w:cs="Arial" w:eastAsia="Arial" w:hAnsi="Arial"/>
                <w:sz w:val="14"/>
                <w:szCs w:val="14"/>
                <w:color w:val="auto"/>
              </w:rPr>
              <w:t>―</w:t>
            </w:r>
          </w:p>
        </w:tc>
        <w:tc>
          <w:tcPr>
            <w:tcW w:w="38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ind w:left="680"/>
              <w:spacing w:after="0" w:line="137" w:lineRule="exact"/>
              <w:rPr>
                <w:sz w:val="20"/>
                <w:szCs w:val="20"/>
                <w:color w:val="auto"/>
              </w:rPr>
            </w:pPr>
            <w:r>
              <w:rPr>
                <w:rFonts w:ascii="Arial" w:cs="Arial" w:eastAsia="Arial" w:hAnsi="Arial"/>
                <w:sz w:val="14"/>
                <w:szCs w:val="14"/>
                <w:color w:val="auto"/>
              </w:rPr>
              <w:t>―</w:t>
            </w:r>
          </w:p>
        </w:tc>
        <w:tc>
          <w:tcPr>
            <w:tcW w:w="44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ind w:left="640"/>
              <w:spacing w:after="0" w:line="137" w:lineRule="exact"/>
              <w:rPr>
                <w:sz w:val="20"/>
                <w:szCs w:val="20"/>
                <w:color w:val="auto"/>
              </w:rPr>
            </w:pPr>
            <w:r>
              <w:rPr>
                <w:rFonts w:ascii="Arial" w:cs="Arial" w:eastAsia="Arial" w:hAnsi="Arial"/>
                <w:sz w:val="14"/>
                <w:szCs w:val="14"/>
                <w:color w:val="auto"/>
              </w:rPr>
              <w:t>―</w:t>
            </w:r>
          </w:p>
        </w:tc>
        <w:tc>
          <w:tcPr>
            <w:tcW w:w="4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spacing w:after="0" w:line="137" w:lineRule="exact"/>
              <w:rPr>
                <w:sz w:val="20"/>
                <w:szCs w:val="20"/>
                <w:color w:val="auto"/>
              </w:rPr>
            </w:pPr>
            <w:r>
              <w:rPr>
                <w:rFonts w:ascii="Arial" w:cs="Arial" w:eastAsia="Arial" w:hAnsi="Arial"/>
                <w:sz w:val="14"/>
                <w:szCs w:val="14"/>
                <w:color w:val="auto"/>
              </w:rPr>
              <w:t>2</w:t>
            </w:r>
          </w:p>
        </w:tc>
      </w:tr>
      <w:tr>
        <w:trPr>
          <w:trHeight w:val="169"/>
        </w:trPr>
        <w:tc>
          <w:tcPr>
            <w:tcW w:w="4540" w:type="dxa"/>
            <w:vAlign w:val="bottom"/>
          </w:tcPr>
          <w:p>
            <w:pPr>
              <w:spacing w:after="0" w:line="142" w:lineRule="exact"/>
              <w:rPr>
                <w:sz w:val="20"/>
                <w:szCs w:val="20"/>
                <w:color w:val="auto"/>
              </w:rPr>
            </w:pPr>
            <w:r>
              <w:rPr>
                <w:rFonts w:ascii="Arial" w:cs="Arial" w:eastAsia="Arial" w:hAnsi="Arial"/>
                <w:sz w:val="14"/>
                <w:szCs w:val="14"/>
                <w:color w:val="auto"/>
              </w:rPr>
              <w:t>Total</w:t>
            </w:r>
          </w:p>
        </w:tc>
        <w:tc>
          <w:tcPr>
            <w:tcW w:w="1140" w:type="dxa"/>
            <w:vAlign w:val="bottom"/>
            <w:tcBorders>
              <w:bottom w:val="single" w:sz="8" w:color="auto"/>
            </w:tcBorders>
          </w:tcPr>
          <w:p>
            <w:pPr>
              <w:jc w:val="right"/>
              <w:ind w:right="688"/>
              <w:spacing w:after="0" w:line="142" w:lineRule="exact"/>
              <w:rPr>
                <w:sz w:val="20"/>
                <w:szCs w:val="20"/>
                <w:color w:val="auto"/>
              </w:rPr>
            </w:pPr>
            <w:r>
              <w:rPr>
                <w:rFonts w:ascii="Arial" w:cs="Arial" w:eastAsia="Arial" w:hAnsi="Arial"/>
                <w:sz w:val="14"/>
                <w:szCs w:val="14"/>
                <w:color w:val="auto"/>
              </w:rPr>
              <w:t>$</w:t>
            </w:r>
          </w:p>
        </w:tc>
        <w:tc>
          <w:tcPr>
            <w:tcW w:w="360" w:type="dxa"/>
            <w:vAlign w:val="bottom"/>
            <w:tcBorders>
              <w:bottom w:val="single" w:sz="8" w:color="auto"/>
            </w:tcBorders>
          </w:tcPr>
          <w:p>
            <w:pPr>
              <w:jc w:val="right"/>
              <w:ind w:right="88"/>
              <w:spacing w:after="0" w:line="142" w:lineRule="exact"/>
              <w:rPr>
                <w:sz w:val="20"/>
                <w:szCs w:val="20"/>
                <w:color w:val="auto"/>
              </w:rPr>
            </w:pPr>
            <w:r>
              <w:rPr>
                <w:rFonts w:ascii="Arial" w:cs="Arial" w:eastAsia="Arial" w:hAnsi="Arial"/>
                <w:sz w:val="14"/>
                <w:szCs w:val="14"/>
                <w:color w:val="auto"/>
              </w:rPr>
              <w:t>5</w:t>
            </w:r>
          </w:p>
        </w:tc>
        <w:tc>
          <w:tcPr>
            <w:tcW w:w="1000" w:type="dxa"/>
            <w:vAlign w:val="bottom"/>
            <w:tcBorders>
              <w:bottom w:val="single" w:sz="8" w:color="auto"/>
            </w:tcBorders>
          </w:tcPr>
          <w:p>
            <w:pPr>
              <w:jc w:val="right"/>
              <w:ind w:right="688"/>
              <w:spacing w:after="0" w:line="142" w:lineRule="exact"/>
              <w:rPr>
                <w:sz w:val="20"/>
                <w:szCs w:val="20"/>
                <w:color w:val="auto"/>
              </w:rPr>
            </w:pPr>
            <w:r>
              <w:rPr>
                <w:rFonts w:ascii="Arial" w:cs="Arial" w:eastAsia="Arial" w:hAnsi="Arial"/>
                <w:sz w:val="14"/>
                <w:szCs w:val="14"/>
                <w:color w:val="auto"/>
              </w:rPr>
              <w:t>$</w:t>
            </w:r>
          </w:p>
        </w:tc>
        <w:tc>
          <w:tcPr>
            <w:tcW w:w="360" w:type="dxa"/>
            <w:vAlign w:val="bottom"/>
            <w:tcBorders>
              <w:bottom w:val="single" w:sz="8" w:color="auto"/>
            </w:tcBorders>
          </w:tcPr>
          <w:p>
            <w:pPr>
              <w:jc w:val="right"/>
              <w:ind w:right="88"/>
              <w:spacing w:after="0" w:line="142" w:lineRule="exact"/>
              <w:rPr>
                <w:sz w:val="20"/>
                <w:szCs w:val="20"/>
                <w:color w:val="auto"/>
              </w:rPr>
            </w:pPr>
            <w:r>
              <w:rPr>
                <w:rFonts w:ascii="Arial" w:cs="Arial" w:eastAsia="Arial" w:hAnsi="Arial"/>
                <w:sz w:val="14"/>
                <w:szCs w:val="14"/>
                <w:color w:val="auto"/>
              </w:rPr>
              <w:t>1</w:t>
            </w:r>
          </w:p>
        </w:tc>
        <w:tc>
          <w:tcPr>
            <w:tcW w:w="380" w:type="dxa"/>
            <w:vAlign w:val="bottom"/>
            <w:tcBorders>
              <w:bottom w:val="single" w:sz="8" w:color="auto"/>
            </w:tcBorders>
          </w:tcPr>
          <w:p>
            <w:pPr>
              <w:jc w:val="right"/>
              <w:ind w:right="68"/>
              <w:spacing w:after="0" w:line="142" w:lineRule="exact"/>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tcPr>
          <w:p>
            <w:pPr>
              <w:ind w:left="680"/>
              <w:spacing w:after="0" w:line="142" w:lineRule="exact"/>
              <w:rPr>
                <w:sz w:val="20"/>
                <w:szCs w:val="20"/>
                <w:color w:val="auto"/>
              </w:rPr>
            </w:pPr>
            <w:r>
              <w:rPr>
                <w:rFonts w:ascii="Arial" w:cs="Arial" w:eastAsia="Arial" w:hAnsi="Arial"/>
                <w:sz w:val="14"/>
                <w:szCs w:val="14"/>
                <w:color w:val="auto"/>
              </w:rPr>
              <w:t>―</w:t>
            </w:r>
          </w:p>
        </w:tc>
        <w:tc>
          <w:tcPr>
            <w:tcW w:w="440" w:type="dxa"/>
            <w:vAlign w:val="bottom"/>
            <w:tcBorders>
              <w:bottom w:val="single" w:sz="8" w:color="auto"/>
            </w:tcBorders>
          </w:tcPr>
          <w:p>
            <w:pPr>
              <w:jc w:val="right"/>
              <w:ind w:right="108"/>
              <w:spacing w:after="0" w:line="142" w:lineRule="exact"/>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tcPr>
          <w:p>
            <w:pPr>
              <w:ind w:left="640"/>
              <w:spacing w:after="0" w:line="142" w:lineRule="exact"/>
              <w:rPr>
                <w:sz w:val="20"/>
                <w:szCs w:val="20"/>
                <w:color w:val="auto"/>
              </w:rPr>
            </w:pPr>
            <w:r>
              <w:rPr>
                <w:rFonts w:ascii="Arial" w:cs="Arial" w:eastAsia="Arial" w:hAnsi="Arial"/>
                <w:sz w:val="14"/>
                <w:szCs w:val="14"/>
                <w:color w:val="auto"/>
              </w:rPr>
              <w:t>―</w:t>
            </w:r>
          </w:p>
        </w:tc>
        <w:tc>
          <w:tcPr>
            <w:tcW w:w="420" w:type="dxa"/>
            <w:vAlign w:val="bottom"/>
            <w:tcBorders>
              <w:bottom w:val="single" w:sz="8" w:color="auto"/>
            </w:tcBorders>
          </w:tcPr>
          <w:p>
            <w:pPr>
              <w:jc w:val="right"/>
              <w:ind w:right="108"/>
              <w:spacing w:after="0" w:line="142" w:lineRule="exact"/>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6</w:t>
            </w:r>
          </w:p>
        </w:tc>
      </w:tr>
      <w:tr>
        <w:trPr>
          <w:trHeight w:val="167"/>
        </w:trPr>
        <w:tc>
          <w:tcPr>
            <w:tcW w:w="4540" w:type="dxa"/>
            <w:vAlign w:val="bottom"/>
          </w:tcPr>
          <w:p>
            <w:pPr>
              <w:spacing w:after="0"/>
              <w:rPr>
                <w:sz w:val="20"/>
                <w:szCs w:val="20"/>
                <w:color w:val="auto"/>
              </w:rPr>
            </w:pPr>
            <w:r>
              <w:rPr>
                <w:rFonts w:ascii="Arial" w:cs="Arial" w:eastAsia="Arial" w:hAnsi="Arial"/>
                <w:sz w:val="14"/>
                <w:szCs w:val="14"/>
                <w:color w:val="auto"/>
              </w:rPr>
              <w:t>Liabilities:</w:t>
            </w:r>
          </w:p>
        </w:tc>
        <w:tc>
          <w:tcPr>
            <w:tcW w:w="11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64"/>
        </w:trPr>
        <w:tc>
          <w:tcPr>
            <w:tcW w:w="4540" w:type="dxa"/>
            <w:vAlign w:val="bottom"/>
            <w:tcBorders>
              <w:bottom w:val="single" w:sz="8" w:color="auto"/>
            </w:tcBorders>
          </w:tcPr>
          <w:p>
            <w:pPr>
              <w:ind w:left="160"/>
              <w:spacing w:after="0" w:line="157" w:lineRule="exact"/>
              <w:rPr>
                <w:sz w:val="20"/>
                <w:szCs w:val="20"/>
                <w:color w:val="auto"/>
              </w:rPr>
            </w:pPr>
            <w:r>
              <w:rPr>
                <w:rFonts w:ascii="Arial" w:cs="Arial" w:eastAsia="Arial" w:hAnsi="Arial"/>
                <w:sz w:val="14"/>
                <w:szCs w:val="14"/>
                <w:color w:val="auto"/>
              </w:rPr>
              <w:t>Commodity contracts subject to rate recovery</w:t>
            </w:r>
          </w:p>
        </w:tc>
        <w:tc>
          <w:tcPr>
            <w:tcW w:w="1140" w:type="dxa"/>
            <w:vAlign w:val="bottom"/>
            <w:tcBorders>
              <w:bottom w:val="single" w:sz="8" w:color="auto"/>
            </w:tcBorders>
          </w:tcPr>
          <w:p>
            <w:pPr>
              <w:jc w:val="right"/>
              <w:ind w:right="688"/>
              <w:spacing w:after="0" w:line="157" w:lineRule="exact"/>
              <w:rPr>
                <w:sz w:val="20"/>
                <w:szCs w:val="20"/>
                <w:color w:val="auto"/>
              </w:rPr>
            </w:pPr>
            <w:r>
              <w:rPr>
                <w:rFonts w:ascii="Arial" w:cs="Arial" w:eastAsia="Arial" w:hAnsi="Arial"/>
                <w:sz w:val="14"/>
                <w:szCs w:val="14"/>
                <w:color w:val="auto"/>
              </w:rPr>
              <w:t>$</w:t>
            </w:r>
          </w:p>
        </w:tc>
        <w:tc>
          <w:tcPr>
            <w:tcW w:w="360" w:type="dxa"/>
            <w:vAlign w:val="bottom"/>
            <w:tcBorders>
              <w:bottom w:val="single" w:sz="8" w:color="auto"/>
            </w:tcBorders>
          </w:tcPr>
          <w:p>
            <w:pPr>
              <w:jc w:val="right"/>
              <w:ind w:right="88"/>
              <w:spacing w:after="0" w:line="157" w:lineRule="exact"/>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tcPr>
          <w:p>
            <w:pPr>
              <w:jc w:val="right"/>
              <w:ind w:right="688"/>
              <w:spacing w:after="0" w:line="157" w:lineRule="exact"/>
              <w:rPr>
                <w:sz w:val="20"/>
                <w:szCs w:val="20"/>
                <w:color w:val="auto"/>
              </w:rPr>
            </w:pPr>
            <w:r>
              <w:rPr>
                <w:rFonts w:ascii="Arial" w:cs="Arial" w:eastAsia="Arial" w:hAnsi="Arial"/>
                <w:sz w:val="14"/>
                <w:szCs w:val="14"/>
                <w:color w:val="auto"/>
              </w:rPr>
              <w:t>$</w:t>
            </w:r>
          </w:p>
        </w:tc>
        <w:tc>
          <w:tcPr>
            <w:tcW w:w="360" w:type="dxa"/>
            <w:vAlign w:val="bottom"/>
            <w:tcBorders>
              <w:bottom w:val="single" w:sz="8" w:color="auto"/>
            </w:tcBorders>
          </w:tcPr>
          <w:p>
            <w:pPr>
              <w:jc w:val="right"/>
              <w:ind w:right="88"/>
              <w:spacing w:after="0" w:line="157" w:lineRule="exact"/>
              <w:rPr>
                <w:sz w:val="20"/>
                <w:szCs w:val="20"/>
                <w:color w:val="auto"/>
              </w:rPr>
            </w:pPr>
            <w:r>
              <w:rPr>
                <w:rFonts w:ascii="Arial" w:cs="Arial" w:eastAsia="Arial" w:hAnsi="Arial"/>
                <w:sz w:val="14"/>
                <w:szCs w:val="14"/>
                <w:color w:val="auto"/>
              </w:rPr>
              <w:t>1</w:t>
            </w:r>
          </w:p>
        </w:tc>
        <w:tc>
          <w:tcPr>
            <w:tcW w:w="380" w:type="dxa"/>
            <w:vAlign w:val="bottom"/>
            <w:tcBorders>
              <w:bottom w:val="single" w:sz="8" w:color="auto"/>
            </w:tcBorders>
          </w:tcPr>
          <w:p>
            <w:pPr>
              <w:jc w:val="right"/>
              <w:ind w:right="68"/>
              <w:spacing w:after="0" w:line="157" w:lineRule="exact"/>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tcPr>
          <w:p>
            <w:pPr>
              <w:ind w:left="680"/>
              <w:spacing w:after="0" w:line="157" w:lineRule="exact"/>
              <w:rPr>
                <w:sz w:val="20"/>
                <w:szCs w:val="20"/>
                <w:color w:val="auto"/>
              </w:rPr>
            </w:pPr>
            <w:r>
              <w:rPr>
                <w:rFonts w:ascii="Arial" w:cs="Arial" w:eastAsia="Arial" w:hAnsi="Arial"/>
                <w:sz w:val="14"/>
                <w:szCs w:val="14"/>
                <w:color w:val="auto"/>
              </w:rPr>
              <w:t>―</w:t>
            </w:r>
          </w:p>
        </w:tc>
        <w:tc>
          <w:tcPr>
            <w:tcW w:w="440" w:type="dxa"/>
            <w:vAlign w:val="bottom"/>
            <w:tcBorders>
              <w:bottom w:val="single" w:sz="8" w:color="auto"/>
            </w:tcBorders>
          </w:tcPr>
          <w:p>
            <w:pPr>
              <w:jc w:val="right"/>
              <w:ind w:right="108"/>
              <w:spacing w:after="0" w:line="157" w:lineRule="exact"/>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tcPr>
          <w:p>
            <w:pPr>
              <w:ind w:left="640"/>
              <w:spacing w:after="0" w:line="157" w:lineRule="exact"/>
              <w:rPr>
                <w:sz w:val="20"/>
                <w:szCs w:val="20"/>
                <w:color w:val="auto"/>
              </w:rPr>
            </w:pPr>
            <w:r>
              <w:rPr>
                <w:rFonts w:ascii="Arial" w:cs="Arial" w:eastAsia="Arial" w:hAnsi="Arial"/>
                <w:sz w:val="14"/>
                <w:szCs w:val="14"/>
                <w:color w:val="auto"/>
              </w:rPr>
              <w:t>―</w:t>
            </w:r>
          </w:p>
        </w:tc>
        <w:tc>
          <w:tcPr>
            <w:tcW w:w="420" w:type="dxa"/>
            <w:vAlign w:val="bottom"/>
            <w:tcBorders>
              <w:bottom w:val="single" w:sz="8" w:color="auto"/>
            </w:tcBorders>
          </w:tcPr>
          <w:p>
            <w:pPr>
              <w:jc w:val="right"/>
              <w:ind w:right="108"/>
              <w:spacing w:after="0" w:line="157" w:lineRule="exact"/>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tcPr>
          <w:p>
            <w:pPr>
              <w:jc w:val="right"/>
              <w:spacing w:after="0" w:line="157" w:lineRule="exact"/>
              <w:rPr>
                <w:sz w:val="20"/>
                <w:szCs w:val="20"/>
                <w:color w:val="auto"/>
              </w:rPr>
            </w:pPr>
            <w:r>
              <w:rPr>
                <w:rFonts w:ascii="Arial" w:cs="Arial" w:eastAsia="Arial" w:hAnsi="Arial"/>
                <w:sz w:val="14"/>
                <w:szCs w:val="14"/>
                <w:color w:val="auto"/>
              </w:rPr>
              <w:t>1</w:t>
            </w:r>
          </w:p>
        </w:tc>
      </w:tr>
      <w:tr>
        <w:trPr>
          <w:trHeight w:val="331"/>
        </w:trPr>
        <w:tc>
          <w:tcPr>
            <w:tcW w:w="4540" w:type="dxa"/>
            <w:vAlign w:val="bottom"/>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3160" w:type="dxa"/>
            <w:vAlign w:val="bottom"/>
            <w:tcBorders>
              <w:bottom w:val="single" w:sz="8" w:color="auto"/>
            </w:tcBorders>
            <w:gridSpan w:val="5"/>
          </w:tcPr>
          <w:p>
            <w:pPr>
              <w:jc w:val="right"/>
              <w:spacing w:after="0"/>
              <w:rPr>
                <w:sz w:val="20"/>
                <w:szCs w:val="20"/>
                <w:color w:val="auto"/>
              </w:rPr>
            </w:pPr>
            <w:r>
              <w:rPr>
                <w:rFonts w:ascii="Arial" w:cs="Arial" w:eastAsia="Arial" w:hAnsi="Arial"/>
                <w:sz w:val="14"/>
                <w:szCs w:val="14"/>
                <w:color w:val="auto"/>
              </w:rPr>
              <w:t>At fair value as of December 31, 2010</w:t>
            </w:r>
          </w:p>
        </w:tc>
        <w:tc>
          <w:tcPr>
            <w:tcW w:w="96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r>
      <w:tr>
        <w:trPr>
          <w:trHeight w:val="167"/>
        </w:trPr>
        <w:tc>
          <w:tcPr>
            <w:tcW w:w="45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60" w:type="dxa"/>
            <w:vAlign w:val="bottom"/>
          </w:tcPr>
          <w:p>
            <w:pPr>
              <w:jc w:val="center"/>
              <w:ind w:right="248"/>
              <w:spacing w:after="0"/>
              <w:rPr>
                <w:sz w:val="20"/>
                <w:szCs w:val="20"/>
                <w:color w:val="auto"/>
              </w:rPr>
            </w:pPr>
            <w:r>
              <w:rPr>
                <w:rFonts w:ascii="Arial" w:cs="Arial" w:eastAsia="Arial" w:hAnsi="Arial"/>
                <w:sz w:val="14"/>
                <w:szCs w:val="14"/>
                <w:color w:val="auto"/>
              </w:rPr>
              <w:t>Collateral</w:t>
            </w:r>
          </w:p>
        </w:tc>
        <w:tc>
          <w:tcPr>
            <w:tcW w:w="42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64"/>
        </w:trPr>
        <w:tc>
          <w:tcPr>
            <w:tcW w:w="4540" w:type="dxa"/>
            <w:vAlign w:val="bottom"/>
          </w:tcPr>
          <w:p>
            <w:pPr>
              <w:spacing w:after="0"/>
              <w:rPr>
                <w:sz w:val="14"/>
                <w:szCs w:val="14"/>
                <w:color w:val="auto"/>
              </w:rPr>
            </w:pPr>
          </w:p>
        </w:tc>
        <w:tc>
          <w:tcPr>
            <w:tcW w:w="1140" w:type="dxa"/>
            <w:vAlign w:val="bottom"/>
            <w:tcBorders>
              <w:bottom w:val="single" w:sz="8" w:color="auto"/>
            </w:tcBorders>
          </w:tcPr>
          <w:p>
            <w:pPr>
              <w:jc w:val="right"/>
              <w:spacing w:after="0" w:line="157" w:lineRule="exact"/>
              <w:rPr>
                <w:sz w:val="20"/>
                <w:szCs w:val="20"/>
                <w:color w:val="auto"/>
              </w:rPr>
            </w:pPr>
            <w:r>
              <w:rPr>
                <w:rFonts w:ascii="Arial" w:cs="Arial" w:eastAsia="Arial" w:hAnsi="Arial"/>
                <w:sz w:val="14"/>
                <w:szCs w:val="14"/>
                <w:color w:val="auto"/>
              </w:rPr>
              <w:t>Level 1</w:t>
            </w:r>
          </w:p>
        </w:tc>
        <w:tc>
          <w:tcPr>
            <w:tcW w:w="36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spacing w:after="0" w:line="157" w:lineRule="exact"/>
              <w:rPr>
                <w:sz w:val="20"/>
                <w:szCs w:val="20"/>
                <w:color w:val="auto"/>
              </w:rPr>
            </w:pPr>
            <w:r>
              <w:rPr>
                <w:rFonts w:ascii="Arial" w:cs="Arial" w:eastAsia="Arial" w:hAnsi="Arial"/>
                <w:sz w:val="14"/>
                <w:szCs w:val="14"/>
                <w:color w:val="auto"/>
              </w:rPr>
              <w:t>Level 2</w:t>
            </w:r>
          </w:p>
        </w:tc>
        <w:tc>
          <w:tcPr>
            <w:tcW w:w="36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ind w:left="120"/>
              <w:spacing w:after="0" w:line="157" w:lineRule="exact"/>
              <w:rPr>
                <w:sz w:val="20"/>
                <w:szCs w:val="20"/>
                <w:color w:val="auto"/>
              </w:rPr>
            </w:pPr>
            <w:r>
              <w:rPr>
                <w:rFonts w:ascii="Arial" w:cs="Arial" w:eastAsia="Arial" w:hAnsi="Arial"/>
                <w:sz w:val="14"/>
                <w:szCs w:val="14"/>
                <w:color w:val="auto"/>
              </w:rPr>
              <w:t>Level 3</w:t>
            </w:r>
          </w:p>
        </w:tc>
        <w:tc>
          <w:tcPr>
            <w:tcW w:w="44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center"/>
              <w:ind w:right="248"/>
              <w:spacing w:after="0" w:line="157" w:lineRule="exact"/>
              <w:rPr>
                <w:sz w:val="20"/>
                <w:szCs w:val="20"/>
                <w:color w:val="auto"/>
              </w:rPr>
            </w:pPr>
            <w:r>
              <w:rPr>
                <w:rFonts w:ascii="Arial" w:cs="Arial" w:eastAsia="Arial" w:hAnsi="Arial"/>
                <w:sz w:val="14"/>
                <w:szCs w:val="14"/>
                <w:color w:val="auto"/>
              </w:rPr>
              <w:t>netted</w:t>
            </w:r>
          </w:p>
        </w:tc>
        <w:tc>
          <w:tcPr>
            <w:tcW w:w="4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288"/>
              <w:spacing w:after="0" w:line="157" w:lineRule="exact"/>
              <w:rPr>
                <w:sz w:val="20"/>
                <w:szCs w:val="20"/>
                <w:color w:val="auto"/>
              </w:rPr>
            </w:pPr>
            <w:r>
              <w:rPr>
                <w:rFonts w:ascii="Arial" w:cs="Arial" w:eastAsia="Arial" w:hAnsi="Arial"/>
                <w:sz w:val="14"/>
                <w:szCs w:val="14"/>
                <w:color w:val="auto"/>
              </w:rPr>
              <w:t>Total</w:t>
            </w:r>
          </w:p>
        </w:tc>
      </w:tr>
      <w:tr>
        <w:trPr>
          <w:trHeight w:val="167"/>
        </w:trPr>
        <w:tc>
          <w:tcPr>
            <w:tcW w:w="4540" w:type="dxa"/>
            <w:vAlign w:val="bottom"/>
          </w:tcPr>
          <w:p>
            <w:pPr>
              <w:spacing w:after="0"/>
              <w:rPr>
                <w:sz w:val="20"/>
                <w:szCs w:val="20"/>
                <w:color w:val="auto"/>
              </w:rPr>
            </w:pPr>
            <w:r>
              <w:rPr>
                <w:rFonts w:ascii="Arial" w:cs="Arial" w:eastAsia="Arial" w:hAnsi="Arial"/>
                <w:sz w:val="14"/>
                <w:szCs w:val="14"/>
                <w:color w:val="auto"/>
              </w:rPr>
              <w:t>Assets:</w:t>
            </w:r>
          </w:p>
        </w:tc>
        <w:tc>
          <w:tcPr>
            <w:tcW w:w="11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62"/>
        </w:trPr>
        <w:tc>
          <w:tcPr>
            <w:tcW w:w="4540" w:type="dxa"/>
            <w:vAlign w:val="bottom"/>
          </w:tcPr>
          <w:p>
            <w:pPr>
              <w:ind w:left="160"/>
              <w:spacing w:after="0"/>
              <w:rPr>
                <w:sz w:val="20"/>
                <w:szCs w:val="20"/>
                <w:color w:val="auto"/>
              </w:rPr>
            </w:pPr>
            <w:r>
              <w:rPr>
                <w:rFonts w:ascii="Arial" w:cs="Arial" w:eastAsia="Arial" w:hAnsi="Arial"/>
                <w:sz w:val="14"/>
                <w:szCs w:val="14"/>
                <w:color w:val="auto"/>
              </w:rPr>
              <w:t>Interest rate instruments</w:t>
            </w:r>
          </w:p>
        </w:tc>
        <w:tc>
          <w:tcPr>
            <w:tcW w:w="1140" w:type="dxa"/>
            <w:vAlign w:val="bottom"/>
          </w:tcPr>
          <w:p>
            <w:pPr>
              <w:jc w:val="right"/>
              <w:ind w:right="688"/>
              <w:spacing w:after="0"/>
              <w:rPr>
                <w:sz w:val="20"/>
                <w:szCs w:val="20"/>
                <w:color w:val="auto"/>
              </w:rPr>
            </w:pPr>
            <w:r>
              <w:rPr>
                <w:rFonts w:ascii="Arial" w:cs="Arial" w:eastAsia="Arial" w:hAnsi="Arial"/>
                <w:sz w:val="14"/>
                <w:szCs w:val="14"/>
                <w:color w:val="auto"/>
              </w:rPr>
              <w:t>$</w:t>
            </w:r>
          </w:p>
        </w:tc>
        <w:tc>
          <w:tcPr>
            <w:tcW w:w="3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688"/>
              <w:spacing w:after="0"/>
              <w:rPr>
                <w:sz w:val="20"/>
                <w:szCs w:val="20"/>
                <w:color w:val="auto"/>
              </w:rPr>
            </w:pPr>
            <w:r>
              <w:rPr>
                <w:rFonts w:ascii="Arial" w:cs="Arial" w:eastAsia="Arial" w:hAnsi="Arial"/>
                <w:sz w:val="14"/>
                <w:szCs w:val="14"/>
                <w:color w:val="auto"/>
              </w:rPr>
              <w:t>$</w:t>
            </w:r>
          </w:p>
        </w:tc>
        <w:tc>
          <w:tcPr>
            <w:tcW w:w="360" w:type="dxa"/>
            <w:vAlign w:val="bottom"/>
          </w:tcPr>
          <w:p>
            <w:pPr>
              <w:jc w:val="right"/>
              <w:ind w:right="88"/>
              <w:spacing w:after="0"/>
              <w:rPr>
                <w:sz w:val="20"/>
                <w:szCs w:val="20"/>
                <w:color w:val="auto"/>
              </w:rPr>
            </w:pPr>
            <w:r>
              <w:rPr>
                <w:rFonts w:ascii="Arial" w:cs="Arial" w:eastAsia="Arial" w:hAnsi="Arial"/>
                <w:sz w:val="14"/>
                <w:szCs w:val="14"/>
                <w:color w:val="auto"/>
              </w:rPr>
              <w:t>3</w:t>
            </w:r>
          </w:p>
        </w:tc>
        <w:tc>
          <w:tcPr>
            <w:tcW w:w="38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980" w:type="dxa"/>
            <w:vAlign w:val="bottom"/>
          </w:tcPr>
          <w:p>
            <w:pPr>
              <w:ind w:left="680"/>
              <w:spacing w:after="0"/>
              <w:rPr>
                <w:sz w:val="20"/>
                <w:szCs w:val="20"/>
                <w:color w:val="auto"/>
              </w:rPr>
            </w:pPr>
            <w:r>
              <w:rPr>
                <w:rFonts w:ascii="Arial" w:cs="Arial" w:eastAsia="Arial" w:hAnsi="Arial"/>
                <w:sz w:val="14"/>
                <w:szCs w:val="14"/>
                <w:color w:val="auto"/>
              </w:rPr>
              <w:t>―</w:t>
            </w:r>
          </w:p>
        </w:tc>
        <w:tc>
          <w:tcPr>
            <w:tcW w:w="44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960" w:type="dxa"/>
            <w:vAlign w:val="bottom"/>
          </w:tcPr>
          <w:p>
            <w:pPr>
              <w:ind w:left="640"/>
              <w:spacing w:after="0"/>
              <w:rPr>
                <w:sz w:val="20"/>
                <w:szCs w:val="20"/>
                <w:color w:val="auto"/>
              </w:rPr>
            </w:pPr>
            <w:r>
              <w:rPr>
                <w:rFonts w:ascii="Arial" w:cs="Arial" w:eastAsia="Arial" w:hAnsi="Arial"/>
                <w:sz w:val="14"/>
                <w:szCs w:val="14"/>
                <w:color w:val="auto"/>
              </w:rPr>
              <w:t>―</w:t>
            </w:r>
          </w:p>
        </w:tc>
        <w:tc>
          <w:tcPr>
            <w:tcW w:w="42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3</w:t>
            </w:r>
          </w:p>
        </w:tc>
      </w:tr>
      <w:tr>
        <w:trPr>
          <w:trHeight w:val="162"/>
        </w:trPr>
        <w:tc>
          <w:tcPr>
            <w:tcW w:w="4540" w:type="dxa"/>
            <w:vAlign w:val="bottom"/>
          </w:tcPr>
          <w:p>
            <w:pPr>
              <w:ind w:left="160"/>
              <w:spacing w:after="0"/>
              <w:rPr>
                <w:sz w:val="20"/>
                <w:szCs w:val="20"/>
                <w:color w:val="auto"/>
              </w:rPr>
            </w:pPr>
            <w:r>
              <w:rPr>
                <w:rFonts w:ascii="Arial" w:cs="Arial" w:eastAsia="Arial" w:hAnsi="Arial"/>
                <w:sz w:val="14"/>
                <w:szCs w:val="14"/>
                <w:color w:val="auto"/>
              </w:rPr>
              <w:t>Commodity contracts subject to rate recovery</w:t>
            </w:r>
          </w:p>
        </w:tc>
        <w:tc>
          <w:tcPr>
            <w:tcW w:w="1140" w:type="dxa"/>
            <w:vAlign w:val="bottom"/>
          </w:tcPr>
          <w:p>
            <w:pPr>
              <w:spacing w:after="0"/>
              <w:rPr>
                <w:sz w:val="14"/>
                <w:szCs w:val="14"/>
                <w:color w:val="auto"/>
              </w:rPr>
            </w:pPr>
          </w:p>
        </w:tc>
        <w:tc>
          <w:tcPr>
            <w:tcW w:w="360" w:type="dxa"/>
            <w:vAlign w:val="bottom"/>
          </w:tcPr>
          <w:p>
            <w:pPr>
              <w:jc w:val="right"/>
              <w:ind w:right="88"/>
              <w:spacing w:after="0"/>
              <w:rPr>
                <w:sz w:val="20"/>
                <w:szCs w:val="20"/>
                <w:color w:val="auto"/>
              </w:rPr>
            </w:pPr>
            <w:r>
              <w:rPr>
                <w:rFonts w:ascii="Arial" w:cs="Arial" w:eastAsia="Arial" w:hAnsi="Arial"/>
                <w:sz w:val="14"/>
                <w:szCs w:val="14"/>
                <w:color w:val="auto"/>
              </w:rPr>
              <w:t>1</w:t>
            </w:r>
          </w:p>
        </w:tc>
        <w:tc>
          <w:tcPr>
            <w:tcW w:w="1000" w:type="dxa"/>
            <w:vAlign w:val="bottom"/>
          </w:tcPr>
          <w:p>
            <w:pPr>
              <w:spacing w:after="0"/>
              <w:rPr>
                <w:sz w:val="14"/>
                <w:szCs w:val="14"/>
                <w:color w:val="auto"/>
              </w:rPr>
            </w:pPr>
          </w:p>
        </w:tc>
        <w:tc>
          <w:tcPr>
            <w:tcW w:w="360" w:type="dxa"/>
            <w:vAlign w:val="bottom"/>
          </w:tcPr>
          <w:p>
            <w:pPr>
              <w:jc w:val="right"/>
              <w:ind w:right="88"/>
              <w:spacing w:after="0"/>
              <w:rPr>
                <w:sz w:val="20"/>
                <w:szCs w:val="20"/>
                <w:color w:val="auto"/>
              </w:rPr>
            </w:pPr>
            <w:r>
              <w:rPr>
                <w:rFonts w:ascii="Arial" w:cs="Arial" w:eastAsia="Arial" w:hAnsi="Arial"/>
                <w:sz w:val="14"/>
                <w:szCs w:val="14"/>
                <w:color w:val="auto"/>
              </w:rPr>
              <w:t>1</w:t>
            </w:r>
          </w:p>
        </w:tc>
        <w:tc>
          <w:tcPr>
            <w:tcW w:w="380" w:type="dxa"/>
            <w:vAlign w:val="bottom"/>
          </w:tcPr>
          <w:p>
            <w:pPr>
              <w:spacing w:after="0"/>
              <w:rPr>
                <w:sz w:val="14"/>
                <w:szCs w:val="14"/>
                <w:color w:val="auto"/>
              </w:rPr>
            </w:pPr>
          </w:p>
        </w:tc>
        <w:tc>
          <w:tcPr>
            <w:tcW w:w="980" w:type="dxa"/>
            <w:vAlign w:val="bottom"/>
          </w:tcPr>
          <w:p>
            <w:pPr>
              <w:ind w:left="680"/>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14"/>
                <w:szCs w:val="14"/>
                <w:color w:val="auto"/>
              </w:rPr>
            </w:pPr>
          </w:p>
        </w:tc>
        <w:tc>
          <w:tcPr>
            <w:tcW w:w="960" w:type="dxa"/>
            <w:vAlign w:val="bottom"/>
          </w:tcPr>
          <w:p>
            <w:pPr>
              <w:ind w:left="640"/>
              <w:spacing w:after="0"/>
              <w:rPr>
                <w:sz w:val="20"/>
                <w:szCs w:val="20"/>
                <w:color w:val="auto"/>
              </w:rPr>
            </w:pPr>
            <w:r>
              <w:rPr>
                <w:rFonts w:ascii="Arial" w:cs="Arial" w:eastAsia="Arial" w:hAnsi="Arial"/>
                <w:sz w:val="14"/>
                <w:szCs w:val="14"/>
                <w:color w:val="auto"/>
              </w:rPr>
              <w:t>―</w:t>
            </w:r>
          </w:p>
        </w:tc>
        <w:tc>
          <w:tcPr>
            <w:tcW w:w="42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2</w:t>
            </w:r>
          </w:p>
        </w:tc>
      </w:tr>
      <w:tr>
        <w:trPr>
          <w:trHeight w:val="164"/>
        </w:trPr>
        <w:tc>
          <w:tcPr>
            <w:tcW w:w="4540" w:type="dxa"/>
            <w:vAlign w:val="bottom"/>
          </w:tcPr>
          <w:p>
            <w:pPr>
              <w:ind w:left="160"/>
              <w:spacing w:after="0" w:line="137" w:lineRule="exact"/>
              <w:rPr>
                <w:sz w:val="20"/>
                <w:szCs w:val="20"/>
                <w:color w:val="auto"/>
              </w:rPr>
            </w:pPr>
            <w:r>
              <w:rPr>
                <w:rFonts w:ascii="Arial" w:cs="Arial" w:eastAsia="Arial" w:hAnsi="Arial"/>
                <w:sz w:val="14"/>
                <w:szCs w:val="14"/>
                <w:color w:val="auto"/>
              </w:rPr>
              <w:t>Commodity contracts not subject to rate recovery</w:t>
            </w:r>
          </w:p>
        </w:tc>
        <w:tc>
          <w:tcPr>
            <w:tcW w:w="114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jc w:val="right"/>
              <w:ind w:right="88"/>
              <w:spacing w:after="0" w:line="137" w:lineRule="exact"/>
              <w:rPr>
                <w:sz w:val="20"/>
                <w:szCs w:val="20"/>
                <w:color w:val="auto"/>
              </w:rPr>
            </w:pPr>
            <w:r>
              <w:rPr>
                <w:rFonts w:ascii="Arial" w:cs="Arial" w:eastAsia="Arial" w:hAnsi="Arial"/>
                <w:sz w:val="14"/>
                <w:szCs w:val="14"/>
                <w:color w:val="auto"/>
              </w:rPr>
              <w:t>3</w:t>
            </w:r>
          </w:p>
        </w:tc>
        <w:tc>
          <w:tcPr>
            <w:tcW w:w="100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jc w:val="right"/>
              <w:ind w:right="88"/>
              <w:spacing w:after="0" w:line="137" w:lineRule="exact"/>
              <w:rPr>
                <w:sz w:val="20"/>
                <w:szCs w:val="20"/>
                <w:color w:val="auto"/>
              </w:rPr>
            </w:pPr>
            <w:r>
              <w:rPr>
                <w:rFonts w:ascii="Arial" w:cs="Arial" w:eastAsia="Arial" w:hAnsi="Arial"/>
                <w:sz w:val="14"/>
                <w:szCs w:val="14"/>
                <w:color w:val="auto"/>
              </w:rPr>
              <w:t>―</w:t>
            </w:r>
          </w:p>
        </w:tc>
        <w:tc>
          <w:tcPr>
            <w:tcW w:w="38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ind w:left="680"/>
              <w:spacing w:after="0" w:line="137" w:lineRule="exact"/>
              <w:rPr>
                <w:sz w:val="20"/>
                <w:szCs w:val="20"/>
                <w:color w:val="auto"/>
              </w:rPr>
            </w:pPr>
            <w:r>
              <w:rPr>
                <w:rFonts w:ascii="Arial" w:cs="Arial" w:eastAsia="Arial" w:hAnsi="Arial"/>
                <w:sz w:val="14"/>
                <w:szCs w:val="14"/>
                <w:color w:val="auto"/>
              </w:rPr>
              <w:t>―</w:t>
            </w:r>
          </w:p>
        </w:tc>
        <w:tc>
          <w:tcPr>
            <w:tcW w:w="44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ind w:left="640"/>
              <w:spacing w:after="0" w:line="137" w:lineRule="exact"/>
              <w:rPr>
                <w:sz w:val="20"/>
                <w:szCs w:val="20"/>
                <w:color w:val="auto"/>
              </w:rPr>
            </w:pPr>
            <w:r>
              <w:rPr>
                <w:rFonts w:ascii="Arial" w:cs="Arial" w:eastAsia="Arial" w:hAnsi="Arial"/>
                <w:sz w:val="14"/>
                <w:szCs w:val="14"/>
                <w:color w:val="auto"/>
              </w:rPr>
              <w:t>―</w:t>
            </w:r>
          </w:p>
        </w:tc>
        <w:tc>
          <w:tcPr>
            <w:tcW w:w="4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spacing w:after="0" w:line="137" w:lineRule="exact"/>
              <w:rPr>
                <w:sz w:val="20"/>
                <w:szCs w:val="20"/>
                <w:color w:val="auto"/>
              </w:rPr>
            </w:pPr>
            <w:r>
              <w:rPr>
                <w:rFonts w:ascii="Arial" w:cs="Arial" w:eastAsia="Arial" w:hAnsi="Arial"/>
                <w:sz w:val="14"/>
                <w:szCs w:val="14"/>
                <w:color w:val="auto"/>
              </w:rPr>
              <w:t>3</w:t>
            </w:r>
          </w:p>
        </w:tc>
      </w:tr>
      <w:tr>
        <w:trPr>
          <w:trHeight w:val="169"/>
        </w:trPr>
        <w:tc>
          <w:tcPr>
            <w:tcW w:w="454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Total</w:t>
            </w:r>
          </w:p>
        </w:tc>
        <w:tc>
          <w:tcPr>
            <w:tcW w:w="1140" w:type="dxa"/>
            <w:vAlign w:val="bottom"/>
            <w:tcBorders>
              <w:bottom w:val="single" w:sz="8" w:color="auto"/>
            </w:tcBorders>
          </w:tcPr>
          <w:p>
            <w:pPr>
              <w:jc w:val="right"/>
              <w:ind w:right="688"/>
              <w:spacing w:after="0"/>
              <w:rPr>
                <w:sz w:val="20"/>
                <w:szCs w:val="20"/>
                <w:color w:val="auto"/>
              </w:rPr>
            </w:pPr>
            <w:r>
              <w:rPr>
                <w:rFonts w:ascii="Arial" w:cs="Arial" w:eastAsia="Arial" w:hAnsi="Arial"/>
                <w:sz w:val="14"/>
                <w:szCs w:val="14"/>
                <w:color w:val="auto"/>
              </w:rPr>
              <w:t>$</w:t>
            </w:r>
          </w:p>
        </w:tc>
        <w:tc>
          <w:tcPr>
            <w:tcW w:w="3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4</w:t>
            </w:r>
          </w:p>
        </w:tc>
        <w:tc>
          <w:tcPr>
            <w:tcW w:w="1000" w:type="dxa"/>
            <w:vAlign w:val="bottom"/>
            <w:tcBorders>
              <w:bottom w:val="single" w:sz="8" w:color="auto"/>
            </w:tcBorders>
          </w:tcPr>
          <w:p>
            <w:pPr>
              <w:jc w:val="right"/>
              <w:ind w:right="688"/>
              <w:spacing w:after="0"/>
              <w:rPr>
                <w:sz w:val="20"/>
                <w:szCs w:val="20"/>
                <w:color w:val="auto"/>
              </w:rPr>
            </w:pPr>
            <w:r>
              <w:rPr>
                <w:rFonts w:ascii="Arial" w:cs="Arial" w:eastAsia="Arial" w:hAnsi="Arial"/>
                <w:sz w:val="14"/>
                <w:szCs w:val="14"/>
                <w:color w:val="auto"/>
              </w:rPr>
              <w:t>$</w:t>
            </w:r>
          </w:p>
        </w:tc>
        <w:tc>
          <w:tcPr>
            <w:tcW w:w="3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4</w:t>
            </w:r>
          </w:p>
        </w:tc>
        <w:tc>
          <w:tcPr>
            <w:tcW w:w="3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tcPr>
          <w:p>
            <w:pPr>
              <w:ind w:left="680"/>
              <w:spacing w:after="0"/>
              <w:rPr>
                <w:sz w:val="20"/>
                <w:szCs w:val="20"/>
                <w:color w:val="auto"/>
              </w:rPr>
            </w:pPr>
            <w:r>
              <w:rPr>
                <w:rFonts w:ascii="Arial" w:cs="Arial" w:eastAsia="Arial" w:hAnsi="Arial"/>
                <w:sz w:val="14"/>
                <w:szCs w:val="14"/>
                <w:color w:val="auto"/>
              </w:rPr>
              <w:t>―</w:t>
            </w:r>
          </w:p>
        </w:tc>
        <w:tc>
          <w:tcPr>
            <w:tcW w:w="44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tcPr>
          <w:p>
            <w:pPr>
              <w:ind w:left="640"/>
              <w:spacing w:after="0"/>
              <w:rPr>
                <w:sz w:val="20"/>
                <w:szCs w:val="20"/>
                <w:color w:val="auto"/>
              </w:rPr>
            </w:pPr>
            <w:r>
              <w:rPr>
                <w:rFonts w:ascii="Arial" w:cs="Arial" w:eastAsia="Arial" w:hAnsi="Arial"/>
                <w:sz w:val="14"/>
                <w:szCs w:val="14"/>
                <w:color w:val="auto"/>
              </w:rPr>
              <w:t>―</w:t>
            </w:r>
          </w:p>
        </w:tc>
        <w:tc>
          <w:tcPr>
            <w:tcW w:w="42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w:t>
            </w:r>
          </w:p>
        </w:tc>
      </w:tr>
    </w:tbl>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There were no transfers into or out of Level 1 or Level 2 for Sempra Energy Consolidated, SDG&amp;E or SoCalGas during the periods presented.</w:t>
      </w: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Level 3 Information</w:t>
      </w:r>
    </w:p>
    <w:p>
      <w:pPr>
        <w:spacing w:after="0" w:line="205"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The following table sets forth reconciliations of changes in the fair value of net trading and other derivatives classified as Level 3 in the fair value hierarchy for Sempra Energy Consolidated and SDG&amp;E:</w:t>
      </w:r>
    </w:p>
    <w:p>
      <w:pPr>
        <w:spacing w:after="0" w:line="200" w:lineRule="exact"/>
        <w:rPr>
          <w:sz w:val="20"/>
          <w:szCs w:val="20"/>
          <w:color w:val="auto"/>
        </w:rPr>
      </w:pP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20" w:type="dxa"/>
            <w:vAlign w:val="bottom"/>
          </w:tcPr>
          <w:p>
            <w:pPr>
              <w:spacing w:after="0"/>
              <w:rPr>
                <w:sz w:val="14"/>
                <w:szCs w:val="14"/>
                <w:color w:val="auto"/>
              </w:rPr>
            </w:pPr>
          </w:p>
        </w:tc>
        <w:tc>
          <w:tcPr>
            <w:tcW w:w="7080" w:type="dxa"/>
            <w:vAlign w:val="bottom"/>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3580" w:type="dxa"/>
            <w:vAlign w:val="bottom"/>
            <w:tcBorders>
              <w:bottom w:val="single" w:sz="8" w:color="auto"/>
            </w:tcBorders>
            <w:gridSpan w:val="3"/>
          </w:tcPr>
          <w:p>
            <w:pPr>
              <w:jc w:val="right"/>
              <w:ind w:right="1120"/>
              <w:spacing w:after="0"/>
              <w:rPr>
                <w:sz w:val="20"/>
                <w:szCs w:val="20"/>
                <w:color w:val="auto"/>
              </w:rPr>
            </w:pPr>
            <w:r>
              <w:rPr>
                <w:rFonts w:ascii="Arial" w:cs="Arial" w:eastAsia="Arial" w:hAnsi="Arial"/>
                <w:sz w:val="14"/>
                <w:szCs w:val="14"/>
                <w:color w:val="auto"/>
              </w:rPr>
              <w:t>Three months ended June 30,</w:t>
            </w:r>
          </w:p>
        </w:tc>
      </w:tr>
      <w:tr>
        <w:trPr>
          <w:trHeight w:val="169"/>
        </w:trPr>
        <w:tc>
          <w:tcPr>
            <w:tcW w:w="7100" w:type="dxa"/>
            <w:vAlign w:val="bottom"/>
            <w:gridSpan w:val="2"/>
          </w:tcPr>
          <w:p>
            <w:pPr>
              <w:spacing w:after="0"/>
              <w:rPr>
                <w:sz w:val="20"/>
                <w:szCs w:val="20"/>
                <w:color w:val="auto"/>
              </w:rPr>
            </w:pPr>
            <w:r>
              <w:rPr>
                <w:rFonts w:ascii="Arial" w:cs="Arial" w:eastAsia="Arial" w:hAnsi="Arial"/>
                <w:sz w:val="14"/>
                <w:szCs w:val="14"/>
                <w:i w:val="1"/>
                <w:iCs w:val="1"/>
                <w:color w:val="auto"/>
              </w:rPr>
              <w:t>(Dollars in millions)</w:t>
            </w:r>
          </w:p>
        </w:tc>
        <w:tc>
          <w:tcPr>
            <w:tcW w:w="740" w:type="dxa"/>
            <w:vAlign w:val="bottom"/>
          </w:tcPr>
          <w:p>
            <w:pPr>
              <w:spacing w:after="0"/>
              <w:rPr>
                <w:sz w:val="14"/>
                <w:szCs w:val="14"/>
                <w:color w:val="auto"/>
              </w:rPr>
            </w:pPr>
          </w:p>
        </w:tc>
        <w:tc>
          <w:tcPr>
            <w:tcW w:w="1660" w:type="dxa"/>
            <w:vAlign w:val="bottom"/>
          </w:tcPr>
          <w:p>
            <w:pPr>
              <w:jc w:val="right"/>
              <w:ind w:right="1101"/>
              <w:spacing w:after="0"/>
              <w:rPr>
                <w:sz w:val="20"/>
                <w:szCs w:val="20"/>
                <w:color w:val="auto"/>
              </w:rPr>
            </w:pPr>
            <w:r>
              <w:rPr>
                <w:rFonts w:ascii="Arial" w:cs="Arial" w:eastAsia="Arial" w:hAnsi="Arial"/>
                <w:sz w:val="14"/>
                <w:szCs w:val="14"/>
                <w:color w:val="auto"/>
              </w:rPr>
              <w:t>2011</w:t>
            </w:r>
          </w:p>
        </w:tc>
        <w:tc>
          <w:tcPr>
            <w:tcW w:w="640" w:type="dxa"/>
            <w:vAlign w:val="bottom"/>
          </w:tcPr>
          <w:p>
            <w:pPr>
              <w:spacing w:after="0"/>
              <w:rPr>
                <w:sz w:val="14"/>
                <w:szCs w:val="14"/>
                <w:color w:val="auto"/>
              </w:rPr>
            </w:pPr>
          </w:p>
        </w:tc>
        <w:tc>
          <w:tcPr>
            <w:tcW w:w="1280" w:type="dxa"/>
            <w:vAlign w:val="bottom"/>
          </w:tcPr>
          <w:p>
            <w:pPr>
              <w:jc w:val="right"/>
              <w:ind w:right="860"/>
              <w:spacing w:after="0"/>
              <w:rPr>
                <w:sz w:val="20"/>
                <w:szCs w:val="20"/>
                <w:color w:val="auto"/>
              </w:rPr>
            </w:pPr>
            <w:r>
              <w:rPr>
                <w:rFonts w:ascii="Arial" w:cs="Arial" w:eastAsia="Arial" w:hAnsi="Arial"/>
                <w:sz w:val="14"/>
                <w:szCs w:val="14"/>
                <w:color w:val="auto"/>
              </w:rPr>
              <w:t>2010</w:t>
            </w:r>
          </w:p>
        </w:tc>
      </w:tr>
      <w:tr>
        <w:trPr>
          <w:trHeight w:val="164"/>
        </w:trPr>
        <w:tc>
          <w:tcPr>
            <w:tcW w:w="20" w:type="dxa"/>
            <w:vAlign w:val="bottom"/>
          </w:tcPr>
          <w:p>
            <w:pPr>
              <w:spacing w:after="0"/>
              <w:rPr>
                <w:sz w:val="14"/>
                <w:szCs w:val="14"/>
                <w:color w:val="auto"/>
              </w:rPr>
            </w:pPr>
          </w:p>
        </w:tc>
        <w:tc>
          <w:tcPr>
            <w:tcW w:w="7080" w:type="dxa"/>
            <w:vAlign w:val="bottom"/>
            <w:tcBorders>
              <w:top w:val="single" w:sz="8" w:color="auto"/>
            </w:tcBorders>
          </w:tcPr>
          <w:p>
            <w:pPr>
              <w:spacing w:after="0" w:line="164" w:lineRule="exact"/>
              <w:rPr>
                <w:sz w:val="20"/>
                <w:szCs w:val="20"/>
                <w:color w:val="auto"/>
              </w:rPr>
            </w:pPr>
            <w:r>
              <w:rPr>
                <w:rFonts w:ascii="Arial" w:cs="Arial" w:eastAsia="Arial" w:hAnsi="Arial"/>
                <w:sz w:val="16"/>
                <w:szCs w:val="16"/>
                <w:color w:val="auto"/>
              </w:rPr>
              <w:t>Balance as of April 1</w:t>
            </w:r>
          </w:p>
        </w:tc>
        <w:tc>
          <w:tcPr>
            <w:tcW w:w="740" w:type="dxa"/>
            <w:vAlign w:val="bottom"/>
            <w:tcBorders>
              <w:top w:val="single" w:sz="8" w:color="auto"/>
            </w:tcBorders>
          </w:tcPr>
          <w:p>
            <w:pPr>
              <w:jc w:val="right"/>
              <w:ind w:right="79"/>
              <w:spacing w:after="0" w:line="164" w:lineRule="exact"/>
              <w:rPr>
                <w:sz w:val="20"/>
                <w:szCs w:val="20"/>
                <w:color w:val="auto"/>
              </w:rPr>
            </w:pPr>
            <w:r>
              <w:rPr>
                <w:rFonts w:ascii="Arial" w:cs="Arial" w:eastAsia="Arial" w:hAnsi="Arial"/>
                <w:sz w:val="16"/>
                <w:szCs w:val="16"/>
                <w:color w:val="auto"/>
              </w:rPr>
              <w:t>$</w:t>
            </w:r>
          </w:p>
        </w:tc>
        <w:tc>
          <w:tcPr>
            <w:tcW w:w="1660" w:type="dxa"/>
            <w:vAlign w:val="bottom"/>
            <w:tcBorders>
              <w:top w:val="single" w:sz="8" w:color="auto"/>
            </w:tcBorders>
          </w:tcPr>
          <w:p>
            <w:pPr>
              <w:jc w:val="right"/>
              <w:ind w:right="221"/>
              <w:spacing w:after="0" w:line="164" w:lineRule="exact"/>
              <w:rPr>
                <w:sz w:val="20"/>
                <w:szCs w:val="20"/>
                <w:color w:val="auto"/>
              </w:rPr>
            </w:pPr>
            <w:r>
              <w:rPr>
                <w:rFonts w:ascii="Arial" w:cs="Arial" w:eastAsia="Arial" w:hAnsi="Arial"/>
                <w:sz w:val="16"/>
                <w:szCs w:val="16"/>
                <w:color w:val="auto"/>
              </w:rPr>
              <w:t>3</w:t>
            </w:r>
          </w:p>
        </w:tc>
        <w:tc>
          <w:tcPr>
            <w:tcW w:w="640" w:type="dxa"/>
            <w:vAlign w:val="bottom"/>
            <w:tcBorders>
              <w:top w:val="single" w:sz="8" w:color="auto"/>
            </w:tcBorders>
          </w:tcPr>
          <w:p>
            <w:pPr>
              <w:jc w:val="right"/>
              <w:ind w:right="239"/>
              <w:spacing w:after="0" w:line="164" w:lineRule="exact"/>
              <w:rPr>
                <w:sz w:val="20"/>
                <w:szCs w:val="20"/>
                <w:color w:val="auto"/>
              </w:rPr>
            </w:pPr>
            <w:r>
              <w:rPr>
                <w:rFonts w:ascii="Arial" w:cs="Arial" w:eastAsia="Arial" w:hAnsi="Arial"/>
                <w:sz w:val="16"/>
                <w:szCs w:val="16"/>
                <w:color w:val="auto"/>
              </w:rPr>
              <w:t>$</w:t>
            </w:r>
          </w:p>
        </w:tc>
        <w:tc>
          <w:tcPr>
            <w:tcW w:w="1280" w:type="dxa"/>
            <w:vAlign w:val="bottom"/>
            <w:tcBorders>
              <w:top w:val="single" w:sz="8" w:color="auto"/>
            </w:tcBorders>
          </w:tcPr>
          <w:p>
            <w:pPr>
              <w:jc w:val="right"/>
              <w:spacing w:after="0" w:line="164" w:lineRule="exact"/>
              <w:rPr>
                <w:sz w:val="20"/>
                <w:szCs w:val="20"/>
                <w:color w:val="auto"/>
              </w:rPr>
            </w:pPr>
            <w:r>
              <w:rPr>
                <w:rFonts w:ascii="Arial" w:cs="Arial" w:eastAsia="Arial" w:hAnsi="Arial"/>
                <w:sz w:val="16"/>
                <w:szCs w:val="16"/>
                <w:color w:val="auto"/>
              </w:rPr>
              <w:t>9</w:t>
            </w:r>
          </w:p>
        </w:tc>
      </w:tr>
      <w:tr>
        <w:trPr>
          <w:trHeight w:val="176"/>
        </w:trPr>
        <w:tc>
          <w:tcPr>
            <w:tcW w:w="20" w:type="dxa"/>
            <w:vAlign w:val="bottom"/>
          </w:tcPr>
          <w:p>
            <w:pPr>
              <w:spacing w:after="0"/>
              <w:rPr>
                <w:sz w:val="15"/>
                <w:szCs w:val="15"/>
                <w:color w:val="auto"/>
              </w:rPr>
            </w:pPr>
          </w:p>
        </w:tc>
        <w:tc>
          <w:tcPr>
            <w:tcW w:w="7080" w:type="dxa"/>
            <w:vAlign w:val="bottom"/>
          </w:tcPr>
          <w:p>
            <w:pPr>
              <w:ind w:left="160"/>
              <w:spacing w:after="0" w:line="176" w:lineRule="exact"/>
              <w:rPr>
                <w:sz w:val="20"/>
                <w:szCs w:val="20"/>
                <w:color w:val="auto"/>
              </w:rPr>
            </w:pPr>
            <w:r>
              <w:rPr>
                <w:rFonts w:ascii="Arial" w:cs="Arial" w:eastAsia="Arial" w:hAnsi="Arial"/>
                <w:sz w:val="16"/>
                <w:szCs w:val="16"/>
                <w:color w:val="auto"/>
              </w:rPr>
              <w:t>Realized and unrealized gains (losses)</w:t>
            </w:r>
          </w:p>
        </w:tc>
        <w:tc>
          <w:tcPr>
            <w:tcW w:w="740" w:type="dxa"/>
            <w:vAlign w:val="bottom"/>
          </w:tcPr>
          <w:p>
            <w:pPr>
              <w:spacing w:after="0"/>
              <w:rPr>
                <w:sz w:val="15"/>
                <w:szCs w:val="15"/>
                <w:color w:val="auto"/>
              </w:rPr>
            </w:pPr>
          </w:p>
        </w:tc>
        <w:tc>
          <w:tcPr>
            <w:tcW w:w="1660" w:type="dxa"/>
            <w:vAlign w:val="bottom"/>
          </w:tcPr>
          <w:p>
            <w:pPr>
              <w:jc w:val="right"/>
              <w:ind w:right="221"/>
              <w:spacing w:after="0" w:line="176" w:lineRule="exact"/>
              <w:rPr>
                <w:sz w:val="20"/>
                <w:szCs w:val="20"/>
                <w:color w:val="auto"/>
              </w:rPr>
            </w:pPr>
            <w:r>
              <w:rPr>
                <w:rFonts w:ascii="Arial" w:cs="Arial" w:eastAsia="Arial" w:hAnsi="Arial"/>
                <w:sz w:val="16"/>
                <w:szCs w:val="16"/>
                <w:color w:val="auto"/>
              </w:rPr>
              <w:t>6</w:t>
            </w:r>
          </w:p>
        </w:tc>
        <w:tc>
          <w:tcPr>
            <w:tcW w:w="640" w:type="dxa"/>
            <w:vAlign w:val="bottom"/>
          </w:tcPr>
          <w:p>
            <w:pPr>
              <w:spacing w:after="0"/>
              <w:rPr>
                <w:sz w:val="15"/>
                <w:szCs w:val="15"/>
                <w:color w:val="auto"/>
              </w:rPr>
            </w:pPr>
          </w:p>
        </w:tc>
        <w:tc>
          <w:tcPr>
            <w:tcW w:w="1280" w:type="dxa"/>
            <w:vAlign w:val="bottom"/>
          </w:tcPr>
          <w:p>
            <w:pPr>
              <w:jc w:val="right"/>
              <w:spacing w:after="0" w:line="176" w:lineRule="exact"/>
              <w:rPr>
                <w:sz w:val="20"/>
                <w:szCs w:val="20"/>
                <w:color w:val="auto"/>
              </w:rPr>
            </w:pPr>
            <w:r>
              <w:rPr>
                <w:rFonts w:ascii="Arial" w:cs="Arial" w:eastAsia="Arial" w:hAnsi="Arial"/>
                <w:sz w:val="16"/>
                <w:szCs w:val="16"/>
                <w:color w:val="auto"/>
              </w:rPr>
              <w:t>(2)</w:t>
            </w:r>
          </w:p>
        </w:tc>
      </w:tr>
      <w:tr>
        <w:trPr>
          <w:trHeight w:val="176"/>
        </w:trPr>
        <w:tc>
          <w:tcPr>
            <w:tcW w:w="20" w:type="dxa"/>
            <w:vAlign w:val="bottom"/>
          </w:tcPr>
          <w:p>
            <w:pPr>
              <w:spacing w:after="0"/>
              <w:rPr>
                <w:sz w:val="15"/>
                <w:szCs w:val="15"/>
                <w:color w:val="auto"/>
              </w:rPr>
            </w:pPr>
          </w:p>
        </w:tc>
        <w:tc>
          <w:tcPr>
            <w:tcW w:w="7080" w:type="dxa"/>
            <w:vAlign w:val="bottom"/>
          </w:tcPr>
          <w:p>
            <w:pPr>
              <w:ind w:left="160"/>
              <w:spacing w:after="0" w:line="176" w:lineRule="exact"/>
              <w:rPr>
                <w:sz w:val="20"/>
                <w:szCs w:val="20"/>
                <w:color w:val="auto"/>
              </w:rPr>
            </w:pPr>
            <w:r>
              <w:rPr>
                <w:rFonts w:ascii="Arial" w:cs="Arial" w:eastAsia="Arial" w:hAnsi="Arial"/>
                <w:sz w:val="16"/>
                <w:szCs w:val="16"/>
                <w:color w:val="auto"/>
              </w:rPr>
              <w:t>Allocated transmission instruments</w:t>
            </w:r>
          </w:p>
        </w:tc>
        <w:tc>
          <w:tcPr>
            <w:tcW w:w="740" w:type="dxa"/>
            <w:vAlign w:val="bottom"/>
          </w:tcPr>
          <w:p>
            <w:pPr>
              <w:spacing w:after="0"/>
              <w:rPr>
                <w:sz w:val="15"/>
                <w:szCs w:val="15"/>
                <w:color w:val="auto"/>
              </w:rPr>
            </w:pPr>
          </w:p>
        </w:tc>
        <w:tc>
          <w:tcPr>
            <w:tcW w:w="1660" w:type="dxa"/>
            <w:vAlign w:val="bottom"/>
          </w:tcPr>
          <w:p>
            <w:pPr>
              <w:jc w:val="right"/>
              <w:ind w:right="221"/>
              <w:spacing w:after="0" w:line="176" w:lineRule="exact"/>
              <w:rPr>
                <w:sz w:val="20"/>
                <w:szCs w:val="20"/>
                <w:color w:val="auto"/>
              </w:rPr>
            </w:pPr>
            <w:r>
              <w:rPr>
                <w:rFonts w:ascii="Arial" w:cs="Arial" w:eastAsia="Arial" w:hAnsi="Arial"/>
                <w:sz w:val="16"/>
                <w:szCs w:val="16"/>
                <w:color w:val="auto"/>
              </w:rPr>
              <w:t>1</w:t>
            </w:r>
          </w:p>
        </w:tc>
        <w:tc>
          <w:tcPr>
            <w:tcW w:w="640" w:type="dxa"/>
            <w:vAlign w:val="bottom"/>
          </w:tcPr>
          <w:p>
            <w:pPr>
              <w:spacing w:after="0"/>
              <w:rPr>
                <w:sz w:val="15"/>
                <w:szCs w:val="15"/>
                <w:color w:val="auto"/>
              </w:rPr>
            </w:pPr>
          </w:p>
        </w:tc>
        <w:tc>
          <w:tcPr>
            <w:tcW w:w="1280" w:type="dxa"/>
            <w:vAlign w:val="bottom"/>
          </w:tcPr>
          <w:p>
            <w:pPr>
              <w:jc w:val="right"/>
              <w:spacing w:after="0" w:line="176" w:lineRule="exact"/>
              <w:rPr>
                <w:sz w:val="20"/>
                <w:szCs w:val="20"/>
                <w:color w:val="auto"/>
              </w:rPr>
            </w:pPr>
            <w:r>
              <w:rPr>
                <w:rFonts w:ascii="Arial" w:cs="Arial" w:eastAsia="Arial" w:hAnsi="Arial"/>
                <w:sz w:val="16"/>
                <w:szCs w:val="16"/>
                <w:color w:val="auto"/>
              </w:rPr>
              <w:t>―</w:t>
            </w:r>
          </w:p>
        </w:tc>
      </w:tr>
      <w:tr>
        <w:trPr>
          <w:trHeight w:val="194"/>
        </w:trPr>
        <w:tc>
          <w:tcPr>
            <w:tcW w:w="20" w:type="dxa"/>
            <w:vAlign w:val="bottom"/>
          </w:tcPr>
          <w:p>
            <w:pPr>
              <w:spacing w:after="0"/>
              <w:rPr>
                <w:sz w:val="16"/>
                <w:szCs w:val="16"/>
                <w:color w:val="auto"/>
              </w:rPr>
            </w:pPr>
          </w:p>
        </w:tc>
        <w:tc>
          <w:tcPr>
            <w:tcW w:w="7080" w:type="dxa"/>
            <w:vAlign w:val="bottom"/>
          </w:tcPr>
          <w:p>
            <w:pPr>
              <w:ind w:left="160"/>
              <w:spacing w:after="0"/>
              <w:rPr>
                <w:sz w:val="20"/>
                <w:szCs w:val="20"/>
                <w:color w:val="auto"/>
              </w:rPr>
            </w:pPr>
            <w:r>
              <w:rPr>
                <w:rFonts w:ascii="Arial" w:cs="Arial" w:eastAsia="Arial" w:hAnsi="Arial"/>
                <w:sz w:val="16"/>
                <w:szCs w:val="16"/>
                <w:color w:val="auto"/>
              </w:rPr>
              <w:t>Settlements</w:t>
            </w:r>
          </w:p>
        </w:tc>
        <w:tc>
          <w:tcPr>
            <w:tcW w:w="74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tcPr>
          <w:p>
            <w:pPr>
              <w:jc w:val="right"/>
              <w:ind w:right="181"/>
              <w:spacing w:after="0"/>
              <w:rPr>
                <w:sz w:val="20"/>
                <w:szCs w:val="20"/>
                <w:color w:val="auto"/>
              </w:rPr>
            </w:pPr>
            <w:r>
              <w:rPr>
                <w:rFonts w:ascii="Arial" w:cs="Arial" w:eastAsia="Arial" w:hAnsi="Arial"/>
                <w:sz w:val="16"/>
                <w:szCs w:val="16"/>
                <w:color w:val="auto"/>
              </w:rPr>
              <w:t>(7)</w:t>
            </w:r>
          </w:p>
        </w:tc>
        <w:tc>
          <w:tcPr>
            <w:tcW w:w="64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r>
      <w:tr>
        <w:trPr>
          <w:trHeight w:val="183"/>
        </w:trPr>
        <w:tc>
          <w:tcPr>
            <w:tcW w:w="7100" w:type="dxa"/>
            <w:vAlign w:val="bottom"/>
            <w:gridSpan w:val="2"/>
          </w:tcPr>
          <w:p>
            <w:pPr>
              <w:spacing w:after="0" w:line="176" w:lineRule="exact"/>
              <w:rPr>
                <w:sz w:val="20"/>
                <w:szCs w:val="20"/>
                <w:color w:val="auto"/>
              </w:rPr>
            </w:pPr>
            <w:r>
              <w:rPr>
                <w:rFonts w:ascii="Arial" w:cs="Arial" w:eastAsia="Arial" w:hAnsi="Arial"/>
                <w:sz w:val="16"/>
                <w:szCs w:val="16"/>
                <w:color w:val="auto"/>
              </w:rPr>
              <w:t>Balance as of June 30</w:t>
            </w:r>
          </w:p>
        </w:tc>
        <w:tc>
          <w:tcPr>
            <w:tcW w:w="740" w:type="dxa"/>
            <w:vAlign w:val="bottom"/>
            <w:tcBorders>
              <w:bottom w:val="single" w:sz="8" w:color="auto"/>
            </w:tcBorders>
          </w:tcPr>
          <w:p>
            <w:pPr>
              <w:jc w:val="right"/>
              <w:ind w:right="79"/>
              <w:spacing w:after="0" w:line="176" w:lineRule="exact"/>
              <w:rPr>
                <w:sz w:val="20"/>
                <w:szCs w:val="20"/>
                <w:color w:val="auto"/>
              </w:rPr>
            </w:pPr>
            <w:r>
              <w:rPr>
                <w:rFonts w:ascii="Arial" w:cs="Arial" w:eastAsia="Arial" w:hAnsi="Arial"/>
                <w:sz w:val="16"/>
                <w:szCs w:val="16"/>
                <w:color w:val="auto"/>
              </w:rPr>
              <w:t>$</w:t>
            </w:r>
          </w:p>
        </w:tc>
        <w:tc>
          <w:tcPr>
            <w:tcW w:w="1660" w:type="dxa"/>
            <w:vAlign w:val="bottom"/>
            <w:tcBorders>
              <w:bottom w:val="single" w:sz="8" w:color="auto"/>
            </w:tcBorders>
          </w:tcPr>
          <w:p>
            <w:pPr>
              <w:jc w:val="right"/>
              <w:ind w:right="221"/>
              <w:spacing w:after="0" w:line="176" w:lineRule="exact"/>
              <w:rPr>
                <w:sz w:val="20"/>
                <w:szCs w:val="20"/>
                <w:color w:val="auto"/>
              </w:rPr>
            </w:pPr>
            <w:r>
              <w:rPr>
                <w:rFonts w:ascii="Arial" w:cs="Arial" w:eastAsia="Arial" w:hAnsi="Arial"/>
                <w:sz w:val="16"/>
                <w:szCs w:val="16"/>
                <w:color w:val="auto"/>
              </w:rPr>
              <w:t>3</w:t>
            </w:r>
          </w:p>
        </w:tc>
        <w:tc>
          <w:tcPr>
            <w:tcW w:w="640" w:type="dxa"/>
            <w:vAlign w:val="bottom"/>
            <w:tcBorders>
              <w:bottom w:val="single" w:sz="8" w:color="auto"/>
            </w:tcBorders>
          </w:tcPr>
          <w:p>
            <w:pPr>
              <w:jc w:val="right"/>
              <w:ind w:right="239"/>
              <w:spacing w:after="0" w:line="176" w:lineRule="exact"/>
              <w:rPr>
                <w:sz w:val="20"/>
                <w:szCs w:val="20"/>
                <w:color w:val="auto"/>
              </w:rPr>
            </w:pPr>
            <w:r>
              <w:rPr>
                <w:rFonts w:ascii="Arial" w:cs="Arial" w:eastAsia="Arial" w:hAnsi="Arial"/>
                <w:sz w:val="16"/>
                <w:szCs w:val="16"/>
                <w:color w:val="auto"/>
              </w:rPr>
              <w:t>$</w:t>
            </w:r>
          </w:p>
        </w:tc>
        <w:tc>
          <w:tcPr>
            <w:tcW w:w="128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6"/>
                <w:szCs w:val="16"/>
                <w:color w:val="auto"/>
              </w:rPr>
              <w:t>7</w:t>
            </w:r>
          </w:p>
        </w:tc>
      </w:tr>
      <w:tr>
        <w:trPr>
          <w:trHeight w:val="164"/>
        </w:trPr>
        <w:tc>
          <w:tcPr>
            <w:tcW w:w="7100" w:type="dxa"/>
            <w:vAlign w:val="bottom"/>
            <w:gridSpan w:val="2"/>
          </w:tcPr>
          <w:p>
            <w:pPr>
              <w:spacing w:after="0" w:line="164" w:lineRule="exact"/>
              <w:rPr>
                <w:sz w:val="20"/>
                <w:szCs w:val="20"/>
                <w:color w:val="auto"/>
              </w:rPr>
            </w:pPr>
            <w:r>
              <w:rPr>
                <w:rFonts w:ascii="Arial" w:cs="Arial" w:eastAsia="Arial" w:hAnsi="Arial"/>
                <w:sz w:val="16"/>
                <w:szCs w:val="16"/>
                <w:color w:val="auto"/>
              </w:rPr>
              <w:t>Change in unrealized gains relating to</w:t>
            </w:r>
          </w:p>
        </w:tc>
        <w:tc>
          <w:tcPr>
            <w:tcW w:w="74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194"/>
        </w:trPr>
        <w:tc>
          <w:tcPr>
            <w:tcW w:w="20" w:type="dxa"/>
            <w:vAlign w:val="bottom"/>
          </w:tcPr>
          <w:p>
            <w:pPr>
              <w:spacing w:after="0"/>
              <w:rPr>
                <w:sz w:val="16"/>
                <w:szCs w:val="16"/>
                <w:color w:val="auto"/>
              </w:rPr>
            </w:pPr>
          </w:p>
        </w:tc>
        <w:tc>
          <w:tcPr>
            <w:tcW w:w="7080" w:type="dxa"/>
            <w:vAlign w:val="bottom"/>
            <w:tcBorders>
              <w:bottom w:val="single" w:sz="8" w:color="auto"/>
            </w:tcBorders>
          </w:tcPr>
          <w:p>
            <w:pPr>
              <w:ind w:left="160"/>
              <w:spacing w:after="0"/>
              <w:rPr>
                <w:sz w:val="20"/>
                <w:szCs w:val="20"/>
                <w:color w:val="auto"/>
              </w:rPr>
            </w:pPr>
            <w:r>
              <w:rPr>
                <w:rFonts w:ascii="Arial" w:cs="Arial" w:eastAsia="Arial" w:hAnsi="Arial"/>
                <w:sz w:val="16"/>
                <w:szCs w:val="16"/>
                <w:color w:val="auto"/>
              </w:rPr>
              <w:t>instruments still held at June 30</w:t>
            </w:r>
          </w:p>
        </w:tc>
        <w:tc>
          <w:tcPr>
            <w:tcW w:w="7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1660" w:type="dxa"/>
            <w:vAlign w:val="bottom"/>
            <w:tcBorders>
              <w:bottom w:val="single" w:sz="8" w:color="auto"/>
            </w:tcBorders>
          </w:tcPr>
          <w:p>
            <w:pPr>
              <w:jc w:val="right"/>
              <w:ind w:right="221"/>
              <w:spacing w:after="0"/>
              <w:rPr>
                <w:sz w:val="20"/>
                <w:szCs w:val="20"/>
                <w:color w:val="auto"/>
              </w:rPr>
            </w:pPr>
            <w:r>
              <w:rPr>
                <w:rFonts w:ascii="Arial" w:cs="Arial" w:eastAsia="Arial" w:hAnsi="Arial"/>
                <w:sz w:val="16"/>
                <w:szCs w:val="16"/>
                <w:color w:val="auto"/>
              </w:rPr>
              <w:t>―</w:t>
            </w:r>
          </w:p>
        </w:tc>
        <w:tc>
          <w:tcPr>
            <w:tcW w:w="64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r>
      <w:tr>
        <w:trPr>
          <w:trHeight w:val="412"/>
        </w:trPr>
        <w:tc>
          <w:tcPr>
            <w:tcW w:w="20" w:type="dxa"/>
            <w:vAlign w:val="bottom"/>
          </w:tcPr>
          <w:p>
            <w:pPr>
              <w:spacing w:after="0"/>
              <w:rPr>
                <w:sz w:val="24"/>
                <w:szCs w:val="24"/>
                <w:color w:val="auto"/>
              </w:rPr>
            </w:pPr>
          </w:p>
        </w:tc>
        <w:tc>
          <w:tcPr>
            <w:tcW w:w="7080" w:type="dxa"/>
            <w:vAlign w:val="bottom"/>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23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Six months ended June 30,</w:t>
            </w:r>
          </w:p>
        </w:tc>
        <w:tc>
          <w:tcPr>
            <w:tcW w:w="1280" w:type="dxa"/>
            <w:vAlign w:val="bottom"/>
            <w:tcBorders>
              <w:bottom w:val="single" w:sz="8" w:color="auto"/>
            </w:tcBorders>
          </w:tcPr>
          <w:p>
            <w:pPr>
              <w:spacing w:after="0"/>
              <w:rPr>
                <w:sz w:val="24"/>
                <w:szCs w:val="24"/>
                <w:color w:val="auto"/>
              </w:rPr>
            </w:pPr>
          </w:p>
        </w:tc>
      </w:tr>
      <w:tr>
        <w:trPr>
          <w:trHeight w:val="169"/>
        </w:trPr>
        <w:tc>
          <w:tcPr>
            <w:tcW w:w="7100" w:type="dxa"/>
            <w:vAlign w:val="bottom"/>
            <w:gridSpan w:val="2"/>
          </w:tcPr>
          <w:p>
            <w:pPr>
              <w:spacing w:after="0"/>
              <w:rPr>
                <w:sz w:val="20"/>
                <w:szCs w:val="20"/>
                <w:color w:val="auto"/>
              </w:rPr>
            </w:pPr>
            <w:r>
              <w:rPr>
                <w:rFonts w:ascii="Arial" w:cs="Arial" w:eastAsia="Arial" w:hAnsi="Arial"/>
                <w:sz w:val="14"/>
                <w:szCs w:val="14"/>
                <w:i w:val="1"/>
                <w:iCs w:val="1"/>
                <w:color w:val="auto"/>
              </w:rPr>
              <w:t>(Dollars in millions)</w:t>
            </w:r>
          </w:p>
        </w:tc>
        <w:tc>
          <w:tcPr>
            <w:tcW w:w="740" w:type="dxa"/>
            <w:vAlign w:val="bottom"/>
          </w:tcPr>
          <w:p>
            <w:pPr>
              <w:spacing w:after="0"/>
              <w:rPr>
                <w:sz w:val="14"/>
                <w:szCs w:val="14"/>
                <w:color w:val="auto"/>
              </w:rPr>
            </w:pPr>
          </w:p>
        </w:tc>
        <w:tc>
          <w:tcPr>
            <w:tcW w:w="1660" w:type="dxa"/>
            <w:vAlign w:val="bottom"/>
          </w:tcPr>
          <w:p>
            <w:pPr>
              <w:jc w:val="right"/>
              <w:ind w:right="1101"/>
              <w:spacing w:after="0"/>
              <w:rPr>
                <w:sz w:val="20"/>
                <w:szCs w:val="20"/>
                <w:color w:val="auto"/>
              </w:rPr>
            </w:pPr>
            <w:r>
              <w:rPr>
                <w:rFonts w:ascii="Arial" w:cs="Arial" w:eastAsia="Arial" w:hAnsi="Arial"/>
                <w:sz w:val="14"/>
                <w:szCs w:val="14"/>
                <w:color w:val="auto"/>
              </w:rPr>
              <w:t>2011</w:t>
            </w:r>
          </w:p>
        </w:tc>
        <w:tc>
          <w:tcPr>
            <w:tcW w:w="640" w:type="dxa"/>
            <w:vAlign w:val="bottom"/>
          </w:tcPr>
          <w:p>
            <w:pPr>
              <w:spacing w:after="0"/>
              <w:rPr>
                <w:sz w:val="14"/>
                <w:szCs w:val="14"/>
                <w:color w:val="auto"/>
              </w:rPr>
            </w:pPr>
          </w:p>
        </w:tc>
        <w:tc>
          <w:tcPr>
            <w:tcW w:w="1280" w:type="dxa"/>
            <w:vAlign w:val="bottom"/>
          </w:tcPr>
          <w:p>
            <w:pPr>
              <w:jc w:val="right"/>
              <w:ind w:right="860"/>
              <w:spacing w:after="0"/>
              <w:rPr>
                <w:sz w:val="20"/>
                <w:szCs w:val="20"/>
                <w:color w:val="auto"/>
              </w:rPr>
            </w:pPr>
            <w:r>
              <w:rPr>
                <w:rFonts w:ascii="Arial" w:cs="Arial" w:eastAsia="Arial" w:hAnsi="Arial"/>
                <w:sz w:val="14"/>
                <w:szCs w:val="14"/>
                <w:color w:val="auto"/>
              </w:rPr>
              <w:t>2010</w:t>
            </w:r>
          </w:p>
        </w:tc>
      </w:tr>
      <w:tr>
        <w:trPr>
          <w:trHeight w:val="164"/>
        </w:trPr>
        <w:tc>
          <w:tcPr>
            <w:tcW w:w="20" w:type="dxa"/>
            <w:vAlign w:val="bottom"/>
          </w:tcPr>
          <w:p>
            <w:pPr>
              <w:spacing w:after="0"/>
              <w:rPr>
                <w:sz w:val="14"/>
                <w:szCs w:val="14"/>
                <w:color w:val="auto"/>
              </w:rPr>
            </w:pPr>
          </w:p>
        </w:tc>
        <w:tc>
          <w:tcPr>
            <w:tcW w:w="7080" w:type="dxa"/>
            <w:vAlign w:val="bottom"/>
            <w:tcBorders>
              <w:top w:val="single" w:sz="8" w:color="auto"/>
            </w:tcBorders>
          </w:tcPr>
          <w:p>
            <w:pPr>
              <w:spacing w:after="0" w:line="164" w:lineRule="exact"/>
              <w:rPr>
                <w:sz w:val="20"/>
                <w:szCs w:val="20"/>
                <w:color w:val="auto"/>
              </w:rPr>
            </w:pPr>
            <w:r>
              <w:rPr>
                <w:rFonts w:ascii="Arial" w:cs="Arial" w:eastAsia="Arial" w:hAnsi="Arial"/>
                <w:sz w:val="16"/>
                <w:szCs w:val="16"/>
                <w:color w:val="auto"/>
              </w:rPr>
              <w:t>Balance as of January 1</w:t>
            </w:r>
          </w:p>
        </w:tc>
        <w:tc>
          <w:tcPr>
            <w:tcW w:w="740" w:type="dxa"/>
            <w:vAlign w:val="bottom"/>
            <w:tcBorders>
              <w:top w:val="single" w:sz="8" w:color="auto"/>
            </w:tcBorders>
          </w:tcPr>
          <w:p>
            <w:pPr>
              <w:jc w:val="right"/>
              <w:ind w:right="79"/>
              <w:spacing w:after="0" w:line="164" w:lineRule="exact"/>
              <w:rPr>
                <w:sz w:val="20"/>
                <w:szCs w:val="20"/>
                <w:color w:val="auto"/>
              </w:rPr>
            </w:pPr>
            <w:r>
              <w:rPr>
                <w:rFonts w:ascii="Arial" w:cs="Arial" w:eastAsia="Arial" w:hAnsi="Arial"/>
                <w:sz w:val="16"/>
                <w:szCs w:val="16"/>
                <w:color w:val="auto"/>
              </w:rPr>
              <w:t>$</w:t>
            </w:r>
          </w:p>
        </w:tc>
        <w:tc>
          <w:tcPr>
            <w:tcW w:w="1660" w:type="dxa"/>
            <w:vAlign w:val="bottom"/>
            <w:tcBorders>
              <w:top w:val="single" w:sz="8" w:color="auto"/>
            </w:tcBorders>
          </w:tcPr>
          <w:p>
            <w:pPr>
              <w:jc w:val="right"/>
              <w:ind w:right="221"/>
              <w:spacing w:after="0" w:line="164" w:lineRule="exact"/>
              <w:rPr>
                <w:sz w:val="20"/>
                <w:szCs w:val="20"/>
                <w:color w:val="auto"/>
              </w:rPr>
            </w:pPr>
            <w:r>
              <w:rPr>
                <w:rFonts w:ascii="Arial" w:cs="Arial" w:eastAsia="Arial" w:hAnsi="Arial"/>
                <w:sz w:val="16"/>
                <w:szCs w:val="16"/>
                <w:color w:val="auto"/>
              </w:rPr>
              <w:t>2</w:t>
            </w:r>
          </w:p>
        </w:tc>
        <w:tc>
          <w:tcPr>
            <w:tcW w:w="640" w:type="dxa"/>
            <w:vAlign w:val="bottom"/>
            <w:tcBorders>
              <w:top w:val="single" w:sz="8" w:color="auto"/>
            </w:tcBorders>
          </w:tcPr>
          <w:p>
            <w:pPr>
              <w:jc w:val="right"/>
              <w:ind w:right="239"/>
              <w:spacing w:after="0" w:line="164" w:lineRule="exact"/>
              <w:rPr>
                <w:sz w:val="20"/>
                <w:szCs w:val="20"/>
                <w:color w:val="auto"/>
              </w:rPr>
            </w:pPr>
            <w:r>
              <w:rPr>
                <w:rFonts w:ascii="Arial" w:cs="Arial" w:eastAsia="Arial" w:hAnsi="Arial"/>
                <w:sz w:val="16"/>
                <w:szCs w:val="16"/>
                <w:color w:val="auto"/>
              </w:rPr>
              <w:t>$</w:t>
            </w:r>
          </w:p>
        </w:tc>
        <w:tc>
          <w:tcPr>
            <w:tcW w:w="1280" w:type="dxa"/>
            <w:vAlign w:val="bottom"/>
            <w:tcBorders>
              <w:top w:val="single" w:sz="8" w:color="auto"/>
            </w:tcBorders>
          </w:tcPr>
          <w:p>
            <w:pPr>
              <w:jc w:val="right"/>
              <w:spacing w:after="0" w:line="164" w:lineRule="exact"/>
              <w:rPr>
                <w:sz w:val="20"/>
                <w:szCs w:val="20"/>
                <w:color w:val="auto"/>
              </w:rPr>
            </w:pPr>
            <w:r>
              <w:rPr>
                <w:rFonts w:ascii="Arial" w:cs="Arial" w:eastAsia="Arial" w:hAnsi="Arial"/>
                <w:sz w:val="16"/>
                <w:szCs w:val="16"/>
                <w:color w:val="auto"/>
              </w:rPr>
              <w:t>10</w:t>
            </w:r>
          </w:p>
        </w:tc>
      </w:tr>
      <w:tr>
        <w:trPr>
          <w:trHeight w:val="176"/>
        </w:trPr>
        <w:tc>
          <w:tcPr>
            <w:tcW w:w="20" w:type="dxa"/>
            <w:vAlign w:val="bottom"/>
          </w:tcPr>
          <w:p>
            <w:pPr>
              <w:spacing w:after="0"/>
              <w:rPr>
                <w:sz w:val="15"/>
                <w:szCs w:val="15"/>
                <w:color w:val="auto"/>
              </w:rPr>
            </w:pPr>
          </w:p>
        </w:tc>
        <w:tc>
          <w:tcPr>
            <w:tcW w:w="7080" w:type="dxa"/>
            <w:vAlign w:val="bottom"/>
          </w:tcPr>
          <w:p>
            <w:pPr>
              <w:ind w:left="160"/>
              <w:spacing w:after="0" w:line="176" w:lineRule="exact"/>
              <w:rPr>
                <w:sz w:val="20"/>
                <w:szCs w:val="20"/>
                <w:color w:val="auto"/>
              </w:rPr>
            </w:pPr>
            <w:r>
              <w:rPr>
                <w:rFonts w:ascii="Arial" w:cs="Arial" w:eastAsia="Arial" w:hAnsi="Arial"/>
                <w:sz w:val="16"/>
                <w:szCs w:val="16"/>
                <w:color w:val="auto"/>
              </w:rPr>
              <w:t>Realized and unrealized gains (losses)</w:t>
            </w:r>
          </w:p>
        </w:tc>
        <w:tc>
          <w:tcPr>
            <w:tcW w:w="740" w:type="dxa"/>
            <w:vAlign w:val="bottom"/>
          </w:tcPr>
          <w:p>
            <w:pPr>
              <w:spacing w:after="0"/>
              <w:rPr>
                <w:sz w:val="15"/>
                <w:szCs w:val="15"/>
                <w:color w:val="auto"/>
              </w:rPr>
            </w:pPr>
          </w:p>
        </w:tc>
        <w:tc>
          <w:tcPr>
            <w:tcW w:w="1660" w:type="dxa"/>
            <w:vAlign w:val="bottom"/>
          </w:tcPr>
          <w:p>
            <w:pPr>
              <w:jc w:val="right"/>
              <w:ind w:right="221"/>
              <w:spacing w:after="0" w:line="176" w:lineRule="exact"/>
              <w:rPr>
                <w:sz w:val="20"/>
                <w:szCs w:val="20"/>
                <w:color w:val="auto"/>
              </w:rPr>
            </w:pPr>
            <w:r>
              <w:rPr>
                <w:rFonts w:ascii="Arial" w:cs="Arial" w:eastAsia="Arial" w:hAnsi="Arial"/>
                <w:sz w:val="16"/>
                <w:szCs w:val="16"/>
                <w:color w:val="auto"/>
              </w:rPr>
              <w:t>12</w:t>
            </w:r>
          </w:p>
        </w:tc>
        <w:tc>
          <w:tcPr>
            <w:tcW w:w="640" w:type="dxa"/>
            <w:vAlign w:val="bottom"/>
          </w:tcPr>
          <w:p>
            <w:pPr>
              <w:spacing w:after="0"/>
              <w:rPr>
                <w:sz w:val="15"/>
                <w:szCs w:val="15"/>
                <w:color w:val="auto"/>
              </w:rPr>
            </w:pPr>
          </w:p>
        </w:tc>
        <w:tc>
          <w:tcPr>
            <w:tcW w:w="1280" w:type="dxa"/>
            <w:vAlign w:val="bottom"/>
          </w:tcPr>
          <w:p>
            <w:pPr>
              <w:jc w:val="right"/>
              <w:spacing w:after="0" w:line="176" w:lineRule="exact"/>
              <w:rPr>
                <w:sz w:val="20"/>
                <w:szCs w:val="20"/>
                <w:color w:val="auto"/>
              </w:rPr>
            </w:pPr>
            <w:r>
              <w:rPr>
                <w:rFonts w:ascii="Arial" w:cs="Arial" w:eastAsia="Arial" w:hAnsi="Arial"/>
                <w:sz w:val="16"/>
                <w:szCs w:val="16"/>
                <w:color w:val="auto"/>
              </w:rPr>
              <w:t>(4)</w:t>
            </w:r>
          </w:p>
        </w:tc>
      </w:tr>
      <w:tr>
        <w:trPr>
          <w:trHeight w:val="176"/>
        </w:trPr>
        <w:tc>
          <w:tcPr>
            <w:tcW w:w="20" w:type="dxa"/>
            <w:vAlign w:val="bottom"/>
          </w:tcPr>
          <w:p>
            <w:pPr>
              <w:spacing w:after="0"/>
              <w:rPr>
                <w:sz w:val="15"/>
                <w:szCs w:val="15"/>
                <w:color w:val="auto"/>
              </w:rPr>
            </w:pPr>
          </w:p>
        </w:tc>
        <w:tc>
          <w:tcPr>
            <w:tcW w:w="7080" w:type="dxa"/>
            <w:vAlign w:val="bottom"/>
          </w:tcPr>
          <w:p>
            <w:pPr>
              <w:ind w:left="160"/>
              <w:spacing w:after="0" w:line="176" w:lineRule="exact"/>
              <w:rPr>
                <w:sz w:val="20"/>
                <w:szCs w:val="20"/>
                <w:color w:val="auto"/>
              </w:rPr>
            </w:pPr>
            <w:r>
              <w:rPr>
                <w:rFonts w:ascii="Arial" w:cs="Arial" w:eastAsia="Arial" w:hAnsi="Arial"/>
                <w:sz w:val="16"/>
                <w:szCs w:val="16"/>
                <w:color w:val="auto"/>
              </w:rPr>
              <w:t>Allocated transmission instruments</w:t>
            </w:r>
          </w:p>
        </w:tc>
        <w:tc>
          <w:tcPr>
            <w:tcW w:w="740" w:type="dxa"/>
            <w:vAlign w:val="bottom"/>
          </w:tcPr>
          <w:p>
            <w:pPr>
              <w:spacing w:after="0"/>
              <w:rPr>
                <w:sz w:val="15"/>
                <w:szCs w:val="15"/>
                <w:color w:val="auto"/>
              </w:rPr>
            </w:pPr>
          </w:p>
        </w:tc>
        <w:tc>
          <w:tcPr>
            <w:tcW w:w="1660" w:type="dxa"/>
            <w:vAlign w:val="bottom"/>
          </w:tcPr>
          <w:p>
            <w:pPr>
              <w:jc w:val="right"/>
              <w:ind w:right="221"/>
              <w:spacing w:after="0" w:line="176" w:lineRule="exact"/>
              <w:rPr>
                <w:sz w:val="20"/>
                <w:szCs w:val="20"/>
                <w:color w:val="auto"/>
              </w:rPr>
            </w:pPr>
            <w:r>
              <w:rPr>
                <w:rFonts w:ascii="Arial" w:cs="Arial" w:eastAsia="Arial" w:hAnsi="Arial"/>
                <w:sz w:val="16"/>
                <w:szCs w:val="16"/>
                <w:color w:val="auto"/>
              </w:rPr>
              <w:t>2</w:t>
            </w:r>
          </w:p>
        </w:tc>
        <w:tc>
          <w:tcPr>
            <w:tcW w:w="640" w:type="dxa"/>
            <w:vAlign w:val="bottom"/>
          </w:tcPr>
          <w:p>
            <w:pPr>
              <w:spacing w:after="0"/>
              <w:rPr>
                <w:sz w:val="15"/>
                <w:szCs w:val="15"/>
                <w:color w:val="auto"/>
              </w:rPr>
            </w:pPr>
          </w:p>
        </w:tc>
        <w:tc>
          <w:tcPr>
            <w:tcW w:w="1280" w:type="dxa"/>
            <w:vAlign w:val="bottom"/>
          </w:tcPr>
          <w:p>
            <w:pPr>
              <w:jc w:val="right"/>
              <w:spacing w:after="0" w:line="176" w:lineRule="exact"/>
              <w:rPr>
                <w:sz w:val="20"/>
                <w:szCs w:val="20"/>
                <w:color w:val="auto"/>
              </w:rPr>
            </w:pPr>
            <w:r>
              <w:rPr>
                <w:rFonts w:ascii="Arial" w:cs="Arial" w:eastAsia="Arial" w:hAnsi="Arial"/>
                <w:sz w:val="16"/>
                <w:szCs w:val="16"/>
                <w:color w:val="auto"/>
              </w:rPr>
              <w:t>―</w:t>
            </w:r>
          </w:p>
        </w:tc>
      </w:tr>
      <w:tr>
        <w:trPr>
          <w:trHeight w:val="194"/>
        </w:trPr>
        <w:tc>
          <w:tcPr>
            <w:tcW w:w="20" w:type="dxa"/>
            <w:vAlign w:val="bottom"/>
          </w:tcPr>
          <w:p>
            <w:pPr>
              <w:spacing w:after="0"/>
              <w:rPr>
                <w:sz w:val="16"/>
                <w:szCs w:val="16"/>
                <w:color w:val="auto"/>
              </w:rPr>
            </w:pPr>
          </w:p>
        </w:tc>
        <w:tc>
          <w:tcPr>
            <w:tcW w:w="7080" w:type="dxa"/>
            <w:vAlign w:val="bottom"/>
          </w:tcPr>
          <w:p>
            <w:pPr>
              <w:ind w:left="160"/>
              <w:spacing w:after="0"/>
              <w:rPr>
                <w:sz w:val="20"/>
                <w:szCs w:val="20"/>
                <w:color w:val="auto"/>
              </w:rPr>
            </w:pPr>
            <w:r>
              <w:rPr>
                <w:rFonts w:ascii="Arial" w:cs="Arial" w:eastAsia="Arial" w:hAnsi="Arial"/>
                <w:sz w:val="16"/>
                <w:szCs w:val="16"/>
                <w:color w:val="auto"/>
              </w:rPr>
              <w:t>Settlements</w:t>
            </w:r>
          </w:p>
        </w:tc>
        <w:tc>
          <w:tcPr>
            <w:tcW w:w="74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tcPr>
          <w:p>
            <w:pPr>
              <w:jc w:val="right"/>
              <w:ind w:right="181"/>
              <w:spacing w:after="0"/>
              <w:rPr>
                <w:sz w:val="20"/>
                <w:szCs w:val="20"/>
                <w:color w:val="auto"/>
              </w:rPr>
            </w:pPr>
            <w:r>
              <w:rPr>
                <w:rFonts w:ascii="Arial" w:cs="Arial" w:eastAsia="Arial" w:hAnsi="Arial"/>
                <w:sz w:val="16"/>
                <w:szCs w:val="16"/>
                <w:color w:val="auto"/>
              </w:rPr>
              <w:t>(13)</w:t>
            </w:r>
          </w:p>
        </w:tc>
        <w:tc>
          <w:tcPr>
            <w:tcW w:w="64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r>
      <w:tr>
        <w:trPr>
          <w:trHeight w:val="183"/>
        </w:trPr>
        <w:tc>
          <w:tcPr>
            <w:tcW w:w="7100" w:type="dxa"/>
            <w:vAlign w:val="bottom"/>
            <w:gridSpan w:val="2"/>
          </w:tcPr>
          <w:p>
            <w:pPr>
              <w:spacing w:after="0" w:line="176" w:lineRule="exact"/>
              <w:rPr>
                <w:sz w:val="20"/>
                <w:szCs w:val="20"/>
                <w:color w:val="auto"/>
              </w:rPr>
            </w:pPr>
            <w:r>
              <w:rPr>
                <w:rFonts w:ascii="Arial" w:cs="Arial" w:eastAsia="Arial" w:hAnsi="Arial"/>
                <w:sz w:val="16"/>
                <w:szCs w:val="16"/>
                <w:color w:val="auto"/>
              </w:rPr>
              <w:t>Balance as of June 30</w:t>
            </w:r>
          </w:p>
        </w:tc>
        <w:tc>
          <w:tcPr>
            <w:tcW w:w="740" w:type="dxa"/>
            <w:vAlign w:val="bottom"/>
            <w:tcBorders>
              <w:bottom w:val="single" w:sz="8" w:color="auto"/>
            </w:tcBorders>
          </w:tcPr>
          <w:p>
            <w:pPr>
              <w:jc w:val="right"/>
              <w:ind w:right="79"/>
              <w:spacing w:after="0" w:line="176" w:lineRule="exact"/>
              <w:rPr>
                <w:sz w:val="20"/>
                <w:szCs w:val="20"/>
                <w:color w:val="auto"/>
              </w:rPr>
            </w:pPr>
            <w:r>
              <w:rPr>
                <w:rFonts w:ascii="Arial" w:cs="Arial" w:eastAsia="Arial" w:hAnsi="Arial"/>
                <w:sz w:val="16"/>
                <w:szCs w:val="16"/>
                <w:color w:val="auto"/>
              </w:rPr>
              <w:t>$</w:t>
            </w:r>
          </w:p>
        </w:tc>
        <w:tc>
          <w:tcPr>
            <w:tcW w:w="1660" w:type="dxa"/>
            <w:vAlign w:val="bottom"/>
            <w:tcBorders>
              <w:bottom w:val="single" w:sz="8" w:color="auto"/>
            </w:tcBorders>
          </w:tcPr>
          <w:p>
            <w:pPr>
              <w:jc w:val="right"/>
              <w:ind w:right="221"/>
              <w:spacing w:after="0" w:line="176" w:lineRule="exact"/>
              <w:rPr>
                <w:sz w:val="20"/>
                <w:szCs w:val="20"/>
                <w:color w:val="auto"/>
              </w:rPr>
            </w:pPr>
            <w:r>
              <w:rPr>
                <w:rFonts w:ascii="Arial" w:cs="Arial" w:eastAsia="Arial" w:hAnsi="Arial"/>
                <w:sz w:val="16"/>
                <w:szCs w:val="16"/>
                <w:color w:val="auto"/>
              </w:rPr>
              <w:t>3</w:t>
            </w:r>
          </w:p>
        </w:tc>
        <w:tc>
          <w:tcPr>
            <w:tcW w:w="640" w:type="dxa"/>
            <w:vAlign w:val="bottom"/>
            <w:tcBorders>
              <w:bottom w:val="single" w:sz="8" w:color="auto"/>
            </w:tcBorders>
          </w:tcPr>
          <w:p>
            <w:pPr>
              <w:jc w:val="right"/>
              <w:ind w:right="239"/>
              <w:spacing w:after="0" w:line="176" w:lineRule="exact"/>
              <w:rPr>
                <w:sz w:val="20"/>
                <w:szCs w:val="20"/>
                <w:color w:val="auto"/>
              </w:rPr>
            </w:pPr>
            <w:r>
              <w:rPr>
                <w:rFonts w:ascii="Arial" w:cs="Arial" w:eastAsia="Arial" w:hAnsi="Arial"/>
                <w:sz w:val="16"/>
                <w:szCs w:val="16"/>
                <w:color w:val="auto"/>
              </w:rPr>
              <w:t>$</w:t>
            </w:r>
          </w:p>
        </w:tc>
        <w:tc>
          <w:tcPr>
            <w:tcW w:w="128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6"/>
                <w:szCs w:val="16"/>
                <w:color w:val="auto"/>
              </w:rPr>
              <w:t>7</w:t>
            </w:r>
          </w:p>
        </w:tc>
      </w:tr>
      <w:tr>
        <w:trPr>
          <w:trHeight w:val="164"/>
        </w:trPr>
        <w:tc>
          <w:tcPr>
            <w:tcW w:w="7100" w:type="dxa"/>
            <w:vAlign w:val="bottom"/>
            <w:gridSpan w:val="2"/>
          </w:tcPr>
          <w:p>
            <w:pPr>
              <w:spacing w:after="0" w:line="164" w:lineRule="exact"/>
              <w:rPr>
                <w:sz w:val="20"/>
                <w:szCs w:val="20"/>
                <w:color w:val="auto"/>
              </w:rPr>
            </w:pPr>
            <w:r>
              <w:rPr>
                <w:rFonts w:ascii="Arial" w:cs="Arial" w:eastAsia="Arial" w:hAnsi="Arial"/>
                <w:sz w:val="16"/>
                <w:szCs w:val="16"/>
                <w:color w:val="auto"/>
              </w:rPr>
              <w:t>Change in unrealized gains relating to</w:t>
            </w:r>
          </w:p>
        </w:tc>
        <w:tc>
          <w:tcPr>
            <w:tcW w:w="74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194"/>
        </w:trPr>
        <w:tc>
          <w:tcPr>
            <w:tcW w:w="20" w:type="dxa"/>
            <w:vAlign w:val="bottom"/>
          </w:tcPr>
          <w:p>
            <w:pPr>
              <w:spacing w:after="0"/>
              <w:rPr>
                <w:sz w:val="16"/>
                <w:szCs w:val="16"/>
                <w:color w:val="auto"/>
              </w:rPr>
            </w:pPr>
          </w:p>
        </w:tc>
        <w:tc>
          <w:tcPr>
            <w:tcW w:w="7080" w:type="dxa"/>
            <w:vAlign w:val="bottom"/>
            <w:tcBorders>
              <w:bottom w:val="single" w:sz="8" w:color="auto"/>
            </w:tcBorders>
          </w:tcPr>
          <w:p>
            <w:pPr>
              <w:ind w:left="160"/>
              <w:spacing w:after="0"/>
              <w:rPr>
                <w:sz w:val="20"/>
                <w:szCs w:val="20"/>
                <w:color w:val="auto"/>
              </w:rPr>
            </w:pPr>
            <w:r>
              <w:rPr>
                <w:rFonts w:ascii="Arial" w:cs="Arial" w:eastAsia="Arial" w:hAnsi="Arial"/>
                <w:sz w:val="16"/>
                <w:szCs w:val="16"/>
                <w:color w:val="auto"/>
              </w:rPr>
              <w:t>instruments still held at June 30</w:t>
            </w:r>
          </w:p>
        </w:tc>
        <w:tc>
          <w:tcPr>
            <w:tcW w:w="7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1660" w:type="dxa"/>
            <w:vAlign w:val="bottom"/>
            <w:tcBorders>
              <w:bottom w:val="single" w:sz="8" w:color="auto"/>
            </w:tcBorders>
          </w:tcPr>
          <w:p>
            <w:pPr>
              <w:jc w:val="right"/>
              <w:ind w:right="221"/>
              <w:spacing w:after="0"/>
              <w:rPr>
                <w:sz w:val="20"/>
                <w:szCs w:val="20"/>
                <w:color w:val="auto"/>
              </w:rPr>
            </w:pPr>
            <w:r>
              <w:rPr>
                <w:rFonts w:ascii="Arial" w:cs="Arial" w:eastAsia="Arial" w:hAnsi="Arial"/>
                <w:sz w:val="16"/>
                <w:szCs w:val="16"/>
                <w:color w:val="auto"/>
              </w:rPr>
              <w:t>―</w:t>
            </w:r>
          </w:p>
        </w:tc>
        <w:tc>
          <w:tcPr>
            <w:tcW w:w="64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There were no transfers into or out of Level 3 during the periods presented.</w:t>
      </w:r>
    </w:p>
    <w:p>
      <w:pPr>
        <w:spacing w:after="0" w:line="225"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Level 3 recurring items are related to CRRs. These instruments are recorded at fair value based on the most current annual auction prices published by the California Independent System Operator (ISO). The earnings impact of CRRs are deferred and recorded in regulatory accounts to the extent they are recoverable or refundable through rates. Upon settlement, CRRs are included in Cost of Electric Fuel and Purchased Power on the Condensed Consolidated Statements of Operations.</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Non-Recurring Fair Value Measures – Sempra Energy Consolidated</w:t>
      </w:r>
    </w:p>
    <w:p>
      <w:pPr>
        <w:spacing w:after="0" w:line="205"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We discuss non-recurring fair value measures and the associated accounting impact on our investments in RBS Sempra Commodities and Argentina in Note 4 of the Notes to Consolidated Financial Statements in the Annual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186055</wp:posOffset>
            </wp:positionV>
            <wp:extent cx="7263765"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20"/>
          <w:szCs w:val="20"/>
          <w:color w:val="auto"/>
        </w:rPr>
        <w:t>NOTE 9. SEMPRA UTILITIES' REGULATORY MATTERS</w:t>
      </w: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POWER PROCUREMENT AND RESOURCE PLANNING</w:t>
      </w: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Renewable Energy</w:t>
      </w:r>
    </w:p>
    <w:p>
      <w:pPr>
        <w:sectPr>
          <w:pgSz w:w="11900" w:h="16838" w:orient="portrait"/>
          <w:cols w:equalWidth="0" w:num="1">
            <w:col w:w="11420"/>
          </w:cols>
          <w:pgMar w:left="240" w:top="306" w:right="239" w:bottom="25" w:gutter="0" w:footer="0" w:header="0"/>
        </w:sectPr>
      </w:pPr>
    </w:p>
    <w:bookmarkStart w:id="42" w:name="page43"/>
    <w:bookmarkEnd w:id="42"/>
    <w:p>
      <w:pPr>
        <w:spacing w:after="0" w:line="41" w:lineRule="exact"/>
        <w:rPr>
          <w:sz w:val="20"/>
          <w:szCs w:val="20"/>
          <w:color w:val="auto"/>
        </w:rPr>
      </w:pPr>
    </w:p>
    <w:p>
      <w:pPr>
        <w:ind w:right="340"/>
        <w:spacing w:after="0" w:line="288" w:lineRule="auto"/>
        <w:rPr>
          <w:sz w:val="20"/>
          <w:szCs w:val="20"/>
          <w:color w:val="auto"/>
        </w:rPr>
      </w:pPr>
      <w:r>
        <w:rPr>
          <w:rFonts w:ascii="Arial" w:cs="Arial" w:eastAsia="Arial" w:hAnsi="Arial"/>
          <w:sz w:val="16"/>
          <w:szCs w:val="16"/>
          <w:color w:val="auto"/>
        </w:rPr>
        <w:t>In 2010, certain California electric retail sellers, including SDG&amp;E, were required to deliver 20 percent of their retail energy sales from renewable energy sources. The rules governing this requirement, administered by both the California Public Utilities Commission (CPUC) and the California Energy Commission (CEC), are known as the Renewables Portfolio Standard (RPS) Program. In April 2011, the Governor of California signed Senate Bill X1 2</w:t>
      </w:r>
    </w:p>
    <w:p>
      <w:pPr>
        <w:spacing w:after="0" w:line="254" w:lineRule="auto"/>
        <w:rPr>
          <w:sz w:val="20"/>
          <w:szCs w:val="20"/>
          <w:color w:val="auto"/>
        </w:rPr>
      </w:pPr>
      <w:r>
        <w:rPr>
          <w:rFonts w:ascii="Arial" w:cs="Arial" w:eastAsia="Arial" w:hAnsi="Arial"/>
          <w:sz w:val="18"/>
          <w:szCs w:val="18"/>
          <w:color w:val="auto"/>
        </w:rPr>
        <w:t>(33% RPS Program) which, when in effect, will supersede the current RPS Program and require each California utility to procure 33 percent of its annual electric energy requirements from renewable energy sources by 2020, with an average of 20 percent required from January 1, 2011 to December 31, 2013; 25 percent by December 31, 2016; and 33 percent by December 31, 2020. The CPUC began a rulemaking in May 2011 to address the implementation of the 33% RPS Program. We expect the 33% RPS Program to become effective by the end of 2011.</w:t>
      </w:r>
    </w:p>
    <w:p>
      <w:pPr>
        <w:spacing w:after="0" w:line="190" w:lineRule="exact"/>
        <w:rPr>
          <w:sz w:val="20"/>
          <w:szCs w:val="20"/>
          <w:color w:val="auto"/>
        </w:rPr>
      </w:pPr>
    </w:p>
    <w:p>
      <w:pPr>
        <w:ind w:right="180"/>
        <w:spacing w:after="0" w:line="279" w:lineRule="auto"/>
        <w:rPr>
          <w:sz w:val="20"/>
          <w:szCs w:val="20"/>
          <w:color w:val="auto"/>
        </w:rPr>
      </w:pPr>
      <w:r>
        <w:rPr>
          <w:rFonts w:ascii="Arial" w:cs="Arial" w:eastAsia="Arial" w:hAnsi="Arial"/>
          <w:sz w:val="17"/>
          <w:szCs w:val="17"/>
          <w:color w:val="auto"/>
        </w:rPr>
        <w:t>The 33% RPS Program contains new flexible compliance mechanisms, more restrictive than the prior mechanisms, that can be used to comply with or meet the 33% RPS Program mandates in 2011 and beyond. The new mechanisms provide for a CPUC waiver under certain conditions, including: 1) a finding of inadequate transmission, 2) delays in the start-up of commercial operations of renewable energy projects due to permitting or interconnection or 3) unexpected curtailment by an electric system balancing authority, such as the California Independent System Operator (ISO).</w:t>
      </w:r>
    </w:p>
    <w:p>
      <w:pPr>
        <w:spacing w:after="0" w:line="171"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SDG&amp;E continues to procure renewable energy supplies to achieve the 33% RPS Program requirements. A substantial number of these supply contracts, however, are contingent upon many factors, including:</w:t>
      </w:r>
    </w:p>
    <w:p>
      <w:pPr>
        <w:spacing w:after="0" w:line="170" w:lineRule="exact"/>
        <w:rPr>
          <w:sz w:val="20"/>
          <w:szCs w:val="20"/>
          <w:color w:val="auto"/>
        </w:rPr>
      </w:pPr>
    </w:p>
    <w:p>
      <w:pPr>
        <w:ind w:left="340" w:hanging="188"/>
        <w:spacing w:after="0"/>
        <w:tabs>
          <w:tab w:leader="none" w:pos="3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access to electric transmission infrastructure;</w:t>
      </w:r>
    </w:p>
    <w:p>
      <w:pPr>
        <w:spacing w:after="0" w:line="252" w:lineRule="exact"/>
        <w:rPr>
          <w:rFonts w:ascii="Arial" w:cs="Arial" w:eastAsia="Arial" w:hAnsi="Arial"/>
          <w:sz w:val="18"/>
          <w:szCs w:val="18"/>
          <w:color w:val="auto"/>
        </w:rPr>
      </w:pPr>
    </w:p>
    <w:p>
      <w:pPr>
        <w:ind w:left="340" w:hanging="188"/>
        <w:spacing w:after="0"/>
        <w:tabs>
          <w:tab w:leader="none" w:pos="3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timely regulatory approval of contracted renewable energy projects;</w:t>
      </w:r>
    </w:p>
    <w:p>
      <w:pPr>
        <w:spacing w:after="0" w:line="252" w:lineRule="exact"/>
        <w:rPr>
          <w:rFonts w:ascii="Arial" w:cs="Arial" w:eastAsia="Arial" w:hAnsi="Arial"/>
          <w:sz w:val="18"/>
          <w:szCs w:val="18"/>
          <w:color w:val="auto"/>
        </w:rPr>
      </w:pPr>
    </w:p>
    <w:p>
      <w:pPr>
        <w:ind w:left="340" w:hanging="188"/>
        <w:spacing w:after="0"/>
        <w:tabs>
          <w:tab w:leader="none" w:pos="3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renewable energy project developers' ability to obtain project financing and permitting; and</w:t>
      </w:r>
    </w:p>
    <w:p>
      <w:pPr>
        <w:spacing w:after="0" w:line="252" w:lineRule="exact"/>
        <w:rPr>
          <w:rFonts w:ascii="Arial" w:cs="Arial" w:eastAsia="Arial" w:hAnsi="Arial"/>
          <w:sz w:val="18"/>
          <w:szCs w:val="18"/>
          <w:color w:val="auto"/>
        </w:rPr>
      </w:pPr>
    </w:p>
    <w:p>
      <w:pPr>
        <w:ind w:left="340" w:hanging="188"/>
        <w:spacing w:after="0"/>
        <w:tabs>
          <w:tab w:leader="none" w:pos="3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successful development and implementation of the renewable energy technologies.</w:t>
      </w:r>
    </w:p>
    <w:p>
      <w:pPr>
        <w:spacing w:after="0" w:line="252"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For 2010, SDG&amp;E satisfied its RPS procurement requirements through a combination of contracted deliveries and application of the flexible compliance mechanism, including the application of certain mechanisms that are no longer available under the 33% RPS Program. For 2011 and beyond, SDG&amp;E believes it will be able to comply with the 33% RPS Program requirements based on its contracting activity and, if necessary, application of the new flexible compliance mechanisms. SDG&amp;E's failure to comply with the RPS Program requirements could subject it to a CPUC-imposed penalty of 5 cents per kilowatt hour of renewable energy under-delivery.</w:t>
      </w:r>
    </w:p>
    <w:p>
      <w:pPr>
        <w:spacing w:after="0" w:line="3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RATE CASE (GRC)</w:t>
      </w:r>
    </w:p>
    <w:p>
      <w:pPr>
        <w:spacing w:after="0" w:line="234" w:lineRule="exact"/>
        <w:rPr>
          <w:sz w:val="20"/>
          <w:szCs w:val="20"/>
          <w:color w:val="auto"/>
        </w:rPr>
      </w:pPr>
    </w:p>
    <w:p>
      <w:pPr>
        <w:ind w:right="100"/>
        <w:spacing w:after="0" w:line="273" w:lineRule="auto"/>
        <w:rPr>
          <w:sz w:val="20"/>
          <w:szCs w:val="20"/>
          <w:color w:val="auto"/>
        </w:rPr>
      </w:pPr>
      <w:r>
        <w:rPr>
          <w:rFonts w:ascii="Arial" w:cs="Arial" w:eastAsia="Arial" w:hAnsi="Arial"/>
          <w:sz w:val="17"/>
          <w:szCs w:val="17"/>
          <w:color w:val="auto"/>
        </w:rPr>
        <w:t>The CPUC uses a general rate case proceeding to prospectively set rates sufficient to allow the Sempra Utilities to recover their reasonable cost of operations and to provide the opportunity to realize their authorized rates of return on their investment. In December 2010, the Sempra Utilities filed their 2012 General Rate Case (GRC) applications to establish their authorized 2012 revenue requirements and the ratemaking mechanisms by which those requirements will change on an annual basis over the subsequent three-year (2013-2015) period. The CPUC issued a ruling in March 2011 setting the proceeding scope and schedule that projected a final CPUC decision around the month of March 2012 and granted the utilities' requests to establish regulatory accounts to allow recovery of their authorized 2012 revenue requirements retroactive to January 1, 2012.</w:t>
      </w:r>
    </w:p>
    <w:p>
      <w:pPr>
        <w:spacing w:after="0" w:line="178" w:lineRule="exact"/>
        <w:rPr>
          <w:sz w:val="20"/>
          <w:szCs w:val="20"/>
          <w:color w:val="auto"/>
        </w:rPr>
      </w:pPr>
    </w:p>
    <w:p>
      <w:pPr>
        <w:jc w:val="both"/>
        <w:ind w:right="300"/>
        <w:spacing w:after="0" w:line="312" w:lineRule="auto"/>
        <w:rPr>
          <w:sz w:val="20"/>
          <w:szCs w:val="20"/>
          <w:color w:val="auto"/>
        </w:rPr>
      </w:pPr>
      <w:r>
        <w:rPr>
          <w:rFonts w:ascii="Arial" w:cs="Arial" w:eastAsia="Arial" w:hAnsi="Arial"/>
          <w:sz w:val="16"/>
          <w:szCs w:val="16"/>
          <w:color w:val="auto"/>
        </w:rPr>
        <w:t>In July 2011, the Sempra Utilities filed amendments to revise their original applications, primarily to reflect the impact of the Tax Relief, Unemployment Insurance Reauthorization, and Job Creation Act of 2010. These amendments reduced the requested increases to their authorized revenue requirements, as compared to their 2011 authorized revenues, by $22 million at SDG&amp;E to $231 million and by $17 million at SoCalGas to $263 million.</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We provide further detail about the GRC applications in Note 15 of the Notes to Consolidated Financial Statements in the Annual Report.</w:t>
      </w: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UTILITY INCENTIVE MECHANISMS</w:t>
      </w:r>
    </w:p>
    <w:p>
      <w:pPr>
        <w:spacing w:after="0" w:line="234"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 CPUC applies performance-based measures and incentive mechanisms to all California utilities, under which the Sempra Utilities have earnings potential above authorized base margins if they achieve or exceed specific performance and operating goals.</w:t>
      </w:r>
    </w:p>
    <w:p>
      <w:pPr>
        <w:spacing w:after="0" w:line="170"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We provide additional information regarding these incentive mechanisms in Note 15 of the Notes to Consolidated Financial Statements in the Annual Report, and updates below.</w:t>
      </w:r>
    </w:p>
    <w:p>
      <w:pPr>
        <w:spacing w:after="0" w:line="384"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Natural Gas Procurement</w:t>
      </w:r>
    </w:p>
    <w:p>
      <w:pPr>
        <w:spacing w:after="0" w:line="205" w:lineRule="exact"/>
        <w:rPr>
          <w:sz w:val="20"/>
          <w:szCs w:val="20"/>
          <w:color w:val="auto"/>
        </w:rPr>
      </w:pPr>
    </w:p>
    <w:p>
      <w:pPr>
        <w:ind w:right="120"/>
        <w:spacing w:after="0" w:line="308" w:lineRule="auto"/>
        <w:rPr>
          <w:sz w:val="20"/>
          <w:szCs w:val="20"/>
          <w:color w:val="auto"/>
        </w:rPr>
      </w:pPr>
      <w:r>
        <w:rPr>
          <w:rFonts w:ascii="Arial" w:cs="Arial" w:eastAsia="Arial" w:hAnsi="Arial"/>
          <w:sz w:val="17"/>
          <w:szCs w:val="17"/>
          <w:color w:val="auto"/>
        </w:rPr>
        <w:t>In June 2011, SoCalGas applied to the CPUC for approval of a Gas Cost Incentive Mechanism (GCIM) award of $6.2 million for natural gas procured for its core customers during the 12-month period ending March 31, 2011. SoCalGas expects a CPUC decision in the first half of 2012.</w:t>
      </w:r>
    </w:p>
    <w:p>
      <w:pPr>
        <w:spacing w:after="0" w:line="14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In June 2010, SoCalGas applied to the CPUC for approval of a GCIM award of $6 million for natural gas procured for its core customers during the 12-month period ending March 31, 2010. SoCalGas expects a CPUC decision in the third quarter of 2011.</w:t>
      </w:r>
    </w:p>
    <w:p>
      <w:pPr>
        <w:spacing w:after="0" w:line="170"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In the first quarter of 2010, SoCalGas recorded a GCIM award of $12 million for its procurement activities during the 12-month period ending March 31, 2009, approved by the CPUC in January 2010.</w:t>
      </w:r>
    </w:p>
    <w:p>
      <w:pPr>
        <w:spacing w:after="0" w:line="384"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Energy Efficiency</w:t>
      </w:r>
    </w:p>
    <w:p>
      <w:pPr>
        <w:spacing w:after="0" w:line="205"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The CPUC established incentive mechanisms that are based on the effectiveness of energy efficiency and demand side management programs. In June 2011, the Sempra Utilities filed requests with the CPUC seeking incentive awards of $15.1 million for SDG&amp;E and $2.0 million for SoCalGas for their 2009 program year results. SDG&amp;E’s filing reflects changes that SDG&amp;E believes were errors in the calculation method developed by the CPUC’s Energy Division. SDG&amp;E is working with the CPUC’s Energy Division staff to validate these changes. If these proposed changes are not adopted by the CPUC, SDG&amp;E’s award would be reduced to zero. These changes do not have any impact on SoCalGas’ award amount. We have requested a CPUC decision by the end of 2011.</w:t>
      </w:r>
    </w:p>
    <w:p>
      <w:pPr>
        <w:sectPr>
          <w:pgSz w:w="11900" w:h="16879" w:orient="portrait"/>
          <w:cols w:equalWidth="0" w:num="1">
            <w:col w:w="11420"/>
          </w:cols>
          <w:pgMar w:left="240" w:top="125" w:right="239" w:bottom="0" w:gutter="0" w:footer="0" w:header="0"/>
        </w:sectPr>
      </w:pPr>
    </w:p>
    <w:bookmarkStart w:id="43" w:name="page44"/>
    <w:bookmarkEnd w:id="43"/>
    <w:p>
      <w:pPr>
        <w:spacing w:after="0" w:line="2"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The CPUC is also considering modifications to the incentive mechanism that would apply to the 2012 – 2014 program period, but has not established a schedule for a decision.</w:t>
      </w:r>
    </w:p>
    <w:p>
      <w:pPr>
        <w:spacing w:after="0" w:line="3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SDG&amp;E REQUEST FOR AUTHORITY TO INVEST IN WIND FARM</w:t>
      </w:r>
    </w:p>
    <w:p>
      <w:pPr>
        <w:spacing w:after="0" w:line="234"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In July 2011, the CPUC approved a settlement agreement filed by SDG&amp;E in April 2011 regarding SDG&amp;E’s request to make a tax equity investment in the holding company of a wind farm project. This approval allows SDG&amp;E to make an investment, after the wind farm project has met all of the conditions precedent set forth in the definitive documents and upon the initiation of commercial operation of the project, which would be included in the utility’s rate base in an amount not to exceed 64.99 percent of the project costs or an aggregate amount of $250 million. SDG&amp;E would also make an incremental investment, to be excluded from the utility’s rate base, of no less than 10 percent of the project costs. SDG&amp;E expects the project to be in commercial operation in late 2012.</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INSURANCE COST RECOVERY</w:t>
      </w:r>
    </w:p>
    <w:p>
      <w:pPr>
        <w:spacing w:after="0" w:line="234"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In December 2010, the CPUC approved SDG&amp;E’s request for a $29 million revenue requirement, which was implemented in rates effective January 1, 2011, for the recovery of the incremental increase in its general liability and wildfire liability insurance premium costs for the 2009/2010 policy period and authorized SDG&amp;E to request recovery of any incremental insurance premiums for future policy periods, with a $5 million deductible applied to each policy renewal period. This approval was in response to a request filed by SDG&amp;E with the CPUC in August 2009 seeking authorization to recover higher liability insurance premiums (amounts in excess of those authorized to be recovered in the 2008 GRC), which SDG&amp;E began incurring commencing July 1, 2009, and any losses realized due to higher deductibles associated with the new policies. SDG&amp;E made the filing under the CPUC’s rules allowing utilities to seek recovery of significant cost increases incurred between GRC filings resulting from unforeseen circumstances. The CPUC's rules allow a utility to seek recovery of incurred costs that meet certain criteria, subject to a $5 million deductible per event.</w:t>
      </w:r>
    </w:p>
    <w:p>
      <w:pPr>
        <w:spacing w:after="0" w:line="179"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In April 2011, SDG&amp;E filed a request for an incremental revenue requirement of $63 million for the 2010/2011 policy period. We expect a CPUC decision on the request in the second half of 2011. SDG&amp;E also plans to file a request in the third quarter of 2011 for any incremental insurance premiums incurred for the first six months of the 2011/2012 policy period.</w:t>
      </w:r>
    </w:p>
    <w:p>
      <w:pPr>
        <w:spacing w:after="0" w:line="3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EXCESS WILDFIRE CLAIMS COST RECOVERY</w:t>
      </w:r>
    </w:p>
    <w:p>
      <w:pPr>
        <w:spacing w:after="0" w:line="234" w:lineRule="exact"/>
        <w:rPr>
          <w:sz w:val="20"/>
          <w:szCs w:val="20"/>
          <w:color w:val="auto"/>
        </w:rPr>
      </w:pPr>
    </w:p>
    <w:p>
      <w:pPr>
        <w:ind w:right="300"/>
        <w:spacing w:after="0" w:line="290" w:lineRule="auto"/>
        <w:rPr>
          <w:sz w:val="20"/>
          <w:szCs w:val="20"/>
          <w:color w:val="auto"/>
        </w:rPr>
      </w:pPr>
      <w:r>
        <w:rPr>
          <w:rFonts w:ascii="Arial" w:cs="Arial" w:eastAsia="Arial" w:hAnsi="Arial"/>
          <w:sz w:val="16"/>
          <w:szCs w:val="16"/>
          <w:color w:val="auto"/>
        </w:rPr>
        <w:t>SDG&amp;E and SoCalGas filed an application, along with other related filings, with the CPUC in August 2009 proposing a new mechanism for the future recovery of all wildfire-related expenses for claims, litigation expenses and insurance premiums that are in excess of amounts authorized by the CPUC for recovery in rates. This application was made jointly with Southern California Edison (SCE) and Pacific Gas &amp; Electric (PG&amp;E). In July 2010, the CPUC approved SDG&amp;E's and SoCalGas' requests for separate regulatory accounts to record the subject expenses while the joint utility application is pending before the CPUC. Several parties protested the original application and, in response, the four utilities jointly submitted an amended application in August 2010. A February 2011 ruling directing the utilities to show cause why the application should not be dismissed was stayed to permit continued settlement discussions between the four utilities and the CPUC and with the other parties to the proceeding. In June 2011, a ruling was issued scheduling evidentiary hearings in October with a decision scheduled in 2012. Settlement discussions between the four utilities and other interested parties are proceeding.</w:t>
      </w:r>
    </w:p>
    <w:p>
      <w:pPr>
        <w:spacing w:after="0" w:line="166"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SDG&amp;E will also seek the recovery of costs incurred by SDG&amp;E for the 2007 wildfire losses that are in excess of amounts recovered from its insurance coverage and other potentially responsible third parties. SDG&amp;E believes that the approval of a new mechanism for cost recovery for wildfires could provide a framework for recovery of these costs.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We provide additional information about 2007 wildfire litigation costs and their recovery in Note 10.</w:t>
      </w: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NATURAL GAS PIPELINE OPERATIONS SAFETY ASSESSMENTS</w:t>
      </w:r>
    </w:p>
    <w:p>
      <w:pPr>
        <w:spacing w:after="0" w:line="234" w:lineRule="exact"/>
        <w:rPr>
          <w:sz w:val="20"/>
          <w:szCs w:val="20"/>
          <w:color w:val="auto"/>
        </w:rPr>
      </w:pPr>
    </w:p>
    <w:p>
      <w:pPr>
        <w:ind w:right="460"/>
        <w:spacing w:after="0" w:line="264" w:lineRule="auto"/>
        <w:rPr>
          <w:sz w:val="20"/>
          <w:szCs w:val="20"/>
          <w:color w:val="auto"/>
        </w:rPr>
      </w:pPr>
      <w:r>
        <w:rPr>
          <w:rFonts w:ascii="Arial" w:cs="Arial" w:eastAsia="Arial" w:hAnsi="Arial"/>
          <w:sz w:val="18"/>
          <w:szCs w:val="18"/>
          <w:color w:val="auto"/>
        </w:rPr>
        <w:t>As a result of recent natural gas pipeline explosions in the U.S., including the September 2010 rupture in San Bruno, California of a natural gas pipeline owned and operated by PG&amp;E (the San Bruno incident), various regulatory agencies, including the CPUC, are evaluating natural gas pipeline safety regulations, practices and procedures.</w:t>
      </w:r>
    </w:p>
    <w:p>
      <w:pPr>
        <w:spacing w:after="0" w:line="181"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In February 2011, the CPUC opened a forward-looking proceeding to examine what changes should be made to existing pipeline safety regulations for California natural gas pipelines. The Sempra Utilities are parties to this proceeding. The CPUC also appointed an independent review panel to make recommendations for possible actions by the CPUC in light of the San Bruno incident. Those recommendations may include changes to design, construction, operation and maintenance practices of natural gas facilities in California.</w:t>
      </w:r>
    </w:p>
    <w:p>
      <w:pPr>
        <w:spacing w:after="0" w:line="187" w:lineRule="exact"/>
        <w:rPr>
          <w:sz w:val="20"/>
          <w:szCs w:val="20"/>
          <w:color w:val="auto"/>
        </w:rPr>
      </w:pPr>
    </w:p>
    <w:p>
      <w:pPr>
        <w:ind w:right="180"/>
        <w:spacing w:after="0" w:line="276" w:lineRule="auto"/>
        <w:rPr>
          <w:sz w:val="20"/>
          <w:szCs w:val="20"/>
          <w:color w:val="auto"/>
        </w:rPr>
      </w:pPr>
      <w:r>
        <w:rPr>
          <w:rFonts w:ascii="Arial" w:cs="Arial" w:eastAsia="Arial" w:hAnsi="Arial"/>
          <w:sz w:val="17"/>
          <w:szCs w:val="17"/>
          <w:color w:val="auto"/>
        </w:rPr>
        <w:t>In June 2011, the CPUC directed SoCalGas, SDG&amp;E, PG&amp;E and Southwest Gas to file implementation plans by August 26, 2011, to test or replace all natural gas transmission pipelines that have not been pressure tested. The Sempra Utilities are currently estimating that they will need to invest several hundred million dollars annually over a ten-year period to test or replace the natural gas transmission lines identified in this plan. Consistent with the CPUC directive, the Sempra Utilities will request that the incremental capital investment required as a result of any approved plan be included in rate base and that cost recovery be allowed for any other incremental cost not eligible for rate-base recovery.</w:t>
      </w:r>
    </w:p>
    <w:p>
      <w:pPr>
        <w:spacing w:after="0" w:line="173"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In January 2011, the National Transportation Safety Board (NTSB) issued seven safety recommendations in connection with its investigation into the cause of the San Bruno incident. According to the NTSB, these safety recommendations “were issued to address record-keeping problems that could create conditions in which a pipeline is operated at a higher pressure than the pipe was built to withstand.” In response to a request from the CPUC, each of the Sempra Utilities reviewed its pipeline facilities located or operating in populated or high consequence areas, as defined by the NTSB, to identify those segments that have not had the maximum allowable operating pressure (MAOP) established through prior hydrostatic testing. Federal and state regulations allow natural gas pipelines installed prior to July 1, 1970 to establish MAOPs through prior operating history rather than through a strength test, but strength tests are required on natural gas pipelines installed subsequent to June 30, 1970 as an element in establishing MAOPs.</w:t>
      </w:r>
    </w:p>
    <w:p>
      <w:pPr>
        <w:spacing w:after="0" w:line="178" w:lineRule="exact"/>
        <w:rPr>
          <w:sz w:val="20"/>
          <w:szCs w:val="20"/>
          <w:color w:val="auto"/>
        </w:rPr>
      </w:pPr>
    </w:p>
    <w:p>
      <w:pPr>
        <w:ind w:right="60"/>
        <w:spacing w:after="0" w:line="342" w:lineRule="auto"/>
        <w:rPr>
          <w:sz w:val="20"/>
          <w:szCs w:val="20"/>
          <w:color w:val="auto"/>
        </w:rPr>
      </w:pPr>
      <w:r>
        <w:rPr>
          <w:rFonts w:ascii="Arial" w:cs="Arial" w:eastAsia="Arial" w:hAnsi="Arial"/>
          <w:sz w:val="16"/>
          <w:szCs w:val="16"/>
          <w:color w:val="auto"/>
        </w:rPr>
        <w:t>In response to the CPUC’s request, the Sempra Utilities conducted a detailed review of 1,622 miles of pipelines (1,416 miles for SoCalGas and 206 miles for SDG&amp;E) installed in the subject class locations, and on April 15, 2011, the Sempra Utilities submitted a report to the CPUC on the results of their review and</w:t>
      </w:r>
    </w:p>
    <w:p>
      <w:pPr>
        <w:sectPr>
          <w:pgSz w:w="11900" w:h="16840" w:orient="portrait"/>
          <w:cols w:equalWidth="0" w:num="1">
            <w:col w:w="11420"/>
          </w:cols>
          <w:pgMar w:left="240" w:top="341" w:right="239" w:bottom="0" w:gutter="0" w:footer="0" w:header="0"/>
        </w:sectPr>
      </w:pPr>
    </w:p>
    <w:bookmarkStart w:id="44" w:name="page45"/>
    <w:bookmarkEnd w:id="44"/>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the actions they are taking in response to the NTSB recommendations.</w:t>
      </w:r>
    </w:p>
    <w:p>
      <w:pPr>
        <w:spacing w:after="0" w:line="225"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The Sempra Utilities’ records review process did not reveal any significant concerns with the currently established MAOP for their pipelines, and the Sempra Utilities intend to continue to operate their pipelines in a safe and prudent manner.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186055</wp:posOffset>
            </wp:positionV>
            <wp:extent cx="7263765"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20"/>
          <w:szCs w:val="20"/>
          <w:color w:val="auto"/>
        </w:rPr>
        <w:t>NOTE 10. COMMITMENTS AND CONTINGENCIES</w:t>
      </w: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 PROCEEDINGS</w:t>
      </w:r>
    </w:p>
    <w:p>
      <w:pPr>
        <w:spacing w:after="0" w:line="234"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We accrue losses for legal proceedings when it is probable that a loss has been incurred and the amounts of the loss can be reasonably estimated. However, the uncertainties inherent in legal proceedings make it difficult to estimate with reasonable certainty the costs and effects of resolving these matters. Accordingly, actual costs incurred may differ materially from amounts accrued, may exceed applicable insurance coverages and could materially adversely affect our business, cash flows, results of operations, and financial condition. Unless otherwise indicated, we are unable to estimate reasonably possible losses in excess of any amounts accrued.</w:t>
      </w:r>
    </w:p>
    <w:p>
      <w:pPr>
        <w:spacing w:after="0" w:line="188"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At June 30, 2011, Sempra Energy’s accrued liabilities for material legal proceedings, on a consolidated basis, were $615 million, of which $24 million is for resolved matters. We provide detail regarding the resolved matters in Note 16 of the Notes to Consolidated Financial Statements in the Annual Report. At June 30, 2011, accrued liabilities for material legal proceedings for SDG&amp;E and SoCalGas were $550 million and $33 million, respectively. At June 30, 2011, liabilities of $549 million at Sempra Energy and SDG&amp;E are related to wildfire litigation discussed below.</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SDG&amp;E</w:t>
      </w: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2007 Wildfire Litigation</w:t>
      </w:r>
    </w:p>
    <w:p>
      <w:pPr>
        <w:spacing w:after="0" w:line="205"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In October 2007, San Diego County experienced several catastrophic wildfires. Reports issued by the California Department of Forestry and Fire Protection (Cal Fire) concluded that two of these fires (the Witch and Rice fires) were SDG&amp;E "power line caused" and that a third fire (the Guejito fire) occurred when a wire securing a Cox Communications' (Cox) fiber optic cable came into contact with an SDG&amp;E power line "causing an arc and starting the fire." Cal Fire reported that the Rice fire burned approximately 9,500 acres and damaged 206 homes and two commercial properties, and the Witch and Guejito fires merged and eventually burned approximately 198,000 acres, resulting in two fatalities, approximately 40 firefighters injured and approximately 1,141 homes destroyed.</w:t>
      </w:r>
    </w:p>
    <w:p>
      <w:pPr>
        <w:spacing w:after="0" w:line="193"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A September 2008 staff report issued by the Consumer Protection and Safety Division of the CPUC reached substantially the same conclusions as the Cal Fire reports, but also contended that the power lines involved in the Witch and Rice fires and the lashing wire involved in the Guejito fire were not properly designed, constructed and maintained. In April 2010, proceedings initiated by the CPUC to determine if any of its rules were violated were settled with SDG&amp;E’s payment of $14.75 million.</w:t>
      </w:r>
    </w:p>
    <w:p>
      <w:pPr>
        <w:spacing w:after="0" w:line="187" w:lineRule="exact"/>
        <w:rPr>
          <w:sz w:val="20"/>
          <w:szCs w:val="20"/>
          <w:color w:val="auto"/>
        </w:rPr>
      </w:pPr>
    </w:p>
    <w:p>
      <w:pPr>
        <w:ind w:right="180"/>
        <w:spacing w:after="0" w:line="276" w:lineRule="auto"/>
        <w:rPr>
          <w:sz w:val="20"/>
          <w:szCs w:val="20"/>
          <w:color w:val="auto"/>
        </w:rPr>
      </w:pPr>
      <w:r>
        <w:rPr>
          <w:rFonts w:ascii="Arial" w:cs="Arial" w:eastAsia="Arial" w:hAnsi="Arial"/>
          <w:sz w:val="17"/>
          <w:szCs w:val="17"/>
          <w:color w:val="auto"/>
        </w:rPr>
        <w:t>Numerous parties have sued SDG&amp;E and Sempra Energy in San Diego County Superior Court seeking recovery of unspecified amounts of damages, including punitive damages, from the three fires. These include owners and insurers of properties that were destroyed or damaged in the fires and public entities seeking recovery of firefighting, emergency response, and environmental costs. They assert various bases for recovery, including inverse condemnation based upon a California Court of Appeal decision finding that another California investor-owned utility was subject to strict liability, without regard to foreseeability or negligence, for property damages resulting from a wildfire ignited by power lines.</w:t>
      </w:r>
    </w:p>
    <w:p>
      <w:pPr>
        <w:spacing w:after="0" w:line="173" w:lineRule="exact"/>
        <w:rPr>
          <w:sz w:val="20"/>
          <w:szCs w:val="20"/>
          <w:color w:val="auto"/>
        </w:rPr>
      </w:pPr>
    </w:p>
    <w:p>
      <w:pPr>
        <w:jc w:val="both"/>
        <w:ind w:right="60"/>
        <w:spacing w:after="0" w:line="264" w:lineRule="auto"/>
        <w:rPr>
          <w:sz w:val="20"/>
          <w:szCs w:val="20"/>
          <w:color w:val="auto"/>
        </w:rPr>
      </w:pPr>
      <w:r>
        <w:rPr>
          <w:rFonts w:ascii="Arial" w:cs="Arial" w:eastAsia="Arial" w:hAnsi="Arial"/>
          <w:sz w:val="18"/>
          <w:szCs w:val="18"/>
          <w:color w:val="auto"/>
        </w:rPr>
        <w:t>In October 2010, the Court of Appeal affirmed the trial court's ruling that these claims must be pursued in individual lawsuits, rather than as class actions on behalf of all persons who incurred wildfire damages. In February 2011, the California Supreme Court denied a petition for review of the affirmance. The trial court has scheduled a Witch fire and Guejito fire trial to begin in February 2012.</w:t>
      </w:r>
    </w:p>
    <w:p>
      <w:pPr>
        <w:spacing w:after="0" w:line="181"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color w:val="auto"/>
        </w:rPr>
        <w:t>SDG&amp;E filed cross-complaints against Cox seeking indemnification for any liability that SDG&amp;E might incur in connection with the Guejito fire, two SDG&amp;E contractors seeking indemnification in connection with the Witch fire, and one SDG&amp;E contractor seeking indemnification in connection with the Rice fire.</w:t>
      </w:r>
    </w:p>
    <w:p>
      <w:pPr>
        <w:spacing w:after="0" w:line="181" w:lineRule="exact"/>
        <w:rPr>
          <w:sz w:val="20"/>
          <w:szCs w:val="20"/>
          <w:color w:val="auto"/>
        </w:rPr>
      </w:pPr>
    </w:p>
    <w:p>
      <w:pPr>
        <w:ind w:right="180"/>
        <w:spacing w:after="0" w:line="312" w:lineRule="auto"/>
        <w:rPr>
          <w:sz w:val="20"/>
          <w:szCs w:val="20"/>
          <w:color w:val="auto"/>
        </w:rPr>
      </w:pPr>
      <w:r>
        <w:rPr>
          <w:rFonts w:ascii="Arial" w:cs="Arial" w:eastAsia="Arial" w:hAnsi="Arial"/>
          <w:sz w:val="16"/>
          <w:szCs w:val="16"/>
          <w:color w:val="auto"/>
        </w:rPr>
        <w:t>In December 2010, SDG&amp;E and Cox reached an agreement settling SDG&amp;E's claims against Cox and Cox’s insurers in the wildfire litigation (Cox Settlement). Among other things, the settlement agreement provided that SDG&amp;E receive approximately $444 million, which it will use for wildfire related expenditures, and SDG&amp;E will defend and indemnify Cox against all compensatory damage claims and related costs arising out of the wildfires.</w:t>
      </w:r>
    </w:p>
    <w:p>
      <w:pPr>
        <w:spacing w:after="0" w:line="147"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At December 31, 2010, the $300 million Settlement Receivable Related to Wildfire Litigation on the Condensed Consolidated Balance Sheets of Sempra Energy and SDG&amp;E represented cash to be received in accordance with the terms of the Cox Settlement in several payments through March 2011 and which was received. Restricted cash of $172 million at June 30, 2011 on the Condensed Consolidated Balance Sheets of Sempra Energy and SDG&amp;E represents amounts received from Cox not yet applied to wildfire related expenditures.</w:t>
      </w:r>
    </w:p>
    <w:p>
      <w:pPr>
        <w:spacing w:after="0" w:line="187"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SDG&amp;E has settled substantially all of the 19,000 claims of homeowner insurers relating to the three fires. Under the settlement agreements, SDG&amp;E has paid or will pay 57.5 percent of the approximately $1.6 billion paid or reserved for payment by the insurers to their policyholders and received an assignment of the insurers’ claims against other parties potentially responsible for the fires.</w:t>
      </w:r>
    </w:p>
    <w:p>
      <w:pPr>
        <w:spacing w:after="0" w:line="181" w:lineRule="exact"/>
        <w:rPr>
          <w:sz w:val="20"/>
          <w:szCs w:val="20"/>
          <w:color w:val="auto"/>
        </w:rPr>
      </w:pPr>
    </w:p>
    <w:p>
      <w:pPr>
        <w:ind w:right="160"/>
        <w:spacing w:after="0" w:line="297" w:lineRule="auto"/>
        <w:rPr>
          <w:sz w:val="20"/>
          <w:szCs w:val="20"/>
          <w:color w:val="auto"/>
        </w:rPr>
      </w:pPr>
      <w:r>
        <w:rPr>
          <w:rFonts w:ascii="Arial" w:cs="Arial" w:eastAsia="Arial" w:hAnsi="Arial"/>
          <w:sz w:val="16"/>
          <w:szCs w:val="16"/>
          <w:color w:val="auto"/>
        </w:rPr>
        <w:t>The wildfire litigation also includes claims of non-insurer plaintiffs for damage to uninsured and underinsured structures, business interruption, evacuation expenses, agricultural damage, emotional harm, personal injuries and other losses. SDG&amp;E has settled the claims of approximately 1,540 of these plaintiffs. Approximately 1,080 of the approximately 1,880 remaining individual and business plaintiffs have submitted settlement demands and damage estimates totaling approximately $1 billion and government entity claims totaling approximately $130 million. SDG&amp;E expects to receive additional settlement demands and damage estimates as settlement negotiations continue. SDG&amp;E has established reserves for the wildfire litigation as we discuss below.</w:t>
      </w:r>
    </w:p>
    <w:p>
      <w:pPr>
        <w:spacing w:after="0" w:line="158" w:lineRule="exact"/>
        <w:rPr>
          <w:sz w:val="20"/>
          <w:szCs w:val="20"/>
          <w:color w:val="auto"/>
        </w:rPr>
      </w:pPr>
    </w:p>
    <w:p>
      <w:pPr>
        <w:ind w:right="80"/>
        <w:spacing w:after="0" w:line="342" w:lineRule="auto"/>
        <w:rPr>
          <w:sz w:val="20"/>
          <w:szCs w:val="20"/>
          <w:color w:val="auto"/>
        </w:rPr>
      </w:pPr>
      <w:r>
        <w:rPr>
          <w:rFonts w:ascii="Arial" w:cs="Arial" w:eastAsia="Arial" w:hAnsi="Arial"/>
          <w:sz w:val="16"/>
          <w:szCs w:val="16"/>
          <w:color w:val="auto"/>
        </w:rPr>
        <w:t>SDG&amp;E's settlement of claims and defense costs have exceeded its $1.1 billion of liability insurance coverage. It expects that its wildfire reserves and amounts paid to resolve wildfire claims will continue to increase as it obtains additional information; it is presently unable to reasonably estimate the amount</w:t>
      </w:r>
    </w:p>
    <w:p>
      <w:pPr>
        <w:sectPr>
          <w:pgSz w:w="11900" w:h="16854" w:orient="portrait"/>
          <w:cols w:equalWidth="0" w:num="1">
            <w:col w:w="11400"/>
          </w:cols>
          <w:pgMar w:left="240" w:top="125" w:right="259" w:bottom="0" w:gutter="0" w:footer="0" w:header="0"/>
        </w:sectPr>
      </w:pPr>
    </w:p>
    <w:bookmarkStart w:id="45" w:name="page46"/>
    <w:bookmarkEnd w:id="45"/>
    <w:p>
      <w:pPr>
        <w:spacing w:after="0"/>
        <w:rPr>
          <w:sz w:val="20"/>
          <w:szCs w:val="20"/>
          <w:color w:val="auto"/>
        </w:rPr>
      </w:pPr>
      <w:r>
        <w:rPr>
          <w:rFonts w:ascii="Arial" w:cs="Arial" w:eastAsia="Arial" w:hAnsi="Arial"/>
          <w:sz w:val="18"/>
          <w:szCs w:val="18"/>
          <w:color w:val="auto"/>
        </w:rPr>
        <w:t>or timing of recoveries from other potentially responsible parties, other than Cox.</w:t>
      </w:r>
    </w:p>
    <w:p>
      <w:pPr>
        <w:spacing w:after="0" w:line="225" w:lineRule="exact"/>
        <w:rPr>
          <w:sz w:val="20"/>
          <w:szCs w:val="20"/>
          <w:color w:val="auto"/>
        </w:rPr>
      </w:pPr>
    </w:p>
    <w:p>
      <w:pPr>
        <w:ind w:right="60"/>
        <w:spacing w:after="0" w:line="277" w:lineRule="auto"/>
        <w:rPr>
          <w:sz w:val="20"/>
          <w:szCs w:val="20"/>
          <w:color w:val="auto"/>
        </w:rPr>
      </w:pPr>
      <w:r>
        <w:rPr>
          <w:rFonts w:ascii="Arial" w:cs="Arial" w:eastAsia="Arial" w:hAnsi="Arial"/>
          <w:sz w:val="17"/>
          <w:szCs w:val="17"/>
          <w:color w:val="auto"/>
        </w:rPr>
        <w:t>SDG&amp;E has concluded, however, that it is probable that it will be permitted to recover from its utility customers substantially all reasonably incurred costs of resolving wildfire claims in excess of its liability insurance coverage and any amounts recovered from other potentially responsible parties. Accordingly, although such recovery will require future regulatory actions, as of June 30, 2011 and December 31, 2010, SDG&amp;E recorded a regulatory asset in an amount substantially equal to the aggregate amount it has paid or reserved for payment for the resolution of wildfire claims and related costs in excess of its liability insurance coverage and amounts received from Cox. SDG&amp;E will increase the regulatory asset as additional amounts are paid or reserves are recorded and reduce it by any amounts recovered from other potentially responsible parties.</w:t>
      </w:r>
    </w:p>
    <w:p>
      <w:pPr>
        <w:spacing w:after="0" w:line="172"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As a consequence of the expected recovery of wildfire costs from utility customers, Sempra Energy and SDG&amp;E expect no significant earnings impact from the resolution of the remaining wildfire claims. However, SDG&amp;E’s cash flow may be adversely affected due to the timing differences between the resolution of claims and the recoveries from other potentially responsible parties and utility customers, which may extend over a number of years. Also, recovery from customers will require future regulatory actions, and a failure to obtain recovery, or any negative assessment of the likelihood of recovery, would likely have a material adverse effect on Sempra Energy's and SDG&amp;E's cash flows and results of operations.</w:t>
      </w:r>
    </w:p>
    <w:p>
      <w:pPr>
        <w:spacing w:after="0" w:line="173" w:lineRule="exact"/>
        <w:rPr>
          <w:sz w:val="20"/>
          <w:szCs w:val="20"/>
          <w:color w:val="auto"/>
        </w:rPr>
      </w:pPr>
    </w:p>
    <w:p>
      <w:pPr>
        <w:jc w:val="both"/>
        <w:ind w:right="120"/>
        <w:spacing w:after="0" w:line="264" w:lineRule="auto"/>
        <w:rPr>
          <w:sz w:val="20"/>
          <w:szCs w:val="20"/>
          <w:color w:val="auto"/>
        </w:rPr>
      </w:pPr>
      <w:r>
        <w:rPr>
          <w:rFonts w:ascii="Arial" w:cs="Arial" w:eastAsia="Arial" w:hAnsi="Arial"/>
          <w:sz w:val="18"/>
          <w:szCs w:val="18"/>
          <w:color w:val="auto"/>
        </w:rPr>
        <w:t>SDG&amp;E will continue to gather information to evaluate and assess the remaining wildfire claims and the likelihood, amount and timing of related recoveries from other potentially responsible parties and utility customers and will make appropriate adjustments to wildfire reserves and the related regulatory asset as additional information becomes available.</w:t>
      </w:r>
    </w:p>
    <w:p>
      <w:pPr>
        <w:spacing w:after="0" w:line="181"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In 2010 and 2011, as liabilities for wildfire litigation have become reasonably estimable in the form of settlement demands, damage estimates, and other damage information, SDG&amp;E has recorded related reserves as a liability. The impact of this liability at June 30, 2011 is offset by $172 million of restricted cash received from Cox and the recognition of a regulatory asset, as discussed above, for reserves in excess of the insurance coverage and the Cox Settlement. The impact of the reserves on SDG&amp;E's and Sempra Energy's after-tax earnings was $1 million and $7 million for the three months ended June 30, 2011 and 2010, respectively, and $2 million and $10 million for the six months ended June 30, 2011 and 2010, respectively. At June 30, 2011, wildfire litigation reserves were $549 million ($422 million in current and $127 million in long-term).</w:t>
      </w:r>
    </w:p>
    <w:p>
      <w:pPr>
        <w:spacing w:after="0" w:line="392"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Sunrise Powerlink Electric Transmission Line</w:t>
      </w:r>
    </w:p>
    <w:p>
      <w:pPr>
        <w:spacing w:after="0" w:line="205" w:lineRule="exact"/>
        <w:rPr>
          <w:sz w:val="20"/>
          <w:szCs w:val="20"/>
          <w:color w:val="auto"/>
        </w:rPr>
      </w:pPr>
    </w:p>
    <w:p>
      <w:pPr>
        <w:ind w:right="20"/>
        <w:spacing w:after="0" w:line="286" w:lineRule="auto"/>
        <w:rPr>
          <w:sz w:val="20"/>
          <w:szCs w:val="20"/>
          <w:color w:val="auto"/>
        </w:rPr>
      </w:pPr>
      <w:r>
        <w:rPr>
          <w:rFonts w:ascii="Arial" w:cs="Arial" w:eastAsia="Arial" w:hAnsi="Arial"/>
          <w:sz w:val="17"/>
          <w:szCs w:val="17"/>
          <w:color w:val="auto"/>
        </w:rPr>
        <w:t>SDG&amp;E commenced construction on the Sunrise Powerlink in the fall of 2010. The Sunrise Powerlink is a new 117-mile, 500-kilovolt (kV) electric transmission line that is being built between the Imperial Valley and the San Diego region, along a route that generally runs south of the Anza-Borrego Desert State Park. The current project plan provides for the transmission line to be completed and in-service in the second half of 2012.</w:t>
      </w:r>
    </w:p>
    <w:p>
      <w:pPr>
        <w:spacing w:after="0" w:line="166"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The Sunrise Powerlink project was originally approved by the CPUC in December 2008, including approval of the environmental impact review conducted jointly with the Bureau of Land Management (BLM). The CPUC has subsequently denied or dismissed all requests for rehearing of its approval of the project.</w:t>
      </w:r>
    </w:p>
    <w:p>
      <w:pPr>
        <w:spacing w:after="0" w:line="181"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In February 2011, the California Supreme Court denied a petition filed jointly by the Utility Consumers' Action Network (UCAN) and the Center for Biological Diversity/Sierra Club (CBD). The petition challenged the CPUC's decision with regard to implementation of the California Environmental Quality Act (CEQA). In addition, in August 2010, the California Court of Appeal denied a petition previously filed by UCAN with the Court of Appeal challenging the CPUC decision on other legal grounds.</w:t>
      </w:r>
    </w:p>
    <w:p>
      <w:pPr>
        <w:spacing w:after="0" w:line="187" w:lineRule="exact"/>
        <w:rPr>
          <w:sz w:val="20"/>
          <w:szCs w:val="20"/>
          <w:color w:val="auto"/>
        </w:rPr>
      </w:pPr>
    </w:p>
    <w:p>
      <w:pPr>
        <w:ind w:right="40"/>
        <w:spacing w:after="0" w:line="342" w:lineRule="auto"/>
        <w:rPr>
          <w:sz w:val="20"/>
          <w:szCs w:val="20"/>
          <w:color w:val="auto"/>
        </w:rPr>
      </w:pPr>
      <w:r>
        <w:rPr>
          <w:rFonts w:ascii="Arial" w:cs="Arial" w:eastAsia="Arial" w:hAnsi="Arial"/>
          <w:sz w:val="16"/>
          <w:szCs w:val="16"/>
          <w:color w:val="auto"/>
        </w:rPr>
        <w:t>In January 2009, the BLM issued its decision approving the portions of the project, route and environmental review within its jurisdiction. The Interior Board of Land Appeals (IBLA) subsequently denied or dismissed all administrative appeals that were filed challenging the BLM’s approval of the project.</w:t>
      </w:r>
    </w:p>
    <w:p>
      <w:pPr>
        <w:spacing w:after="0" w:line="124"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The CPUC and BLM jointly approved the final Project Modification Report for Sunrise Powerlink in September 2010, accepting all of the proposed modifications to the approved route and finding that no additional environmental review was required. In December 2010, the IBLA dismissed an appeal challenging the BLM’s approval of the Project Modification Report. On March 3, 2011, opponents of the Sunrise Powerlink filed a petition for writ of review or mandamus with the California Supreme Court challenging the CPUC’s acceptance of the Project Modification Report. The California Supreme Court denied the petition on April 13, 2011.</w:t>
      </w:r>
    </w:p>
    <w:p>
      <w:pPr>
        <w:spacing w:after="0" w:line="188" w:lineRule="exact"/>
        <w:rPr>
          <w:sz w:val="20"/>
          <w:szCs w:val="20"/>
          <w:color w:val="auto"/>
        </w:rPr>
      </w:pPr>
    </w:p>
    <w:p>
      <w:pPr>
        <w:ind w:right="200"/>
        <w:spacing w:after="0" w:line="302" w:lineRule="auto"/>
        <w:rPr>
          <w:sz w:val="20"/>
          <w:szCs w:val="20"/>
          <w:color w:val="auto"/>
        </w:rPr>
      </w:pPr>
      <w:r>
        <w:rPr>
          <w:rFonts w:ascii="Arial" w:cs="Arial" w:eastAsia="Arial" w:hAnsi="Arial"/>
          <w:sz w:val="16"/>
          <w:szCs w:val="16"/>
          <w:color w:val="auto"/>
        </w:rPr>
        <w:t>In February 2010, parties opposed to the project filed a lawsuit in Federal District Court in San Diego seeking declaratory and injunctive relief and alleging that the BLM failed to properly address the environmental impacts of the approved Sunrise Powerlink route and the related potential development of renewable resources in east San Diego County and Imperial County. In June 2011, the Court granted the defendants' motion for summary judgment on the grounds that the plaintiffs were not challenging final government agency actions. The plaintiffs have filed a notice of appeal.</w:t>
      </w:r>
    </w:p>
    <w:p>
      <w:pPr>
        <w:spacing w:after="0" w:line="154"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In July 2010, the United States Forest Service (USFS) issued its decision approving the portions of the project, route and environmental review within its jurisdiction. The USFS has subsequently denied all administrative appeals challenging its approval of the project.</w:t>
      </w:r>
    </w:p>
    <w:p>
      <w:pPr>
        <w:spacing w:after="0" w:line="170"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In January 2011, project opponents filed a lawsuit in Federal District Court in San Diego alleging that the federal approvals for construction of the project on USFS land and BLM land violated the National Environmental Policy Act and other federal environmental laws. The lawsuit asks the Court for injunctive relief preventing the USFS and the BLM from approving any ongoing or future construction activities.</w:t>
      </w:r>
    </w:p>
    <w:p>
      <w:pPr>
        <w:spacing w:after="0" w:line="181" w:lineRule="exact"/>
        <w:rPr>
          <w:sz w:val="20"/>
          <w:szCs w:val="20"/>
          <w:color w:val="auto"/>
        </w:rPr>
      </w:pPr>
    </w:p>
    <w:p>
      <w:pPr>
        <w:ind w:right="280"/>
        <w:spacing w:after="0" w:line="264" w:lineRule="auto"/>
        <w:rPr>
          <w:sz w:val="20"/>
          <w:szCs w:val="20"/>
          <w:color w:val="auto"/>
        </w:rPr>
      </w:pPr>
      <w:r>
        <w:rPr>
          <w:rFonts w:ascii="Arial" w:cs="Arial" w:eastAsia="Arial" w:hAnsi="Arial"/>
          <w:sz w:val="18"/>
          <w:szCs w:val="18"/>
          <w:color w:val="auto"/>
        </w:rPr>
        <w:t>In February 2011, opponents of the Sunrise Powerlink filed a lawsuit in California Superior Court in Sacramento, California against the State Water Resources Control Board and SDG&amp;E alleging that the water quality certification issued by the Board under the Federal Clean Water Act violated CEQA. The complaint seeks to have the certification set aside and requests an injunction be issued.</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color w:val="auto"/>
        </w:rPr>
        <w:t>We provide additional information concerning Sunrise Powerlink in Note 14 of the Notes to Consolidated Financial Statements in the Annual Report.</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SoCalGas</w:t>
      </w:r>
    </w:p>
    <w:p>
      <w:pPr>
        <w:sectPr>
          <w:pgSz w:w="11900" w:h="16838" w:orient="portrait"/>
          <w:cols w:equalWidth="0" w:num="1">
            <w:col w:w="11400"/>
          </w:cols>
          <w:pgMar w:left="240" w:top="125" w:right="259" w:bottom="0" w:gutter="0" w:footer="0" w:header="0"/>
        </w:sectPr>
      </w:pPr>
    </w:p>
    <w:p>
      <w:pPr>
        <w:spacing w:after="0" w:line="205" w:lineRule="exact"/>
        <w:rPr>
          <w:sz w:val="20"/>
          <w:szCs w:val="20"/>
          <w:color w:val="auto"/>
        </w:rPr>
      </w:pPr>
    </w:p>
    <w:p>
      <w:pPr>
        <w:ind w:right="240"/>
        <w:spacing w:after="0" w:line="312" w:lineRule="auto"/>
        <w:rPr>
          <w:sz w:val="20"/>
          <w:szCs w:val="20"/>
          <w:color w:val="auto"/>
        </w:rPr>
      </w:pPr>
      <w:r>
        <w:rPr>
          <w:rFonts w:ascii="Arial" w:cs="Arial" w:eastAsia="Arial" w:hAnsi="Arial"/>
          <w:sz w:val="16"/>
          <w:szCs w:val="16"/>
          <w:color w:val="auto"/>
        </w:rPr>
        <w:t>SoCalGas, along with Monsanto Co., Solutia, Inc., Pharmacia Corp., and Pfizer, Inc., are defendants in two Los Angeles County Superior Court lawsuits served in May 2011 seeking recovery of unspecified amounts of damages, including punitive damages, as a result of plaintiffs' exposure to PCBs (polychlorinated biphenyls). The lawsuits allege plaintiffs were exposed to PCBs not only through the food chain and other various sources but from PCB-</w:t>
      </w:r>
    </w:p>
    <w:p>
      <w:pPr>
        <w:sectPr>
          <w:pgSz w:w="11900" w:h="16838" w:orient="portrait"/>
          <w:cols w:equalWidth="0" w:num="1">
            <w:col w:w="11400"/>
          </w:cols>
          <w:pgMar w:left="240" w:top="125" w:right="259" w:bottom="0" w:gutter="0" w:footer="0" w:header="0"/>
          <w:type w:val="continuous"/>
        </w:sectPr>
      </w:pPr>
    </w:p>
    <w:bookmarkStart w:id="46" w:name="page47"/>
    <w:bookmarkEnd w:id="46"/>
    <w:p>
      <w:pPr>
        <w:jc w:val="both"/>
        <w:ind w:right="420"/>
        <w:spacing w:after="0" w:line="277" w:lineRule="auto"/>
        <w:rPr>
          <w:sz w:val="20"/>
          <w:szCs w:val="20"/>
          <w:color w:val="auto"/>
        </w:rPr>
      </w:pPr>
      <w:r>
        <w:rPr>
          <w:rFonts w:ascii="Arial" w:cs="Arial" w:eastAsia="Arial" w:hAnsi="Arial"/>
          <w:sz w:val="18"/>
          <w:szCs w:val="18"/>
          <w:color w:val="auto"/>
        </w:rPr>
        <w:t>contaminated natural gas pipelines owned and operated by SoCalGas. This contamination allegedly caused plaintiffs to develop cancer and other serious illnesses. Plaintiffs assert various bases for recovery, including negligence and products liability.</w:t>
      </w:r>
    </w:p>
    <w:p>
      <w:pPr>
        <w:spacing w:after="0" w:line="384"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Sempra Pipelines &amp; Storage</w:t>
      </w:r>
    </w:p>
    <w:p>
      <w:pPr>
        <w:spacing w:after="0" w:line="205" w:lineRule="exact"/>
        <w:rPr>
          <w:sz w:val="20"/>
          <w:szCs w:val="20"/>
          <w:color w:val="auto"/>
        </w:rPr>
      </w:pPr>
    </w:p>
    <w:p>
      <w:pPr>
        <w:jc w:val="both"/>
        <w:ind w:right="440"/>
        <w:spacing w:after="0" w:line="302" w:lineRule="auto"/>
        <w:rPr>
          <w:sz w:val="20"/>
          <w:szCs w:val="20"/>
          <w:color w:val="auto"/>
        </w:rPr>
      </w:pPr>
      <w:r>
        <w:rPr>
          <w:rFonts w:ascii="Arial" w:cs="Arial" w:eastAsia="Arial" w:hAnsi="Arial"/>
          <w:sz w:val="16"/>
          <w:szCs w:val="16"/>
          <w:color w:val="auto"/>
        </w:rPr>
        <w:t>Liberty Gas Storage, LLC (Liberty) received a demand for arbitration from Williams Midstream Natural Gas Liquids, Inc. (Williams) in February 2011 related to a sublease agreement. Williams alleges that Liberty was negligent in its attempt to convert certain salt caverns to natural gas storage and seeks damages of $56.7 million. Liberty filed a counterclaim alleging breach of contract in the inducement and seeks damages of more than $215 million. We provide more detail about these caverns in Note 1 of the Notes to Consolidated Financial Statements in the Annual Report.</w:t>
      </w:r>
    </w:p>
    <w:p>
      <w:pPr>
        <w:spacing w:after="0" w:line="368"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Sempra LNG</w:t>
      </w:r>
    </w:p>
    <w:p>
      <w:pPr>
        <w:spacing w:after="0" w:line="205" w:lineRule="exact"/>
        <w:rPr>
          <w:sz w:val="20"/>
          <w:szCs w:val="20"/>
          <w:color w:val="auto"/>
        </w:rPr>
      </w:pPr>
    </w:p>
    <w:p>
      <w:pPr>
        <w:ind w:right="200"/>
        <w:spacing w:after="0" w:line="271" w:lineRule="auto"/>
        <w:rPr>
          <w:sz w:val="20"/>
          <w:szCs w:val="20"/>
          <w:color w:val="auto"/>
        </w:rPr>
      </w:pPr>
      <w:r>
        <w:rPr>
          <w:rFonts w:ascii="Arial" w:cs="Arial" w:eastAsia="Arial" w:hAnsi="Arial"/>
          <w:sz w:val="17"/>
          <w:szCs w:val="17"/>
          <w:color w:val="auto"/>
        </w:rPr>
        <w:t>Sempra LNG has been engaged in a long-running land dispute relating to property adjacent to its Energía Costa Azul liquefied natural gas (LNG) receipt terminal near Ensenada, Mexico. The adjacent property is not required by environmental or other regulatory permits for the operation of the terminal. A claimant to the adjacent property has nonetheless asserted that his health and safety are endangered by the operation of the facility. In June 2010, a Mexican federal appeals court revoked a district court order, issued at the behest of the claimant, directing Mexican regulatory authorities to provisionally suspend authorizations for the operation of the LNG terminal. In February 2011, based on a complaint by the claimant, the new Ensenada Mayor attempted to temporarily close the terminal based on claims of irregularities in municipal permits issued six years earlier. This attempt was promptly countermanded by Mexican federal and Baja California state authorities. No terminal permits or operations were affected as a result of these proceedings or events and the terminal has continued to operate normally.</w:t>
      </w:r>
    </w:p>
    <w:p>
      <w:pPr>
        <w:spacing w:after="0" w:line="179"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Sempra LNG expects additional Mexican court proceedings and governmental actions regarding the claimant’s assertions as to whether the terminal’s permits should be modified or revoked in any manner.</w:t>
      </w:r>
    </w:p>
    <w:p>
      <w:pPr>
        <w:spacing w:after="0" w:line="170" w:lineRule="exact"/>
        <w:rPr>
          <w:sz w:val="20"/>
          <w:szCs w:val="20"/>
          <w:color w:val="auto"/>
        </w:rPr>
      </w:pPr>
    </w:p>
    <w:p>
      <w:pPr>
        <w:jc w:val="both"/>
        <w:ind w:right="160"/>
        <w:spacing w:after="0" w:line="264" w:lineRule="auto"/>
        <w:rPr>
          <w:sz w:val="20"/>
          <w:szCs w:val="20"/>
          <w:color w:val="auto"/>
        </w:rPr>
      </w:pPr>
      <w:r>
        <w:rPr>
          <w:rFonts w:ascii="Arial" w:cs="Arial" w:eastAsia="Arial" w:hAnsi="Arial"/>
          <w:sz w:val="18"/>
          <w:szCs w:val="18"/>
          <w:color w:val="auto"/>
        </w:rPr>
        <w:t>The property claimant has also filed a lawsuit against Sempra Energy in Federal District Court in San Diego seeking compensatory and punitive damages as well as the earnings from the Energía Costa Azul LNG terminal based on his allegations that he was wrongfully evicted from the adjacent property and that he has been harmed by other allegedly improper actions.</w:t>
      </w:r>
    </w:p>
    <w:p>
      <w:pPr>
        <w:spacing w:after="0" w:line="395"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Other Litigation</w:t>
      </w:r>
    </w:p>
    <w:p>
      <w:pPr>
        <w:spacing w:after="0" w:line="205"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In August 2007, the U.S. Court of Appeals for the Ninth Circuit issued a decision reversing and remanding certain Federal Energy Regulatory Commission (FERC) orders declining to provide refunds regarding short-term bilateral sales up to one month in the Pacific Northwest for the December 2000 to June 2001 time period. The FERC has not yet acted on the court’s order. In December 2010, the FERC approved a comprehensive settlement previously reached by Sempra Energy and RBS Sempra Commodities with the State of California. The settlement resolves all issues with regard to sales between the California Department of Water Resources (DWR) and Sempra Commodities (see Note 11) in the Pacific Northwest, but potential claims may exist regarding sales between Sempra Commodities and other buyers in the Pacific Northwest.</w:t>
      </w:r>
    </w:p>
    <w:p>
      <w:pPr>
        <w:spacing w:after="0" w:line="178" w:lineRule="exact"/>
        <w:rPr>
          <w:sz w:val="20"/>
          <w:szCs w:val="20"/>
          <w:color w:val="auto"/>
        </w:rPr>
      </w:pPr>
    </w:p>
    <w:p>
      <w:pPr>
        <w:jc w:val="both"/>
        <w:ind w:right="100"/>
        <w:spacing w:after="0" w:line="312" w:lineRule="auto"/>
        <w:rPr>
          <w:sz w:val="20"/>
          <w:szCs w:val="20"/>
          <w:color w:val="auto"/>
        </w:rPr>
      </w:pPr>
      <w:r>
        <w:rPr>
          <w:rFonts w:ascii="Arial" w:cs="Arial" w:eastAsia="Arial" w:hAnsi="Arial"/>
          <w:sz w:val="16"/>
          <w:szCs w:val="16"/>
          <w:color w:val="auto"/>
        </w:rPr>
        <w:t>Pursuant to the agreements related to the formation of RBS Sempra Commodities, we have indemnified RBS should the liability from the final resolution of these matters be greater than the reserves related to Sempra Commodities. Pursuant to our agreement with the Noble Group, we have also indemnified Noble Americas Gas &amp; Power Corp. and its affiliates for all losses incurred by such parties resulting from these proceedings as related to Sempra Commodities.</w:t>
      </w:r>
    </w:p>
    <w:p>
      <w:pPr>
        <w:spacing w:after="0" w:line="147" w:lineRule="exact"/>
        <w:rPr>
          <w:sz w:val="20"/>
          <w:szCs w:val="20"/>
          <w:color w:val="auto"/>
        </w:rPr>
      </w:pPr>
    </w:p>
    <w:p>
      <w:pPr>
        <w:ind w:right="120"/>
        <w:spacing w:after="0" w:line="271" w:lineRule="auto"/>
        <w:rPr>
          <w:sz w:val="20"/>
          <w:szCs w:val="20"/>
          <w:color w:val="auto"/>
        </w:rPr>
      </w:pPr>
      <w:r>
        <w:rPr>
          <w:rFonts w:ascii="Arial" w:cs="Arial" w:eastAsia="Arial" w:hAnsi="Arial"/>
          <w:sz w:val="17"/>
          <w:szCs w:val="17"/>
          <w:color w:val="auto"/>
        </w:rPr>
        <w:t>Sempra Energy and several subsidiaries, along with three oil and natural gas companies, the City of Beverly Hills, and the Beverly Hills Unified School District, are defendants in a toxic tort lawsuit filed in Los Angeles County Superior Court by approximately 1,000 plaintiffs. This lawsuit claims that various emissions resulted in cancer or fear of cancer. We have submitted the case to our insurers, who have reserved their rights with respect to coverage. In November 2006, the court granted the defendants' summary judgment motions based on lack of medical causation for the 12 initial plaintiffs scheduled to go to trial first. The court also granted summary judgment excluding punitive damages. The court has stayed the case as to the remaining plaintiffs pending the appeal of the rulings. A mediation occurred in June 2010, after which the plaintiffs’ counsel agreed to recommend a settlement of the lawsuits as to Sempra Energy and its subsidiaries for an amount that is not significant and has been recorded. Any such settlement will require approval by each of the plaintiffs. If approval is obtained, finalization of the settlement is expected to occur within six months.</w:t>
      </w:r>
    </w:p>
    <w:p>
      <w:pPr>
        <w:spacing w:after="0" w:line="179" w:lineRule="exact"/>
        <w:rPr>
          <w:sz w:val="20"/>
          <w:szCs w:val="20"/>
          <w:color w:val="auto"/>
        </w:rPr>
      </w:pPr>
    </w:p>
    <w:p>
      <w:pPr>
        <w:ind w:right="480"/>
        <w:spacing w:after="0" w:line="308" w:lineRule="auto"/>
        <w:rPr>
          <w:sz w:val="20"/>
          <w:szCs w:val="20"/>
          <w:color w:val="auto"/>
        </w:rPr>
      </w:pPr>
      <w:r>
        <w:rPr>
          <w:rFonts w:ascii="Arial" w:cs="Arial" w:eastAsia="Arial" w:hAnsi="Arial"/>
          <w:sz w:val="17"/>
          <w:szCs w:val="17"/>
          <w:color w:val="auto"/>
        </w:rPr>
        <w:t>We are also defendants in ordinary routine litigation incidental to our businesses, including personal injury, product liability, property damage and other claims. California juries have demonstrated an increasing willingness to grant large awards, including punitive damages, in these cases.</w:t>
      </w:r>
    </w:p>
    <w:p>
      <w:pPr>
        <w:spacing w:after="0" w:line="3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NUCLEAR INSURANCE</w:t>
      </w:r>
    </w:p>
    <w:p>
      <w:pPr>
        <w:spacing w:after="0" w:line="234" w:lineRule="exact"/>
        <w:rPr>
          <w:sz w:val="20"/>
          <w:szCs w:val="20"/>
          <w:color w:val="auto"/>
        </w:rPr>
      </w:pPr>
    </w:p>
    <w:p>
      <w:pPr>
        <w:ind w:right="140"/>
        <w:spacing w:after="0" w:line="273" w:lineRule="auto"/>
        <w:rPr>
          <w:sz w:val="20"/>
          <w:szCs w:val="20"/>
          <w:color w:val="auto"/>
        </w:rPr>
      </w:pPr>
      <w:r>
        <w:rPr>
          <w:rFonts w:ascii="Arial" w:cs="Arial" w:eastAsia="Arial" w:hAnsi="Arial"/>
          <w:sz w:val="17"/>
          <w:szCs w:val="17"/>
          <w:color w:val="auto"/>
        </w:rPr>
        <w:t>SDG&amp;E and the other owners of San Onofre Nuclear Generating Station (SONGS) have insurance to cover claims from nuclear liability incidents arising at SONGS. This insurance provides $375 million in coverage limits, the maximum amount available, including coverage for acts of terrorism. In addition, the Price-Anderson Act provides for up to $12.2 billion of secondary financial protection (SFP). If a nuclear liability loss occurring at any U.S. licensed/commercial reactor exceeds the $375 million insurance limit, all nuclear reactor owners could be required to contribute to the SFP. SDG&amp;E's contribution would be up to $47 million. This amount is subject to an annual maximum of $7 million, unless a default occurs by any other SONGS owner. If the SFP is insufficient to cover the liability loss, SDG&amp;E could be subject to an additional assessment.</w:t>
      </w:r>
    </w:p>
    <w:p>
      <w:pPr>
        <w:spacing w:after="0" w:line="178"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The SONGS owners, including SDG&amp;E, also have $2.75 billion of nuclear property, decontamination, and debris removal insurance. In addition, the SONGS owners have up to $490 million insurance coverage for outage expenses and replacement power costs due to accidental property damage. This coverage is limited to $3.5 million per week for the first 52 weeks, then $2.8 million per week for up to 110 additional weeks. There is a 12-week waiting period deductible. These insurance coverages are provided through a mutual insurance company. Insured members are subject to retrospective premium assessments. SDG&amp;E could be assessed up to $9.6 million.</w:t>
      </w:r>
    </w:p>
    <w:p>
      <w:pPr>
        <w:spacing w:after="0" w:line="188"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The nuclear property insurance program includes an industry aggregate loss limit for non-certified acts of terrorism (as defined by the Terrorism Risk Insurance Act). The industry aggregate loss limit for property claims arising from non-certified acts of terrorism is $3.24 billion. This is the maximum amount that will be paid to insured members who suffer losses or damages from these non-certified terrorist acts.</w:t>
      </w:r>
    </w:p>
    <w:p>
      <w:pPr>
        <w:sectPr>
          <w:pgSz w:w="11900" w:h="16838" w:orient="portrait"/>
          <w:cols w:equalWidth="0" w:num="1">
            <w:col w:w="11420"/>
          </w:cols>
          <w:pgMar w:left="240" w:top="125" w:right="239" w:bottom="0" w:gutter="0" w:footer="0" w:header="0"/>
        </w:sectPr>
      </w:pPr>
    </w:p>
    <w:bookmarkStart w:id="47" w:name="page48"/>
    <w:bookmarkEnd w:id="47"/>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COMMITMENTS</w:t>
      </w:r>
    </w:p>
    <w:p>
      <w:pPr>
        <w:spacing w:after="0" w:line="200" w:lineRule="exact"/>
        <w:rPr>
          <w:sz w:val="20"/>
          <w:szCs w:val="20"/>
          <w:color w:val="auto"/>
        </w:rPr>
      </w:pPr>
    </w:p>
    <w:p>
      <w:pPr>
        <w:spacing w:after="0" w:line="250" w:lineRule="exact"/>
        <w:rPr>
          <w:sz w:val="20"/>
          <w:szCs w:val="20"/>
          <w:color w:val="auto"/>
        </w:rPr>
      </w:pPr>
    </w:p>
    <w:p>
      <w:pPr>
        <w:ind w:right="780"/>
        <w:spacing w:after="0" w:line="277" w:lineRule="auto"/>
        <w:rPr>
          <w:sz w:val="20"/>
          <w:szCs w:val="20"/>
          <w:color w:val="auto"/>
        </w:rPr>
      </w:pPr>
      <w:r>
        <w:rPr>
          <w:rFonts w:ascii="Arial" w:cs="Arial" w:eastAsia="Arial" w:hAnsi="Arial"/>
          <w:sz w:val="18"/>
          <w:szCs w:val="18"/>
          <w:color w:val="auto"/>
        </w:rPr>
        <w:t>We discuss below significant changes in the first six months of 2011 to contractual commitments discussed in Note 16 of the Notes to Consolidated Financial Statements in the Annual Report.</w:t>
      </w:r>
    </w:p>
    <w:p>
      <w:pPr>
        <w:spacing w:after="0" w:line="384"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Natural Gas Contracts</w:t>
      </w:r>
    </w:p>
    <w:p>
      <w:pPr>
        <w:spacing w:after="0" w:line="205" w:lineRule="exact"/>
        <w:rPr>
          <w:sz w:val="20"/>
          <w:szCs w:val="20"/>
          <w:color w:val="auto"/>
        </w:rPr>
      </w:pPr>
    </w:p>
    <w:p>
      <w:pPr>
        <w:jc w:val="both"/>
        <w:ind w:right="200"/>
        <w:spacing w:after="0" w:line="259" w:lineRule="auto"/>
        <w:rPr>
          <w:sz w:val="20"/>
          <w:szCs w:val="20"/>
          <w:color w:val="auto"/>
        </w:rPr>
      </w:pPr>
      <w:r>
        <w:rPr>
          <w:rFonts w:ascii="Arial" w:cs="Arial" w:eastAsia="Arial" w:hAnsi="Arial"/>
          <w:sz w:val="18"/>
          <w:szCs w:val="18"/>
          <w:color w:val="auto"/>
        </w:rPr>
        <w:t>SoCalGas’ natural gas purchase and pipeline capacity commitments have increased by $5 million since December 31, 2010. The increase, primarily due to new natural gas purchase and pipeline capacity contracts of $407 million, is offset by a reduction of $402 million due to fulfillment of commitments in the first six months of 2011. Net future payments are therefore expected to decrease by $200 million for 2011 and to increase by $183 million for 2012 and $23 million for 2013 and to decrease by $1 million thereafter compared to December 31, 2010.</w:t>
      </w:r>
    </w:p>
    <w:p>
      <w:pPr>
        <w:spacing w:after="0" w:line="187"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Sempra Generation’s natural gas purchase commitments have decreased by $94 million since December 31, 2010, primarily due to fulfillment of commitments in the first six months of 2011. Net future payments are therefore expected to decrease by $55 million for 2011, $3 million for 2012, $2 million for 2013 and $34 million for 2014 compared to December 31, 2010.</w:t>
      </w:r>
    </w:p>
    <w:p>
      <w:pPr>
        <w:spacing w:after="0" w:line="395"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LNG Purchase Agreements</w:t>
      </w:r>
    </w:p>
    <w:p>
      <w:pPr>
        <w:spacing w:after="0" w:line="205"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At June 30, 2011, Sempra LNG has various purchase agreements with major international companies for the supply of LNG to its Energía Costa Azul and Cameron receipt terminals. We discuss these agreements further in Note 16 of the Notes to Consolidated Financial Statements in the Annual Report. Sempra LNG’s commitments under all LNG purchase agreements, reflecting the termination effective September 2011 of an LNG supply option agreement by one of the suppliers, changes in forward prices since December 31, 2010, and actual transactions for the first six months of 2011, are expected to decrease by $591 million in 2011, $395 million in 2012, and $178 million in 2013, and to increase by $3 million in 2014, $26 million in 2015 and $1.3 billion thereafter compared to December 31, 2010.</w:t>
      </w:r>
    </w:p>
    <w:p>
      <w:pPr>
        <w:spacing w:after="0" w:line="193" w:lineRule="exact"/>
        <w:rPr>
          <w:sz w:val="20"/>
          <w:szCs w:val="20"/>
          <w:color w:val="auto"/>
        </w:rPr>
      </w:pPr>
    </w:p>
    <w:p>
      <w:pPr>
        <w:spacing w:after="0"/>
        <w:rPr>
          <w:sz w:val="20"/>
          <w:szCs w:val="20"/>
          <w:color w:val="auto"/>
        </w:rPr>
      </w:pPr>
      <w:r>
        <w:rPr>
          <w:rFonts w:ascii="Arial" w:cs="Arial" w:eastAsia="Arial" w:hAnsi="Arial"/>
          <w:sz w:val="16"/>
          <w:szCs w:val="16"/>
          <w:color w:val="auto"/>
        </w:rPr>
        <w:t>The LNG commitment amounts above are based on Sempra LNG’s commitment to accept the maximum possible delivery of cargoes under the agreements.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Actual LNG purchases for the six months ended June 30, 2011 have been significantly lower than the maximum amounts possible.</w:t>
      </w: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Purchased-Power Contracts</w:t>
      </w:r>
    </w:p>
    <w:p>
      <w:pPr>
        <w:spacing w:after="0" w:line="205" w:lineRule="exact"/>
        <w:rPr>
          <w:sz w:val="20"/>
          <w:szCs w:val="20"/>
          <w:color w:val="auto"/>
        </w:rPr>
      </w:pPr>
    </w:p>
    <w:p>
      <w:pPr>
        <w:ind w:right="100"/>
        <w:spacing w:after="0" w:line="286" w:lineRule="auto"/>
        <w:rPr>
          <w:sz w:val="20"/>
          <w:szCs w:val="20"/>
          <w:color w:val="auto"/>
        </w:rPr>
      </w:pPr>
      <w:r>
        <w:rPr>
          <w:rFonts w:ascii="Arial" w:cs="Arial" w:eastAsia="Arial" w:hAnsi="Arial"/>
          <w:sz w:val="17"/>
          <w:szCs w:val="17"/>
          <w:color w:val="auto"/>
        </w:rPr>
        <w:t>SDG&amp;E’s purchased-power contracts have increased by $62 million since December 31, 2010. The increase is primarily due to extension of long-term renewable energy contracts and changes in expected prices. Net future payments are therefore expected to decrease by $2 million for 2011 and to increase by $1 million for 2012, $2 million for 2013, $2 million in 2014, $2 million in 2015 and $57 million thereafter compared to December 31, 2010.</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color w:val="auto"/>
        </w:rPr>
        <w:t>In connection with the acquisition of AEI’s interests in Chilquinta Energía and Luz del Sur, Sempra Pipelines &amp; Storage has additional purchased-power</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contracts with various dates extending through 2025, which cover most of the consumption needs of the customers of the companies. Future payments for the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purchased-power contracts at Luz del Sur are expected to be $192 million for 2011, $436 million for 2012, $477 million for 2013, $524 million for 2014,</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$577 million for 2015 and $4.7 billion thereafter. Future payments for the purchased-power contracts at Chilquinta Energía are expected to be $141 million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for 2011, $283 million for 2012, $306 million for 2013, $320 million for 2014, $355 million for 2015 and $3.1 billion thereafter. These amounts are based on</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estimated future purchases at current contracted rates, as the contracts require no minimum purchases.</w:t>
      </w: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Construction and Development Projects</w:t>
      </w:r>
    </w:p>
    <w:p>
      <w:pPr>
        <w:spacing w:after="0" w:line="205" w:lineRule="exact"/>
        <w:rPr>
          <w:sz w:val="20"/>
          <w:szCs w:val="20"/>
          <w:color w:val="auto"/>
        </w:rPr>
      </w:pPr>
    </w:p>
    <w:p>
      <w:pPr>
        <w:ind w:right="40"/>
        <w:spacing w:after="0" w:line="276" w:lineRule="auto"/>
        <w:rPr>
          <w:sz w:val="20"/>
          <w:szCs w:val="20"/>
          <w:color w:val="auto"/>
        </w:rPr>
      </w:pPr>
      <w:r>
        <w:rPr>
          <w:rFonts w:ascii="Arial" w:cs="Arial" w:eastAsia="Arial" w:hAnsi="Arial"/>
          <w:sz w:val="17"/>
          <w:szCs w:val="17"/>
          <w:color w:val="auto"/>
        </w:rPr>
        <w:t>In the first six months of 2011, significant increases to contractual commitments at SDG&amp;E were $23 million for costs related to the replacement of the steam generators and other construction projects at SONGS, $51 million for electric distribution systems, advanced metering infrastructure and electric generation plant and equipment and $313 million for engineering, material procurement and construction costs associated with the Sunrise Powerlink project. The future payments for these contractual commitments are expected to be $294 million for 2011, $67 million for 2012, $9 million for 2013, $4 million for 2014, $3 million for 2015 and $10 million thereafter compared to December 31, 2010.</w:t>
      </w:r>
    </w:p>
    <w:p>
      <w:pPr>
        <w:spacing w:after="0" w:line="173" w:lineRule="exact"/>
        <w:rPr>
          <w:sz w:val="20"/>
          <w:szCs w:val="20"/>
          <w:color w:val="auto"/>
        </w:rPr>
      </w:pPr>
    </w:p>
    <w:p>
      <w:pPr>
        <w:ind w:right="220"/>
        <w:spacing w:after="0" w:line="312" w:lineRule="auto"/>
        <w:rPr>
          <w:sz w:val="20"/>
          <w:szCs w:val="20"/>
          <w:color w:val="auto"/>
        </w:rPr>
      </w:pPr>
      <w:r>
        <w:rPr>
          <w:rFonts w:ascii="Arial" w:cs="Arial" w:eastAsia="Arial" w:hAnsi="Arial"/>
          <w:sz w:val="16"/>
          <w:szCs w:val="16"/>
          <w:color w:val="auto"/>
        </w:rPr>
        <w:t>In the first six months of 2011, significant increases to contractual commitments at SoCalGas were $345 million for construction and infrastructure improvements for natural gas transmission and distribution operations and advanced metering. The future payments for these contractual commitments are expected to be $29 million for 2011, $29 million for 2012, $62 million for 2013, $59 million for 2014, $59 million for 2015 and $107 million thereafter.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170815</wp:posOffset>
            </wp:positionV>
            <wp:extent cx="7263765"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383" w:lineRule="exact"/>
        <w:rPr>
          <w:sz w:val="20"/>
          <w:szCs w:val="20"/>
          <w:color w:val="auto"/>
        </w:rPr>
      </w:pPr>
    </w:p>
    <w:p>
      <w:pPr>
        <w:spacing w:after="0"/>
        <w:rPr>
          <w:sz w:val="20"/>
          <w:szCs w:val="20"/>
          <w:color w:val="auto"/>
        </w:rPr>
      </w:pPr>
      <w:r>
        <w:rPr>
          <w:rFonts w:ascii="Arial" w:cs="Arial" w:eastAsia="Arial" w:hAnsi="Arial"/>
          <w:sz w:val="20"/>
          <w:szCs w:val="20"/>
          <w:color w:val="auto"/>
        </w:rPr>
        <w:t>NOTE 11. SEGMENT INFORMATION</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color w:val="auto"/>
        </w:rPr>
        <w:t>We have five separately managed reportable segments, as follows:</w:t>
      </w:r>
    </w:p>
    <w:p>
      <w:pPr>
        <w:spacing w:after="0" w:line="225" w:lineRule="exact"/>
        <w:rPr>
          <w:sz w:val="20"/>
          <w:szCs w:val="20"/>
          <w:color w:val="auto"/>
        </w:rPr>
      </w:pPr>
    </w:p>
    <w:p>
      <w:pPr>
        <w:ind w:left="660" w:hanging="229"/>
        <w:spacing w:after="0"/>
        <w:tabs>
          <w:tab w:leader="none" w:pos="660" w:val="left"/>
        </w:tabs>
        <w:numPr>
          <w:ilvl w:val="0"/>
          <w:numId w:val="35"/>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SDG&amp;E </w:t>
      </w:r>
      <w:r>
        <w:rPr>
          <w:rFonts w:ascii="Arial" w:cs="Arial" w:eastAsia="Arial" w:hAnsi="Arial"/>
          <w:sz w:val="18"/>
          <w:szCs w:val="18"/>
          <w:color w:val="auto"/>
        </w:rPr>
        <w:t>provides electric service to San Diego and southern Orange counties and natural gas service to San Diego County.</w:t>
      </w:r>
    </w:p>
    <w:p>
      <w:pPr>
        <w:spacing w:after="0" w:line="252" w:lineRule="exact"/>
        <w:rPr>
          <w:rFonts w:ascii="Arial" w:cs="Arial" w:eastAsia="Arial" w:hAnsi="Arial"/>
          <w:sz w:val="18"/>
          <w:szCs w:val="18"/>
          <w:i w:val="1"/>
          <w:iCs w:val="1"/>
          <w:color w:val="auto"/>
        </w:rPr>
      </w:pPr>
    </w:p>
    <w:p>
      <w:pPr>
        <w:ind w:left="660" w:hanging="229"/>
        <w:spacing w:after="0"/>
        <w:tabs>
          <w:tab w:leader="none" w:pos="660" w:val="left"/>
        </w:tabs>
        <w:numPr>
          <w:ilvl w:val="0"/>
          <w:numId w:val="35"/>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SoCalGas </w:t>
      </w:r>
      <w:r>
        <w:rPr>
          <w:rFonts w:ascii="Arial" w:cs="Arial" w:eastAsia="Arial" w:hAnsi="Arial"/>
          <w:sz w:val="18"/>
          <w:szCs w:val="18"/>
          <w:color w:val="auto"/>
        </w:rPr>
        <w:t>is a natural gas distribution utility, serving customers throughout most of Southern California and part of central California.</w:t>
      </w:r>
    </w:p>
    <w:p>
      <w:pPr>
        <w:spacing w:after="0" w:line="252" w:lineRule="exact"/>
        <w:rPr>
          <w:rFonts w:ascii="Arial" w:cs="Arial" w:eastAsia="Arial" w:hAnsi="Arial"/>
          <w:sz w:val="18"/>
          <w:szCs w:val="18"/>
          <w:i w:val="1"/>
          <w:iCs w:val="1"/>
          <w:color w:val="auto"/>
        </w:rPr>
      </w:pPr>
    </w:p>
    <w:p>
      <w:pPr>
        <w:jc w:val="both"/>
        <w:ind w:left="660" w:hanging="229"/>
        <w:spacing w:after="0" w:line="286" w:lineRule="auto"/>
        <w:tabs>
          <w:tab w:leader="none" w:pos="660" w:val="left"/>
        </w:tabs>
        <w:numPr>
          <w:ilvl w:val="0"/>
          <w:numId w:val="35"/>
        </w:numPr>
        <w:rPr>
          <w:rFonts w:ascii="Arial" w:cs="Arial" w:eastAsia="Arial" w:hAnsi="Arial"/>
          <w:sz w:val="17"/>
          <w:szCs w:val="17"/>
          <w:i w:val="1"/>
          <w:iCs w:val="1"/>
          <w:color w:val="auto"/>
        </w:rPr>
      </w:pPr>
      <w:r>
        <w:rPr>
          <w:rFonts w:ascii="Arial" w:cs="Arial" w:eastAsia="Arial" w:hAnsi="Arial"/>
          <w:sz w:val="17"/>
          <w:szCs w:val="17"/>
          <w:i w:val="1"/>
          <w:iCs w:val="1"/>
          <w:color w:val="auto"/>
        </w:rPr>
        <w:t xml:space="preserve">Sempra Generation </w:t>
      </w:r>
      <w:r>
        <w:rPr>
          <w:rFonts w:ascii="Arial" w:cs="Arial" w:eastAsia="Arial" w:hAnsi="Arial"/>
          <w:sz w:val="17"/>
          <w:szCs w:val="17"/>
          <w:color w:val="auto"/>
        </w:rPr>
        <w:t>develops, owns and operates, or holds interests in, electric power plants and energy projects in Arizona, California, Colorado,</w:t>
      </w:r>
      <w:r>
        <w:rPr>
          <w:rFonts w:ascii="Arial" w:cs="Arial" w:eastAsia="Arial" w:hAnsi="Arial"/>
          <w:sz w:val="17"/>
          <w:szCs w:val="17"/>
          <w:i w:val="1"/>
          <w:iCs w:val="1"/>
          <w:color w:val="auto"/>
        </w:rPr>
        <w:t xml:space="preserve"> </w:t>
      </w:r>
      <w:r>
        <w:rPr>
          <w:rFonts w:ascii="Arial" w:cs="Arial" w:eastAsia="Arial" w:hAnsi="Arial"/>
          <w:sz w:val="17"/>
          <w:szCs w:val="17"/>
          <w:color w:val="auto"/>
        </w:rPr>
        <w:t>Nevada, Indiana, Hawaii and Mexico to serve wholesale electricity markets in the United States and Mexico. Sempra Generation also includes the operating results of Sempra Rockies Marketing, which holds firm service capacity on the Rockies Express Pipeline.</w:t>
      </w:r>
    </w:p>
    <w:p>
      <w:pPr>
        <w:spacing w:after="0" w:line="192" w:lineRule="exact"/>
        <w:rPr>
          <w:rFonts w:ascii="Arial" w:cs="Arial" w:eastAsia="Arial" w:hAnsi="Arial"/>
          <w:sz w:val="17"/>
          <w:szCs w:val="17"/>
          <w:i w:val="1"/>
          <w:iCs w:val="1"/>
          <w:color w:val="auto"/>
        </w:rPr>
      </w:pPr>
    </w:p>
    <w:p>
      <w:pPr>
        <w:jc w:val="both"/>
        <w:ind w:left="660" w:hanging="229"/>
        <w:spacing w:after="0" w:line="342" w:lineRule="auto"/>
        <w:tabs>
          <w:tab w:leader="none" w:pos="660" w:val="left"/>
        </w:tabs>
        <w:numPr>
          <w:ilvl w:val="0"/>
          <w:numId w:val="35"/>
        </w:numPr>
        <w:rPr>
          <w:rFonts w:ascii="Arial" w:cs="Arial" w:eastAsia="Arial" w:hAnsi="Arial"/>
          <w:sz w:val="16"/>
          <w:szCs w:val="16"/>
          <w:i w:val="1"/>
          <w:iCs w:val="1"/>
          <w:color w:val="auto"/>
        </w:rPr>
      </w:pPr>
      <w:r>
        <w:rPr>
          <w:rFonts w:ascii="Arial" w:cs="Arial" w:eastAsia="Arial" w:hAnsi="Arial"/>
          <w:sz w:val="16"/>
          <w:szCs w:val="16"/>
          <w:i w:val="1"/>
          <w:iCs w:val="1"/>
          <w:color w:val="auto"/>
        </w:rPr>
        <w:t xml:space="preserve">Sempra Pipelines &amp; Storage </w:t>
      </w:r>
      <w:r>
        <w:rPr>
          <w:rFonts w:ascii="Arial" w:cs="Arial" w:eastAsia="Arial" w:hAnsi="Arial"/>
          <w:sz w:val="16"/>
          <w:szCs w:val="16"/>
          <w:color w:val="auto"/>
        </w:rPr>
        <w:t>develops, owns and operates, or holds interests in, natural gas and propane pipelines and natural gas storage facilities in</w:t>
      </w:r>
      <w:r>
        <w:rPr>
          <w:rFonts w:ascii="Arial" w:cs="Arial" w:eastAsia="Arial" w:hAnsi="Arial"/>
          <w:sz w:val="16"/>
          <w:szCs w:val="16"/>
          <w:i w:val="1"/>
          <w:iCs w:val="1"/>
          <w:color w:val="auto"/>
        </w:rPr>
        <w:t xml:space="preserve"> </w:t>
      </w:r>
      <w:r>
        <w:rPr>
          <w:rFonts w:ascii="Arial" w:cs="Arial" w:eastAsia="Arial" w:hAnsi="Arial"/>
          <w:sz w:val="16"/>
          <w:szCs w:val="16"/>
          <w:color w:val="auto"/>
        </w:rPr>
        <w:t>the United States and Mexico, and companies that provide natural gas or electricity services in Argentina, Chile, Mexico and Peru. We are currently</w:t>
      </w:r>
    </w:p>
    <w:p>
      <w:pPr>
        <w:sectPr>
          <w:pgSz w:w="11900" w:h="16962" w:orient="portrait"/>
          <w:cols w:equalWidth="0" w:num="1">
            <w:col w:w="11420"/>
          </w:cols>
          <w:pgMar w:left="240" w:top="576" w:right="239" w:bottom="0" w:gutter="0" w:footer="0" w:header="0"/>
        </w:sectPr>
      </w:pPr>
    </w:p>
    <w:bookmarkStart w:id="48" w:name="page49"/>
    <w:bookmarkEnd w:id="48"/>
    <w:p>
      <w:pPr>
        <w:ind w:left="660"/>
        <w:spacing w:after="0" w:line="277" w:lineRule="auto"/>
        <w:rPr>
          <w:sz w:val="20"/>
          <w:szCs w:val="20"/>
          <w:color w:val="auto"/>
        </w:rPr>
      </w:pPr>
      <w:r>
        <w:rPr>
          <w:rFonts w:ascii="Arial" w:cs="Arial" w:eastAsia="Arial" w:hAnsi="Arial"/>
          <w:sz w:val="18"/>
          <w:szCs w:val="18"/>
          <w:color w:val="auto"/>
        </w:rPr>
        <w:t>pursuing the sale of our interests in the Argentine utilities, which we discuss further in Note 4 of the Notes to Consolidated Financial Statements in the Annual Report. Sempra Pipelines &amp; Storage also operates a natural gas distribution utility in Alabama.</w:t>
      </w:r>
    </w:p>
    <w:p>
      <w:pPr>
        <w:spacing w:after="0" w:line="19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April 2011, Sempra Pipelines &amp; Storage increased its interests in Chile and Peru, as we discuss in Note 3.</w:t>
      </w:r>
    </w:p>
    <w:p>
      <w:pPr>
        <w:spacing w:after="0" w:line="198" w:lineRule="exact"/>
        <w:rPr>
          <w:sz w:val="20"/>
          <w:szCs w:val="20"/>
          <w:color w:val="auto"/>
        </w:rPr>
      </w:pPr>
    </w:p>
    <w:p>
      <w:pPr>
        <w:ind w:left="660" w:hanging="229"/>
        <w:spacing w:after="0" w:line="277" w:lineRule="auto"/>
        <w:tabs>
          <w:tab w:leader="none" w:pos="660" w:val="left"/>
        </w:tabs>
        <w:numPr>
          <w:ilvl w:val="0"/>
          <w:numId w:val="36"/>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Sempra LNG </w:t>
      </w:r>
      <w:r>
        <w:rPr>
          <w:rFonts w:ascii="Arial" w:cs="Arial" w:eastAsia="Arial" w:hAnsi="Arial"/>
          <w:sz w:val="18"/>
          <w:szCs w:val="18"/>
          <w:color w:val="auto"/>
        </w:rPr>
        <w:t>develops, owns and operates receipt terminals for importing LNG into the U.S. and Mexico, and has supply and marketing agreements</w:t>
      </w:r>
      <w:r>
        <w:rPr>
          <w:rFonts w:ascii="Arial" w:cs="Arial" w:eastAsia="Arial" w:hAnsi="Arial"/>
          <w:sz w:val="18"/>
          <w:szCs w:val="18"/>
          <w:i w:val="1"/>
          <w:iCs w:val="1"/>
          <w:color w:val="auto"/>
        </w:rPr>
        <w:t xml:space="preserve"> </w:t>
      </w:r>
      <w:r>
        <w:rPr>
          <w:rFonts w:ascii="Arial" w:cs="Arial" w:eastAsia="Arial" w:hAnsi="Arial"/>
          <w:sz w:val="18"/>
          <w:szCs w:val="18"/>
          <w:color w:val="auto"/>
        </w:rPr>
        <w:t>to purchase and sell LNG and natural gas.</w:t>
      </w:r>
    </w:p>
    <w:p>
      <w:pPr>
        <w:spacing w:after="0" w:line="197" w:lineRule="exact"/>
        <w:rPr>
          <w:sz w:val="20"/>
          <w:szCs w:val="20"/>
          <w:color w:val="auto"/>
        </w:rPr>
      </w:pPr>
    </w:p>
    <w:p>
      <w:pPr>
        <w:ind w:right="40"/>
        <w:spacing w:after="0" w:line="312" w:lineRule="auto"/>
        <w:rPr>
          <w:sz w:val="20"/>
          <w:szCs w:val="20"/>
          <w:color w:val="auto"/>
        </w:rPr>
      </w:pPr>
      <w:r>
        <w:rPr>
          <w:rFonts w:ascii="Arial" w:cs="Arial" w:eastAsia="Arial" w:hAnsi="Arial"/>
          <w:sz w:val="16"/>
          <w:szCs w:val="16"/>
          <w:color w:val="auto"/>
        </w:rPr>
        <w:t>We evaluate each segment's performance based on its contribution to Sempra Energy's reported earnings. The Sempra Utilities operate in essentially separate service territories, under separate regulatory frameworks and rate structures set by the CPUC. The Sempra Utilities' operations are based on rates set by the CPUC and the FERC. We describe the accounting policies of our segments in Note 1 of the Notes to Consolidated Financial Statements in the Annual Report.</w:t>
      </w:r>
    </w:p>
    <w:p>
      <w:pPr>
        <w:spacing w:after="0" w:line="147"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Prior to 2011, our Sempra Commodities segment contained our investment in RBS Sempra Commodities LLP (RBS Sempra Commodities), which held commodities-marketing businesses previously owned by us. Our investment in the partnership is reported on the equity method. We and RBS, our partner in the joint venture, sold substantially all of the partnership’s businesses and assets in four separate transactions completed in July, November and December of 2010 and February of 2011. We discuss these transactions and other matters concerning the partnership in Note 4 above and in Note 4 of the Notes to Consolidated Financial Statements in the Annual Report.</w:t>
      </w:r>
    </w:p>
    <w:p>
      <w:pPr>
        <w:spacing w:after="0" w:line="188"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The activity in the partnership no longer meets the quantitative thresholds that require Sempra Commodities to be reported as a reportable segment under applicable GAAP, and we do not consider the remaining wind-down activities of the partnership to be of continuing significance. As a result, effective January 1, 2011, we are reporting the former Sempra Commodities segment in "All other" in the following tables and have restated prior year information to be consistent with this treatment.</w:t>
      </w:r>
    </w:p>
    <w:p>
      <w:pPr>
        <w:spacing w:after="0" w:line="187" w:lineRule="exact"/>
        <w:rPr>
          <w:sz w:val="20"/>
          <w:szCs w:val="20"/>
          <w:color w:val="auto"/>
        </w:rPr>
      </w:pPr>
    </w:p>
    <w:p>
      <w:pPr>
        <w:ind w:right="460"/>
        <w:spacing w:after="0" w:line="342" w:lineRule="auto"/>
        <w:rPr>
          <w:sz w:val="20"/>
          <w:szCs w:val="20"/>
          <w:color w:val="auto"/>
        </w:rPr>
      </w:pPr>
      <w:r>
        <w:rPr>
          <w:rFonts w:ascii="Arial" w:cs="Arial" w:eastAsia="Arial" w:hAnsi="Arial"/>
          <w:sz w:val="16"/>
          <w:szCs w:val="16"/>
          <w:color w:val="auto"/>
        </w:rPr>
        <w:t>Also, in the fourth quarter of 2010, we changed the composition of our reporting segments to include Sempra Rockies Marketing, which was previously included in the Sempra Commodities segment, in the Sempra Generation segment. We have revised segment disclosures for 2010 to reflect this.</w:t>
      </w:r>
    </w:p>
    <w:p>
      <w:pPr>
        <w:spacing w:after="0" w:line="124" w:lineRule="exact"/>
        <w:rPr>
          <w:sz w:val="20"/>
          <w:szCs w:val="20"/>
          <w:color w:val="auto"/>
        </w:rPr>
      </w:pPr>
    </w:p>
    <w:p>
      <w:pPr>
        <w:ind w:right="480"/>
        <w:spacing w:after="0" w:line="264" w:lineRule="auto"/>
        <w:rPr>
          <w:sz w:val="20"/>
          <w:szCs w:val="20"/>
          <w:color w:val="auto"/>
        </w:rPr>
      </w:pPr>
      <w:r>
        <w:rPr>
          <w:rFonts w:ascii="Arial" w:cs="Arial" w:eastAsia="Arial" w:hAnsi="Arial"/>
          <w:sz w:val="18"/>
          <w:szCs w:val="18"/>
          <w:color w:val="auto"/>
        </w:rPr>
        <w:t>The following tables show selected information by segment from our Condensed Consolidated Statements of Operations and Condensed Consolidated Balance Sheets. Amounts labeled as "All other" in the following tables consist primarily of parent organizations and the former commodities-marketing businesses.</w:t>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SEGMENT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-104775</wp:posOffset>
            </wp:positionV>
            <wp:extent cx="7246620" cy="22288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46620" cy="222885"/>
                    </a:xfrm>
                    <a:prstGeom prst="rect">
                      <a:avLst/>
                    </a:prstGeom>
                    <a:noFill/>
                  </pic:spPr>
                </pic:pic>
              </a:graphicData>
            </a:graphic>
          </wp:anchor>
        </w:drawing>
      </w: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880" w:type="dxa"/>
            <w:vAlign w:val="bottom"/>
            <w:gridSpan w:val="2"/>
          </w:tcPr>
          <w:p>
            <w:pPr>
              <w:spacing w:after="0"/>
              <w:rPr>
                <w:sz w:val="20"/>
                <w:szCs w:val="20"/>
                <w:color w:val="auto"/>
              </w:rPr>
            </w:pPr>
            <w:r>
              <w:rPr>
                <w:rFonts w:ascii="Arial" w:cs="Arial" w:eastAsia="Arial" w:hAnsi="Arial"/>
                <w:sz w:val="14"/>
                <w:szCs w:val="14"/>
                <w:i w:val="1"/>
                <w:iCs w:val="1"/>
                <w:color w:val="auto"/>
              </w:rPr>
              <w:t>(Dollars in millions)</w:t>
            </w:r>
          </w:p>
        </w:tc>
        <w:tc>
          <w:tcPr>
            <w:tcW w:w="340" w:type="dxa"/>
            <w:vAlign w:val="bottom"/>
            <w:shd w:val="clear" w:color="auto" w:fill="C0C0C0"/>
          </w:tcPr>
          <w:p>
            <w:pPr>
              <w:spacing w:after="0"/>
              <w:rPr>
                <w:sz w:val="14"/>
                <w:szCs w:val="14"/>
                <w:color w:val="auto"/>
              </w:rPr>
            </w:pPr>
          </w:p>
        </w:tc>
        <w:tc>
          <w:tcPr>
            <w:tcW w:w="860" w:type="dxa"/>
            <w:vAlign w:val="bottom"/>
            <w:shd w:val="clear" w:color="auto" w:fill="C0C0C0"/>
          </w:tcPr>
          <w:p>
            <w:pPr>
              <w:spacing w:after="0"/>
              <w:rPr>
                <w:sz w:val="14"/>
                <w:szCs w:val="14"/>
                <w:color w:val="auto"/>
              </w:rPr>
            </w:pPr>
          </w:p>
        </w:tc>
        <w:tc>
          <w:tcPr>
            <w:tcW w:w="600" w:type="dxa"/>
            <w:vAlign w:val="bottom"/>
            <w:shd w:val="clear" w:color="auto" w:fill="C0C0C0"/>
          </w:tcPr>
          <w:p>
            <w:pPr>
              <w:spacing w:after="0"/>
              <w:rPr>
                <w:sz w:val="14"/>
                <w:szCs w:val="14"/>
                <w:color w:val="auto"/>
              </w:rPr>
            </w:pPr>
          </w:p>
        </w:tc>
        <w:tc>
          <w:tcPr>
            <w:tcW w:w="240" w:type="dxa"/>
            <w:vAlign w:val="bottom"/>
            <w:shd w:val="clear" w:color="auto" w:fill="C0C0C0"/>
          </w:tcPr>
          <w:p>
            <w:pPr>
              <w:spacing w:after="0"/>
              <w:rPr>
                <w:sz w:val="14"/>
                <w:szCs w:val="14"/>
                <w:color w:val="auto"/>
              </w:rPr>
            </w:pPr>
          </w:p>
        </w:tc>
        <w:tc>
          <w:tcPr>
            <w:tcW w:w="420" w:type="dxa"/>
            <w:vAlign w:val="bottom"/>
            <w:shd w:val="clear" w:color="auto" w:fill="C0C0C0"/>
          </w:tcPr>
          <w:p>
            <w:pPr>
              <w:spacing w:after="0"/>
              <w:rPr>
                <w:sz w:val="14"/>
                <w:szCs w:val="14"/>
                <w:color w:val="auto"/>
              </w:rPr>
            </w:pPr>
          </w:p>
        </w:tc>
        <w:tc>
          <w:tcPr>
            <w:tcW w:w="1000" w:type="dxa"/>
            <w:vAlign w:val="bottom"/>
            <w:shd w:val="clear" w:color="auto" w:fill="C0C0C0"/>
          </w:tcPr>
          <w:p>
            <w:pPr>
              <w:spacing w:after="0"/>
              <w:rPr>
                <w:sz w:val="14"/>
                <w:szCs w:val="14"/>
                <w:color w:val="auto"/>
              </w:rPr>
            </w:pPr>
          </w:p>
        </w:tc>
        <w:tc>
          <w:tcPr>
            <w:tcW w:w="500" w:type="dxa"/>
            <w:vAlign w:val="bottom"/>
            <w:shd w:val="clear" w:color="auto" w:fill="C0C0C0"/>
          </w:tcPr>
          <w:p>
            <w:pPr>
              <w:spacing w:after="0"/>
              <w:rPr>
                <w:sz w:val="14"/>
                <w:szCs w:val="14"/>
                <w:color w:val="auto"/>
              </w:rPr>
            </w:pPr>
          </w:p>
        </w:tc>
        <w:tc>
          <w:tcPr>
            <w:tcW w:w="320" w:type="dxa"/>
            <w:vAlign w:val="bottom"/>
            <w:shd w:val="clear" w:color="auto" w:fill="C0C0C0"/>
          </w:tcPr>
          <w:p>
            <w:pPr>
              <w:spacing w:after="0"/>
              <w:rPr>
                <w:sz w:val="14"/>
                <w:szCs w:val="14"/>
                <w:color w:val="auto"/>
              </w:rPr>
            </w:pPr>
          </w:p>
        </w:tc>
        <w:tc>
          <w:tcPr>
            <w:tcW w:w="420" w:type="dxa"/>
            <w:vAlign w:val="bottom"/>
            <w:shd w:val="clear" w:color="auto" w:fill="C0C0C0"/>
          </w:tcPr>
          <w:p>
            <w:pPr>
              <w:spacing w:after="0"/>
              <w:rPr>
                <w:sz w:val="14"/>
                <w:szCs w:val="14"/>
                <w:color w:val="auto"/>
              </w:rPr>
            </w:pPr>
          </w:p>
        </w:tc>
        <w:tc>
          <w:tcPr>
            <w:tcW w:w="840" w:type="dxa"/>
            <w:vAlign w:val="bottom"/>
            <w:shd w:val="clear" w:color="auto" w:fill="C0C0C0"/>
          </w:tcPr>
          <w:p>
            <w:pPr>
              <w:spacing w:after="0"/>
              <w:rPr>
                <w:sz w:val="14"/>
                <w:szCs w:val="14"/>
                <w:color w:val="auto"/>
              </w:rPr>
            </w:pPr>
          </w:p>
        </w:tc>
        <w:tc>
          <w:tcPr>
            <w:tcW w:w="520" w:type="dxa"/>
            <w:vAlign w:val="bottom"/>
            <w:shd w:val="clear" w:color="auto" w:fill="C0C0C0"/>
          </w:tcPr>
          <w:p>
            <w:pPr>
              <w:spacing w:after="0"/>
              <w:rPr>
                <w:sz w:val="14"/>
                <w:szCs w:val="14"/>
                <w:color w:val="auto"/>
              </w:rPr>
            </w:pPr>
          </w:p>
        </w:tc>
        <w:tc>
          <w:tcPr>
            <w:tcW w:w="260" w:type="dxa"/>
            <w:vAlign w:val="bottom"/>
            <w:shd w:val="clear" w:color="auto" w:fill="C0C0C0"/>
          </w:tcPr>
          <w:p>
            <w:pPr>
              <w:spacing w:after="0"/>
              <w:rPr>
                <w:sz w:val="14"/>
                <w:szCs w:val="14"/>
                <w:color w:val="auto"/>
              </w:rPr>
            </w:pPr>
          </w:p>
        </w:tc>
        <w:tc>
          <w:tcPr>
            <w:tcW w:w="400" w:type="dxa"/>
            <w:vAlign w:val="bottom"/>
            <w:shd w:val="clear" w:color="auto" w:fill="C0C0C0"/>
          </w:tcPr>
          <w:p>
            <w:pPr>
              <w:spacing w:after="0"/>
              <w:rPr>
                <w:sz w:val="14"/>
                <w:szCs w:val="14"/>
                <w:color w:val="auto"/>
              </w:rPr>
            </w:pPr>
          </w:p>
        </w:tc>
        <w:tc>
          <w:tcPr>
            <w:tcW w:w="940" w:type="dxa"/>
            <w:vAlign w:val="bottom"/>
            <w:shd w:val="clear" w:color="auto" w:fill="C0C0C0"/>
          </w:tcPr>
          <w:p>
            <w:pPr>
              <w:spacing w:after="0"/>
              <w:rPr>
                <w:sz w:val="14"/>
                <w:szCs w:val="14"/>
                <w:color w:val="auto"/>
              </w:rPr>
            </w:pPr>
          </w:p>
        </w:tc>
        <w:tc>
          <w:tcPr>
            <w:tcW w:w="480" w:type="dxa"/>
            <w:vAlign w:val="bottom"/>
            <w:shd w:val="clear" w:color="auto" w:fill="C0C0C0"/>
          </w:tcPr>
          <w:p>
            <w:pPr>
              <w:spacing w:after="0"/>
              <w:rPr>
                <w:sz w:val="14"/>
                <w:szCs w:val="14"/>
                <w:color w:val="auto"/>
              </w:rPr>
            </w:pPr>
          </w:p>
        </w:tc>
        <w:tc>
          <w:tcPr>
            <w:tcW w:w="400" w:type="dxa"/>
            <w:vAlign w:val="bottom"/>
            <w:shd w:val="clear" w:color="auto" w:fill="C0C0C0"/>
          </w:tcPr>
          <w:p>
            <w:pPr>
              <w:spacing w:after="0"/>
              <w:rPr>
                <w:sz w:val="14"/>
                <w:szCs w:val="14"/>
                <w:color w:val="auto"/>
              </w:rPr>
            </w:pPr>
          </w:p>
        </w:tc>
      </w:tr>
      <w:tr>
        <w:trPr>
          <w:trHeight w:val="169"/>
        </w:trPr>
        <w:tc>
          <w:tcPr>
            <w:tcW w:w="20" w:type="dxa"/>
            <w:vAlign w:val="bottom"/>
          </w:tcPr>
          <w:p>
            <w:pPr>
              <w:spacing w:after="0"/>
              <w:rPr>
                <w:sz w:val="14"/>
                <w:szCs w:val="14"/>
                <w:color w:val="auto"/>
              </w:rPr>
            </w:pPr>
          </w:p>
        </w:tc>
        <w:tc>
          <w:tcPr>
            <w:tcW w:w="286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2260" w:type="dxa"/>
            <w:vAlign w:val="bottom"/>
            <w:tcBorders>
              <w:bottom w:val="single" w:sz="8" w:color="auto"/>
            </w:tcBorders>
            <w:gridSpan w:val="4"/>
          </w:tcPr>
          <w:p>
            <w:pPr>
              <w:jc w:val="right"/>
              <w:ind w:right="239"/>
              <w:spacing w:after="0"/>
              <w:rPr>
                <w:sz w:val="20"/>
                <w:szCs w:val="20"/>
                <w:color w:val="auto"/>
              </w:rPr>
            </w:pPr>
            <w:r>
              <w:rPr>
                <w:rFonts w:ascii="Arial" w:cs="Arial" w:eastAsia="Arial" w:hAnsi="Arial"/>
                <w:sz w:val="14"/>
                <w:szCs w:val="14"/>
                <w:color w:val="auto"/>
              </w:rPr>
              <w:t>Three months ended June 30,</w:t>
            </w:r>
          </w:p>
        </w:tc>
        <w:tc>
          <w:tcPr>
            <w:tcW w:w="50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2120" w:type="dxa"/>
            <w:vAlign w:val="bottom"/>
            <w:tcBorders>
              <w:bottom w:val="single" w:sz="8" w:color="auto"/>
            </w:tcBorders>
            <w:gridSpan w:val="4"/>
          </w:tcPr>
          <w:p>
            <w:pPr>
              <w:jc w:val="right"/>
              <w:ind w:right="259"/>
              <w:spacing w:after="0"/>
              <w:rPr>
                <w:sz w:val="20"/>
                <w:szCs w:val="20"/>
                <w:color w:val="auto"/>
              </w:rPr>
            </w:pPr>
            <w:r>
              <w:rPr>
                <w:rFonts w:ascii="Arial" w:cs="Arial" w:eastAsia="Arial" w:hAnsi="Arial"/>
                <w:sz w:val="14"/>
                <w:szCs w:val="14"/>
                <w:color w:val="auto"/>
              </w:rPr>
              <w:t>Six months ended June 30,</w:t>
            </w:r>
          </w:p>
        </w:tc>
        <w:tc>
          <w:tcPr>
            <w:tcW w:w="48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r>
      <w:tr>
        <w:trPr>
          <w:trHeight w:val="183"/>
        </w:trPr>
        <w:tc>
          <w:tcPr>
            <w:tcW w:w="20" w:type="dxa"/>
            <w:vAlign w:val="bottom"/>
          </w:tcPr>
          <w:p>
            <w:pPr>
              <w:spacing w:after="0"/>
              <w:rPr>
                <w:sz w:val="15"/>
                <w:szCs w:val="15"/>
                <w:color w:val="auto"/>
              </w:rPr>
            </w:pPr>
          </w:p>
        </w:tc>
        <w:tc>
          <w:tcPr>
            <w:tcW w:w="286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2011</w:t>
            </w:r>
          </w:p>
        </w:tc>
        <w:tc>
          <w:tcPr>
            <w:tcW w:w="60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19"/>
              <w:spacing w:after="0"/>
              <w:rPr>
                <w:sz w:val="20"/>
                <w:szCs w:val="20"/>
                <w:color w:val="auto"/>
              </w:rPr>
            </w:pPr>
            <w:r>
              <w:rPr>
                <w:rFonts w:ascii="Arial" w:cs="Arial" w:eastAsia="Arial" w:hAnsi="Arial"/>
                <w:sz w:val="14"/>
                <w:szCs w:val="14"/>
                <w:color w:val="auto"/>
              </w:rPr>
              <w:t>2010</w:t>
            </w:r>
          </w:p>
        </w:tc>
        <w:tc>
          <w:tcPr>
            <w:tcW w:w="50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2011</w:t>
            </w:r>
          </w:p>
        </w:tc>
        <w:tc>
          <w:tcPr>
            <w:tcW w:w="52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2010</w:t>
            </w:r>
          </w:p>
        </w:tc>
        <w:tc>
          <w:tcPr>
            <w:tcW w:w="48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r>
      <w:tr>
        <w:trPr>
          <w:trHeight w:val="164"/>
        </w:trPr>
        <w:tc>
          <w:tcPr>
            <w:tcW w:w="20" w:type="dxa"/>
            <w:vAlign w:val="bottom"/>
          </w:tcPr>
          <w:p>
            <w:pPr>
              <w:spacing w:after="0"/>
              <w:rPr>
                <w:sz w:val="14"/>
                <w:szCs w:val="14"/>
                <w:color w:val="auto"/>
              </w:rPr>
            </w:pPr>
          </w:p>
        </w:tc>
        <w:tc>
          <w:tcPr>
            <w:tcW w:w="2860" w:type="dxa"/>
            <w:vAlign w:val="bottom"/>
          </w:tcPr>
          <w:p>
            <w:pPr>
              <w:spacing w:after="0" w:line="164" w:lineRule="exact"/>
              <w:rPr>
                <w:sz w:val="20"/>
                <w:szCs w:val="20"/>
                <w:color w:val="auto"/>
              </w:rPr>
            </w:pPr>
            <w:r>
              <w:rPr>
                <w:rFonts w:ascii="Arial" w:cs="Arial" w:eastAsia="Arial" w:hAnsi="Arial"/>
                <w:sz w:val="16"/>
                <w:szCs w:val="16"/>
                <w:color w:val="auto"/>
              </w:rPr>
              <w:t>REVENUES</w:t>
            </w:r>
          </w:p>
        </w:tc>
        <w:tc>
          <w:tcPr>
            <w:tcW w:w="3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00" w:type="dxa"/>
            <w:vAlign w:val="bottom"/>
          </w:tcPr>
          <w:p>
            <w:pPr>
              <w:spacing w:after="0"/>
              <w:rPr>
                <w:sz w:val="14"/>
                <w:szCs w:val="14"/>
                <w:color w:val="auto"/>
              </w:rPr>
            </w:pPr>
          </w:p>
        </w:tc>
      </w:tr>
      <w:tr>
        <w:trPr>
          <w:trHeight w:val="176"/>
        </w:trPr>
        <w:tc>
          <w:tcPr>
            <w:tcW w:w="20" w:type="dxa"/>
            <w:vAlign w:val="bottom"/>
          </w:tcPr>
          <w:p>
            <w:pPr>
              <w:spacing w:after="0"/>
              <w:rPr>
                <w:sz w:val="15"/>
                <w:szCs w:val="15"/>
                <w:color w:val="auto"/>
              </w:rPr>
            </w:pPr>
          </w:p>
        </w:tc>
        <w:tc>
          <w:tcPr>
            <w:tcW w:w="2860" w:type="dxa"/>
            <w:vAlign w:val="bottom"/>
          </w:tcPr>
          <w:p>
            <w:pPr>
              <w:ind w:left="80"/>
              <w:spacing w:after="0" w:line="176" w:lineRule="exact"/>
              <w:rPr>
                <w:sz w:val="20"/>
                <w:szCs w:val="20"/>
                <w:color w:val="auto"/>
              </w:rPr>
            </w:pPr>
            <w:r>
              <w:rPr>
                <w:rFonts w:ascii="Arial" w:cs="Arial" w:eastAsia="Arial" w:hAnsi="Arial"/>
                <w:sz w:val="16"/>
                <w:szCs w:val="16"/>
                <w:color w:val="auto"/>
              </w:rPr>
              <w:t>SDG&amp;E</w:t>
            </w:r>
          </w:p>
        </w:tc>
        <w:tc>
          <w:tcPr>
            <w:tcW w:w="340" w:type="dxa"/>
            <w:vAlign w:val="bottom"/>
          </w:tcPr>
          <w:p>
            <w:pPr>
              <w:jc w:val="right"/>
              <w:ind w:right="184"/>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ind w:right="120"/>
              <w:spacing w:after="0" w:line="176" w:lineRule="exact"/>
              <w:rPr>
                <w:sz w:val="20"/>
                <w:szCs w:val="20"/>
                <w:color w:val="auto"/>
              </w:rPr>
            </w:pPr>
            <w:r>
              <w:rPr>
                <w:rFonts w:ascii="Arial" w:cs="Arial" w:eastAsia="Arial" w:hAnsi="Arial"/>
                <w:sz w:val="16"/>
                <w:szCs w:val="16"/>
                <w:color w:val="auto"/>
              </w:rPr>
              <w:t>697</w:t>
            </w:r>
          </w:p>
        </w:tc>
        <w:tc>
          <w:tcPr>
            <w:tcW w:w="600" w:type="dxa"/>
            <w:vAlign w:val="bottom"/>
          </w:tcPr>
          <w:p>
            <w:pPr>
              <w:jc w:val="right"/>
              <w:ind w:right="20"/>
              <w:spacing w:after="0" w:line="176" w:lineRule="exact"/>
              <w:rPr>
                <w:sz w:val="20"/>
                <w:szCs w:val="20"/>
                <w:color w:val="auto"/>
              </w:rPr>
            </w:pPr>
            <w:r>
              <w:rPr>
                <w:rFonts w:ascii="Arial" w:cs="Arial" w:eastAsia="Arial" w:hAnsi="Arial"/>
                <w:sz w:val="16"/>
                <w:szCs w:val="16"/>
                <w:color w:val="auto"/>
              </w:rPr>
              <w:t>29</w:t>
            </w:r>
          </w:p>
        </w:tc>
        <w:tc>
          <w:tcPr>
            <w:tcW w:w="660" w:type="dxa"/>
            <w:vAlign w:val="bottom"/>
            <w:gridSpan w:val="2"/>
          </w:tcPr>
          <w:p>
            <w:pPr>
              <w:jc w:val="right"/>
              <w:ind w:right="199"/>
              <w:spacing w:after="0" w:line="176" w:lineRule="exact"/>
              <w:rPr>
                <w:sz w:val="20"/>
                <w:szCs w:val="20"/>
                <w:color w:val="auto"/>
              </w:rPr>
            </w:pPr>
            <w:r>
              <w:rPr>
                <w:rFonts w:ascii="Arial" w:cs="Arial" w:eastAsia="Arial" w:hAnsi="Arial"/>
                <w:sz w:val="16"/>
                <w:szCs w:val="16"/>
                <w:color w:val="auto"/>
              </w:rPr>
              <w:t>% $</w:t>
            </w:r>
          </w:p>
        </w:tc>
        <w:tc>
          <w:tcPr>
            <w:tcW w:w="1000" w:type="dxa"/>
            <w:vAlign w:val="bottom"/>
          </w:tcPr>
          <w:p>
            <w:pPr>
              <w:jc w:val="right"/>
              <w:ind w:right="259"/>
              <w:spacing w:after="0" w:line="176" w:lineRule="exact"/>
              <w:rPr>
                <w:sz w:val="20"/>
                <w:szCs w:val="20"/>
                <w:color w:val="auto"/>
              </w:rPr>
            </w:pPr>
            <w:r>
              <w:rPr>
                <w:rFonts w:ascii="Arial" w:cs="Arial" w:eastAsia="Arial" w:hAnsi="Arial"/>
                <w:sz w:val="16"/>
                <w:szCs w:val="16"/>
                <w:color w:val="auto"/>
              </w:rPr>
              <w:t>692</w:t>
            </w:r>
          </w:p>
        </w:tc>
        <w:tc>
          <w:tcPr>
            <w:tcW w:w="500" w:type="dxa"/>
            <w:vAlign w:val="bottom"/>
          </w:tcPr>
          <w:p>
            <w:pPr>
              <w:jc w:val="right"/>
              <w:ind w:right="39"/>
              <w:spacing w:after="0" w:line="176" w:lineRule="exact"/>
              <w:rPr>
                <w:sz w:val="20"/>
                <w:szCs w:val="20"/>
                <w:color w:val="auto"/>
              </w:rPr>
            </w:pPr>
            <w:r>
              <w:rPr>
                <w:rFonts w:ascii="Arial" w:cs="Arial" w:eastAsia="Arial" w:hAnsi="Arial"/>
                <w:sz w:val="16"/>
                <w:szCs w:val="16"/>
                <w:color w:val="auto"/>
              </w:rPr>
              <w:t>34</w:t>
            </w:r>
          </w:p>
        </w:tc>
        <w:tc>
          <w:tcPr>
            <w:tcW w:w="320" w:type="dxa"/>
            <w:vAlign w:val="bottom"/>
          </w:tcPr>
          <w:p>
            <w:pPr>
              <w:jc w:val="right"/>
              <w:ind w:right="19"/>
              <w:spacing w:after="0" w:line="176" w:lineRule="exact"/>
              <w:rPr>
                <w:sz w:val="20"/>
                <w:szCs w:val="20"/>
                <w:color w:val="auto"/>
              </w:rPr>
            </w:pPr>
            <w:r>
              <w:rPr>
                <w:rFonts w:ascii="Arial" w:cs="Arial" w:eastAsia="Arial" w:hAnsi="Arial"/>
                <w:sz w:val="16"/>
                <w:szCs w:val="16"/>
                <w:color w:val="auto"/>
              </w:rPr>
              <w:t>%</w:t>
            </w:r>
          </w:p>
        </w:tc>
        <w:tc>
          <w:tcPr>
            <w:tcW w:w="420" w:type="dxa"/>
            <w:vAlign w:val="bottom"/>
          </w:tcPr>
          <w:p>
            <w:pPr>
              <w:jc w:val="right"/>
              <w:ind w:right="179"/>
              <w:spacing w:after="0" w:line="176" w:lineRule="exact"/>
              <w:rPr>
                <w:sz w:val="20"/>
                <w:szCs w:val="20"/>
                <w:color w:val="auto"/>
              </w:rPr>
            </w:pPr>
            <w:r>
              <w:rPr>
                <w:rFonts w:ascii="Arial" w:cs="Arial" w:eastAsia="Arial" w:hAnsi="Arial"/>
                <w:sz w:val="16"/>
                <w:szCs w:val="16"/>
                <w:color w:val="auto"/>
              </w:rPr>
              <w:t>$</w:t>
            </w:r>
          </w:p>
        </w:tc>
        <w:tc>
          <w:tcPr>
            <w:tcW w:w="840" w:type="dxa"/>
            <w:vAlign w:val="bottom"/>
          </w:tcPr>
          <w:p>
            <w:pPr>
              <w:jc w:val="right"/>
              <w:ind w:right="80"/>
              <w:spacing w:after="0" w:line="176" w:lineRule="exact"/>
              <w:rPr>
                <w:sz w:val="20"/>
                <w:szCs w:val="20"/>
                <w:color w:val="auto"/>
              </w:rPr>
            </w:pPr>
            <w:r>
              <w:rPr>
                <w:rFonts w:ascii="Arial" w:cs="Arial" w:eastAsia="Arial" w:hAnsi="Arial"/>
                <w:sz w:val="16"/>
                <w:szCs w:val="16"/>
                <w:color w:val="auto"/>
              </w:rPr>
              <w:t>1,537</w:t>
            </w:r>
          </w:p>
        </w:tc>
        <w:tc>
          <w:tcPr>
            <w:tcW w:w="520" w:type="dxa"/>
            <w:vAlign w:val="bottom"/>
          </w:tcPr>
          <w:p>
            <w:pPr>
              <w:jc w:val="right"/>
              <w:ind w:right="20"/>
              <w:spacing w:after="0" w:line="176" w:lineRule="exact"/>
              <w:rPr>
                <w:sz w:val="20"/>
                <w:szCs w:val="20"/>
                <w:color w:val="auto"/>
              </w:rPr>
            </w:pPr>
            <w:r>
              <w:rPr>
                <w:rFonts w:ascii="Arial" w:cs="Arial" w:eastAsia="Arial" w:hAnsi="Arial"/>
                <w:sz w:val="16"/>
                <w:szCs w:val="16"/>
                <w:color w:val="auto"/>
              </w:rPr>
              <w:t>32</w:t>
            </w:r>
          </w:p>
        </w:tc>
        <w:tc>
          <w:tcPr>
            <w:tcW w:w="660" w:type="dxa"/>
            <w:vAlign w:val="bottom"/>
            <w:gridSpan w:val="2"/>
          </w:tcPr>
          <w:p>
            <w:pPr>
              <w:jc w:val="right"/>
              <w:ind w:right="179"/>
              <w:spacing w:after="0" w:line="176" w:lineRule="exact"/>
              <w:rPr>
                <w:sz w:val="20"/>
                <w:szCs w:val="20"/>
                <w:color w:val="auto"/>
              </w:rPr>
            </w:pPr>
            <w:r>
              <w:rPr>
                <w:rFonts w:ascii="Arial" w:cs="Arial" w:eastAsia="Arial" w:hAnsi="Arial"/>
                <w:sz w:val="16"/>
                <w:szCs w:val="16"/>
                <w:color w:val="auto"/>
              </w:rPr>
              <w:t>% $</w:t>
            </w:r>
          </w:p>
        </w:tc>
        <w:tc>
          <w:tcPr>
            <w:tcW w:w="940" w:type="dxa"/>
            <w:vAlign w:val="bottom"/>
          </w:tcPr>
          <w:p>
            <w:pPr>
              <w:jc w:val="right"/>
              <w:ind w:right="179"/>
              <w:spacing w:after="0" w:line="176" w:lineRule="exact"/>
              <w:rPr>
                <w:sz w:val="20"/>
                <w:szCs w:val="20"/>
                <w:color w:val="auto"/>
              </w:rPr>
            </w:pPr>
            <w:r>
              <w:rPr>
                <w:rFonts w:ascii="Arial" w:cs="Arial" w:eastAsia="Arial" w:hAnsi="Arial"/>
                <w:sz w:val="16"/>
                <w:szCs w:val="16"/>
                <w:color w:val="auto"/>
              </w:rPr>
              <w:t>1,434</w:t>
            </w:r>
          </w:p>
        </w:tc>
        <w:tc>
          <w:tcPr>
            <w:tcW w:w="480" w:type="dxa"/>
            <w:vAlign w:val="bottom"/>
          </w:tcPr>
          <w:p>
            <w:pPr>
              <w:jc w:val="right"/>
              <w:ind w:right="59"/>
              <w:spacing w:after="0" w:line="176" w:lineRule="exact"/>
              <w:rPr>
                <w:sz w:val="20"/>
                <w:szCs w:val="20"/>
                <w:color w:val="auto"/>
              </w:rPr>
            </w:pPr>
            <w:r>
              <w:rPr>
                <w:rFonts w:ascii="Arial" w:cs="Arial" w:eastAsia="Arial" w:hAnsi="Arial"/>
                <w:sz w:val="16"/>
                <w:szCs w:val="16"/>
                <w:color w:val="auto"/>
              </w:rPr>
              <w:t>32</w:t>
            </w:r>
          </w:p>
        </w:tc>
        <w:tc>
          <w:tcPr>
            <w:tcW w:w="400" w:type="dxa"/>
            <w:vAlign w:val="bottom"/>
          </w:tcPr>
          <w:p>
            <w:pPr>
              <w:jc w:val="right"/>
              <w:ind w:right="99"/>
              <w:spacing w:after="0" w:line="176" w:lineRule="exact"/>
              <w:rPr>
                <w:sz w:val="20"/>
                <w:szCs w:val="20"/>
                <w:color w:val="auto"/>
              </w:rPr>
            </w:pPr>
            <w:r>
              <w:rPr>
                <w:rFonts w:ascii="Arial" w:cs="Arial" w:eastAsia="Arial" w:hAnsi="Arial"/>
                <w:sz w:val="16"/>
                <w:szCs w:val="16"/>
                <w:color w:val="auto"/>
              </w:rPr>
              <w:t>%</w:t>
            </w:r>
          </w:p>
        </w:tc>
      </w:tr>
      <w:tr>
        <w:trPr>
          <w:trHeight w:val="176"/>
        </w:trPr>
        <w:tc>
          <w:tcPr>
            <w:tcW w:w="20" w:type="dxa"/>
            <w:vAlign w:val="bottom"/>
          </w:tcPr>
          <w:p>
            <w:pPr>
              <w:spacing w:after="0"/>
              <w:rPr>
                <w:sz w:val="15"/>
                <w:szCs w:val="15"/>
                <w:color w:val="auto"/>
              </w:rPr>
            </w:pPr>
          </w:p>
        </w:tc>
        <w:tc>
          <w:tcPr>
            <w:tcW w:w="2860" w:type="dxa"/>
            <w:vAlign w:val="bottom"/>
          </w:tcPr>
          <w:p>
            <w:pPr>
              <w:ind w:left="80"/>
              <w:spacing w:after="0" w:line="176" w:lineRule="exact"/>
              <w:rPr>
                <w:sz w:val="20"/>
                <w:szCs w:val="20"/>
                <w:color w:val="auto"/>
              </w:rPr>
            </w:pPr>
            <w:r>
              <w:rPr>
                <w:rFonts w:ascii="Arial" w:cs="Arial" w:eastAsia="Arial" w:hAnsi="Arial"/>
                <w:sz w:val="16"/>
                <w:szCs w:val="16"/>
                <w:color w:val="auto"/>
              </w:rPr>
              <w:t>SoCalGas</w:t>
            </w:r>
          </w:p>
        </w:tc>
        <w:tc>
          <w:tcPr>
            <w:tcW w:w="340" w:type="dxa"/>
            <w:vAlign w:val="bottom"/>
          </w:tcPr>
          <w:p>
            <w:pPr>
              <w:spacing w:after="0"/>
              <w:rPr>
                <w:sz w:val="15"/>
                <w:szCs w:val="15"/>
                <w:color w:val="auto"/>
              </w:rPr>
            </w:pPr>
          </w:p>
        </w:tc>
        <w:tc>
          <w:tcPr>
            <w:tcW w:w="860" w:type="dxa"/>
            <w:vAlign w:val="bottom"/>
          </w:tcPr>
          <w:p>
            <w:pPr>
              <w:jc w:val="right"/>
              <w:ind w:right="120"/>
              <w:spacing w:after="0" w:line="176" w:lineRule="exact"/>
              <w:rPr>
                <w:sz w:val="20"/>
                <w:szCs w:val="20"/>
                <w:color w:val="auto"/>
              </w:rPr>
            </w:pPr>
            <w:r>
              <w:rPr>
                <w:rFonts w:ascii="Arial" w:cs="Arial" w:eastAsia="Arial" w:hAnsi="Arial"/>
                <w:sz w:val="16"/>
                <w:szCs w:val="16"/>
                <w:color w:val="auto"/>
              </w:rPr>
              <w:t>876</w:t>
            </w:r>
          </w:p>
        </w:tc>
        <w:tc>
          <w:tcPr>
            <w:tcW w:w="600" w:type="dxa"/>
            <w:vAlign w:val="bottom"/>
          </w:tcPr>
          <w:p>
            <w:pPr>
              <w:jc w:val="right"/>
              <w:ind w:right="20"/>
              <w:spacing w:after="0" w:line="176" w:lineRule="exact"/>
              <w:rPr>
                <w:sz w:val="20"/>
                <w:szCs w:val="20"/>
                <w:color w:val="auto"/>
              </w:rPr>
            </w:pPr>
            <w:r>
              <w:rPr>
                <w:rFonts w:ascii="Arial" w:cs="Arial" w:eastAsia="Arial" w:hAnsi="Arial"/>
                <w:sz w:val="16"/>
                <w:szCs w:val="16"/>
                <w:color w:val="auto"/>
              </w:rPr>
              <w:t>36</w:t>
            </w:r>
          </w:p>
        </w:tc>
        <w:tc>
          <w:tcPr>
            <w:tcW w:w="2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00" w:type="dxa"/>
            <w:vAlign w:val="bottom"/>
          </w:tcPr>
          <w:p>
            <w:pPr>
              <w:jc w:val="right"/>
              <w:ind w:right="259"/>
              <w:spacing w:after="0" w:line="176" w:lineRule="exact"/>
              <w:rPr>
                <w:sz w:val="20"/>
                <w:szCs w:val="20"/>
                <w:color w:val="auto"/>
              </w:rPr>
            </w:pPr>
            <w:r>
              <w:rPr>
                <w:rFonts w:ascii="Arial" w:cs="Arial" w:eastAsia="Arial" w:hAnsi="Arial"/>
                <w:sz w:val="16"/>
                <w:szCs w:val="16"/>
                <w:color w:val="auto"/>
              </w:rPr>
              <w:t>834</w:t>
            </w:r>
          </w:p>
        </w:tc>
        <w:tc>
          <w:tcPr>
            <w:tcW w:w="500" w:type="dxa"/>
            <w:vAlign w:val="bottom"/>
          </w:tcPr>
          <w:p>
            <w:pPr>
              <w:jc w:val="right"/>
              <w:ind w:right="39"/>
              <w:spacing w:after="0" w:line="176" w:lineRule="exact"/>
              <w:rPr>
                <w:sz w:val="20"/>
                <w:szCs w:val="20"/>
                <w:color w:val="auto"/>
              </w:rPr>
            </w:pPr>
            <w:r>
              <w:rPr>
                <w:rFonts w:ascii="Arial" w:cs="Arial" w:eastAsia="Arial" w:hAnsi="Arial"/>
                <w:sz w:val="16"/>
                <w:szCs w:val="16"/>
                <w:color w:val="auto"/>
              </w:rPr>
              <w:t>42</w:t>
            </w:r>
          </w:p>
        </w:tc>
        <w:tc>
          <w:tcPr>
            <w:tcW w:w="3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40" w:type="dxa"/>
            <w:vAlign w:val="bottom"/>
          </w:tcPr>
          <w:p>
            <w:pPr>
              <w:jc w:val="right"/>
              <w:ind w:right="80"/>
              <w:spacing w:after="0" w:line="176" w:lineRule="exact"/>
              <w:rPr>
                <w:sz w:val="20"/>
                <w:szCs w:val="20"/>
                <w:color w:val="auto"/>
              </w:rPr>
            </w:pPr>
            <w:r>
              <w:rPr>
                <w:rFonts w:ascii="Arial" w:cs="Arial" w:eastAsia="Arial" w:hAnsi="Arial"/>
                <w:sz w:val="16"/>
                <w:szCs w:val="16"/>
                <w:color w:val="auto"/>
              </w:rPr>
              <w:t>1,932</w:t>
            </w:r>
          </w:p>
        </w:tc>
        <w:tc>
          <w:tcPr>
            <w:tcW w:w="520" w:type="dxa"/>
            <w:vAlign w:val="bottom"/>
          </w:tcPr>
          <w:p>
            <w:pPr>
              <w:jc w:val="right"/>
              <w:ind w:right="20"/>
              <w:spacing w:after="0" w:line="176" w:lineRule="exact"/>
              <w:rPr>
                <w:sz w:val="20"/>
                <w:szCs w:val="20"/>
                <w:color w:val="auto"/>
              </w:rPr>
            </w:pPr>
            <w:r>
              <w:rPr>
                <w:rFonts w:ascii="Arial" w:cs="Arial" w:eastAsia="Arial" w:hAnsi="Arial"/>
                <w:sz w:val="16"/>
                <w:szCs w:val="16"/>
                <w:color w:val="auto"/>
              </w:rPr>
              <w:t>40</w:t>
            </w:r>
          </w:p>
        </w:tc>
        <w:tc>
          <w:tcPr>
            <w:tcW w:w="2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40" w:type="dxa"/>
            <w:vAlign w:val="bottom"/>
          </w:tcPr>
          <w:p>
            <w:pPr>
              <w:jc w:val="right"/>
              <w:ind w:right="179"/>
              <w:spacing w:after="0" w:line="176" w:lineRule="exact"/>
              <w:rPr>
                <w:sz w:val="20"/>
                <w:szCs w:val="20"/>
                <w:color w:val="auto"/>
              </w:rPr>
            </w:pPr>
            <w:r>
              <w:rPr>
                <w:rFonts w:ascii="Arial" w:cs="Arial" w:eastAsia="Arial" w:hAnsi="Arial"/>
                <w:sz w:val="16"/>
                <w:szCs w:val="16"/>
                <w:color w:val="auto"/>
              </w:rPr>
              <w:t>2,016</w:t>
            </w:r>
          </w:p>
        </w:tc>
        <w:tc>
          <w:tcPr>
            <w:tcW w:w="480" w:type="dxa"/>
            <w:vAlign w:val="bottom"/>
          </w:tcPr>
          <w:p>
            <w:pPr>
              <w:jc w:val="right"/>
              <w:ind w:right="59"/>
              <w:spacing w:after="0" w:line="176" w:lineRule="exact"/>
              <w:rPr>
                <w:sz w:val="20"/>
                <w:szCs w:val="20"/>
                <w:color w:val="auto"/>
              </w:rPr>
            </w:pPr>
            <w:r>
              <w:rPr>
                <w:rFonts w:ascii="Arial" w:cs="Arial" w:eastAsia="Arial" w:hAnsi="Arial"/>
                <w:sz w:val="16"/>
                <w:szCs w:val="16"/>
                <w:color w:val="auto"/>
              </w:rPr>
              <w:t>44</w:t>
            </w:r>
          </w:p>
        </w:tc>
        <w:tc>
          <w:tcPr>
            <w:tcW w:w="400" w:type="dxa"/>
            <w:vAlign w:val="bottom"/>
          </w:tcPr>
          <w:p>
            <w:pPr>
              <w:spacing w:after="0"/>
              <w:rPr>
                <w:sz w:val="15"/>
                <w:szCs w:val="15"/>
                <w:color w:val="auto"/>
              </w:rPr>
            </w:pPr>
          </w:p>
        </w:tc>
      </w:tr>
      <w:tr>
        <w:trPr>
          <w:trHeight w:val="176"/>
        </w:trPr>
        <w:tc>
          <w:tcPr>
            <w:tcW w:w="20" w:type="dxa"/>
            <w:vAlign w:val="bottom"/>
          </w:tcPr>
          <w:p>
            <w:pPr>
              <w:spacing w:after="0"/>
              <w:rPr>
                <w:sz w:val="15"/>
                <w:szCs w:val="15"/>
                <w:color w:val="auto"/>
              </w:rPr>
            </w:pPr>
          </w:p>
        </w:tc>
        <w:tc>
          <w:tcPr>
            <w:tcW w:w="2860" w:type="dxa"/>
            <w:vAlign w:val="bottom"/>
          </w:tcPr>
          <w:p>
            <w:pPr>
              <w:ind w:left="80"/>
              <w:spacing w:after="0" w:line="176" w:lineRule="exact"/>
              <w:rPr>
                <w:sz w:val="20"/>
                <w:szCs w:val="20"/>
                <w:color w:val="auto"/>
              </w:rPr>
            </w:pPr>
            <w:r>
              <w:rPr>
                <w:rFonts w:ascii="Arial" w:cs="Arial" w:eastAsia="Arial" w:hAnsi="Arial"/>
                <w:sz w:val="16"/>
                <w:szCs w:val="16"/>
                <w:color w:val="auto"/>
              </w:rPr>
              <w:t>Sempra Generation</w:t>
            </w:r>
          </w:p>
        </w:tc>
        <w:tc>
          <w:tcPr>
            <w:tcW w:w="340" w:type="dxa"/>
            <w:vAlign w:val="bottom"/>
          </w:tcPr>
          <w:p>
            <w:pPr>
              <w:spacing w:after="0"/>
              <w:rPr>
                <w:sz w:val="15"/>
                <w:szCs w:val="15"/>
                <w:color w:val="auto"/>
              </w:rPr>
            </w:pPr>
          </w:p>
        </w:tc>
        <w:tc>
          <w:tcPr>
            <w:tcW w:w="860" w:type="dxa"/>
            <w:vAlign w:val="bottom"/>
          </w:tcPr>
          <w:p>
            <w:pPr>
              <w:jc w:val="right"/>
              <w:ind w:right="120"/>
              <w:spacing w:after="0" w:line="176" w:lineRule="exact"/>
              <w:rPr>
                <w:sz w:val="20"/>
                <w:szCs w:val="20"/>
                <w:color w:val="auto"/>
              </w:rPr>
            </w:pPr>
            <w:r>
              <w:rPr>
                <w:rFonts w:ascii="Arial" w:cs="Arial" w:eastAsia="Arial" w:hAnsi="Arial"/>
                <w:sz w:val="16"/>
                <w:szCs w:val="16"/>
                <w:color w:val="auto"/>
              </w:rPr>
              <w:t>268</w:t>
            </w:r>
          </w:p>
        </w:tc>
        <w:tc>
          <w:tcPr>
            <w:tcW w:w="600" w:type="dxa"/>
            <w:vAlign w:val="bottom"/>
          </w:tcPr>
          <w:p>
            <w:pPr>
              <w:jc w:val="right"/>
              <w:ind w:right="20"/>
              <w:spacing w:after="0" w:line="176" w:lineRule="exact"/>
              <w:rPr>
                <w:sz w:val="20"/>
                <w:szCs w:val="20"/>
                <w:color w:val="auto"/>
              </w:rPr>
            </w:pPr>
            <w:r>
              <w:rPr>
                <w:rFonts w:ascii="Arial" w:cs="Arial" w:eastAsia="Arial" w:hAnsi="Arial"/>
                <w:sz w:val="16"/>
                <w:szCs w:val="16"/>
                <w:color w:val="auto"/>
              </w:rPr>
              <w:t>11</w:t>
            </w:r>
          </w:p>
        </w:tc>
        <w:tc>
          <w:tcPr>
            <w:tcW w:w="2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00" w:type="dxa"/>
            <w:vAlign w:val="bottom"/>
          </w:tcPr>
          <w:p>
            <w:pPr>
              <w:jc w:val="right"/>
              <w:ind w:right="259"/>
              <w:spacing w:after="0" w:line="176" w:lineRule="exact"/>
              <w:rPr>
                <w:sz w:val="20"/>
                <w:szCs w:val="20"/>
                <w:color w:val="auto"/>
              </w:rPr>
            </w:pPr>
            <w:r>
              <w:rPr>
                <w:rFonts w:ascii="Arial" w:cs="Arial" w:eastAsia="Arial" w:hAnsi="Arial"/>
                <w:sz w:val="16"/>
                <w:szCs w:val="16"/>
                <w:color w:val="auto"/>
              </w:rPr>
              <w:t>268</w:t>
            </w:r>
          </w:p>
        </w:tc>
        <w:tc>
          <w:tcPr>
            <w:tcW w:w="500" w:type="dxa"/>
            <w:vAlign w:val="bottom"/>
          </w:tcPr>
          <w:p>
            <w:pPr>
              <w:jc w:val="right"/>
              <w:ind w:right="39"/>
              <w:spacing w:after="0" w:line="176" w:lineRule="exact"/>
              <w:rPr>
                <w:sz w:val="20"/>
                <w:szCs w:val="20"/>
                <w:color w:val="auto"/>
              </w:rPr>
            </w:pPr>
            <w:r>
              <w:rPr>
                <w:rFonts w:ascii="Arial" w:cs="Arial" w:eastAsia="Arial" w:hAnsi="Arial"/>
                <w:sz w:val="16"/>
                <w:szCs w:val="16"/>
                <w:color w:val="auto"/>
              </w:rPr>
              <w:t>13</w:t>
            </w:r>
          </w:p>
        </w:tc>
        <w:tc>
          <w:tcPr>
            <w:tcW w:w="3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40" w:type="dxa"/>
            <w:vAlign w:val="bottom"/>
          </w:tcPr>
          <w:p>
            <w:pPr>
              <w:jc w:val="right"/>
              <w:ind w:right="80"/>
              <w:spacing w:after="0" w:line="176" w:lineRule="exact"/>
              <w:rPr>
                <w:sz w:val="20"/>
                <w:szCs w:val="20"/>
                <w:color w:val="auto"/>
              </w:rPr>
            </w:pPr>
            <w:r>
              <w:rPr>
                <w:rFonts w:ascii="Arial" w:cs="Arial" w:eastAsia="Arial" w:hAnsi="Arial"/>
                <w:sz w:val="16"/>
                <w:szCs w:val="16"/>
                <w:color w:val="auto"/>
              </w:rPr>
              <w:t>537</w:t>
            </w:r>
          </w:p>
        </w:tc>
        <w:tc>
          <w:tcPr>
            <w:tcW w:w="520" w:type="dxa"/>
            <w:vAlign w:val="bottom"/>
          </w:tcPr>
          <w:p>
            <w:pPr>
              <w:jc w:val="right"/>
              <w:ind w:right="20"/>
              <w:spacing w:after="0" w:line="176" w:lineRule="exact"/>
              <w:rPr>
                <w:sz w:val="20"/>
                <w:szCs w:val="20"/>
                <w:color w:val="auto"/>
              </w:rPr>
            </w:pPr>
            <w:r>
              <w:rPr>
                <w:rFonts w:ascii="Arial" w:cs="Arial" w:eastAsia="Arial" w:hAnsi="Arial"/>
                <w:sz w:val="16"/>
                <w:szCs w:val="16"/>
                <w:color w:val="auto"/>
              </w:rPr>
              <w:t>11</w:t>
            </w:r>
          </w:p>
        </w:tc>
        <w:tc>
          <w:tcPr>
            <w:tcW w:w="2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40" w:type="dxa"/>
            <w:vAlign w:val="bottom"/>
          </w:tcPr>
          <w:p>
            <w:pPr>
              <w:jc w:val="right"/>
              <w:ind w:right="179"/>
              <w:spacing w:after="0" w:line="176" w:lineRule="exact"/>
              <w:rPr>
                <w:sz w:val="20"/>
                <w:szCs w:val="20"/>
                <w:color w:val="auto"/>
              </w:rPr>
            </w:pPr>
            <w:r>
              <w:rPr>
                <w:rFonts w:ascii="Arial" w:cs="Arial" w:eastAsia="Arial" w:hAnsi="Arial"/>
                <w:sz w:val="16"/>
                <w:szCs w:val="16"/>
                <w:color w:val="auto"/>
              </w:rPr>
              <w:t>586</w:t>
            </w:r>
          </w:p>
        </w:tc>
        <w:tc>
          <w:tcPr>
            <w:tcW w:w="480" w:type="dxa"/>
            <w:vAlign w:val="bottom"/>
          </w:tcPr>
          <w:p>
            <w:pPr>
              <w:jc w:val="right"/>
              <w:ind w:right="59"/>
              <w:spacing w:after="0" w:line="176" w:lineRule="exact"/>
              <w:rPr>
                <w:sz w:val="20"/>
                <w:szCs w:val="20"/>
                <w:color w:val="auto"/>
              </w:rPr>
            </w:pPr>
            <w:r>
              <w:rPr>
                <w:rFonts w:ascii="Arial" w:cs="Arial" w:eastAsia="Arial" w:hAnsi="Arial"/>
                <w:sz w:val="16"/>
                <w:szCs w:val="16"/>
                <w:color w:val="auto"/>
              </w:rPr>
              <w:t>13</w:t>
            </w:r>
          </w:p>
        </w:tc>
        <w:tc>
          <w:tcPr>
            <w:tcW w:w="400" w:type="dxa"/>
            <w:vAlign w:val="bottom"/>
          </w:tcPr>
          <w:p>
            <w:pPr>
              <w:spacing w:after="0"/>
              <w:rPr>
                <w:sz w:val="15"/>
                <w:szCs w:val="15"/>
                <w:color w:val="auto"/>
              </w:rPr>
            </w:pPr>
          </w:p>
        </w:tc>
      </w:tr>
      <w:tr>
        <w:trPr>
          <w:trHeight w:val="176"/>
        </w:trPr>
        <w:tc>
          <w:tcPr>
            <w:tcW w:w="20" w:type="dxa"/>
            <w:vAlign w:val="bottom"/>
          </w:tcPr>
          <w:p>
            <w:pPr>
              <w:spacing w:after="0"/>
              <w:rPr>
                <w:sz w:val="15"/>
                <w:szCs w:val="15"/>
                <w:color w:val="auto"/>
              </w:rPr>
            </w:pPr>
          </w:p>
        </w:tc>
        <w:tc>
          <w:tcPr>
            <w:tcW w:w="2860" w:type="dxa"/>
            <w:vAlign w:val="bottom"/>
          </w:tcPr>
          <w:p>
            <w:pPr>
              <w:ind w:left="80"/>
              <w:spacing w:after="0" w:line="176" w:lineRule="exact"/>
              <w:rPr>
                <w:sz w:val="20"/>
                <w:szCs w:val="20"/>
                <w:color w:val="auto"/>
              </w:rPr>
            </w:pPr>
            <w:r>
              <w:rPr>
                <w:rFonts w:ascii="Arial" w:cs="Arial" w:eastAsia="Arial" w:hAnsi="Arial"/>
                <w:sz w:val="16"/>
                <w:szCs w:val="16"/>
                <w:color w:val="auto"/>
              </w:rPr>
              <w:t>Sempra Pipelines &amp; Storage</w:t>
            </w:r>
          </w:p>
        </w:tc>
        <w:tc>
          <w:tcPr>
            <w:tcW w:w="340" w:type="dxa"/>
            <w:vAlign w:val="bottom"/>
          </w:tcPr>
          <w:p>
            <w:pPr>
              <w:spacing w:after="0"/>
              <w:rPr>
                <w:sz w:val="15"/>
                <w:szCs w:val="15"/>
                <w:color w:val="auto"/>
              </w:rPr>
            </w:pPr>
          </w:p>
        </w:tc>
        <w:tc>
          <w:tcPr>
            <w:tcW w:w="860" w:type="dxa"/>
            <w:vAlign w:val="bottom"/>
          </w:tcPr>
          <w:p>
            <w:pPr>
              <w:jc w:val="right"/>
              <w:ind w:right="120"/>
              <w:spacing w:after="0" w:line="176" w:lineRule="exact"/>
              <w:rPr>
                <w:sz w:val="20"/>
                <w:szCs w:val="20"/>
                <w:color w:val="auto"/>
              </w:rPr>
            </w:pPr>
            <w:r>
              <w:rPr>
                <w:rFonts w:ascii="Arial" w:cs="Arial" w:eastAsia="Arial" w:hAnsi="Arial"/>
                <w:sz w:val="16"/>
                <w:szCs w:val="16"/>
                <w:color w:val="auto"/>
              </w:rPr>
              <w:t>445</w:t>
            </w:r>
          </w:p>
        </w:tc>
        <w:tc>
          <w:tcPr>
            <w:tcW w:w="600" w:type="dxa"/>
            <w:vAlign w:val="bottom"/>
          </w:tcPr>
          <w:p>
            <w:pPr>
              <w:jc w:val="right"/>
              <w:ind w:right="20"/>
              <w:spacing w:after="0" w:line="176" w:lineRule="exact"/>
              <w:rPr>
                <w:sz w:val="20"/>
                <w:szCs w:val="20"/>
                <w:color w:val="auto"/>
              </w:rPr>
            </w:pPr>
            <w:r>
              <w:rPr>
                <w:rFonts w:ascii="Arial" w:cs="Arial" w:eastAsia="Arial" w:hAnsi="Arial"/>
                <w:sz w:val="16"/>
                <w:szCs w:val="16"/>
                <w:color w:val="auto"/>
              </w:rPr>
              <w:t>18</w:t>
            </w:r>
          </w:p>
        </w:tc>
        <w:tc>
          <w:tcPr>
            <w:tcW w:w="2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00" w:type="dxa"/>
            <w:vAlign w:val="bottom"/>
          </w:tcPr>
          <w:p>
            <w:pPr>
              <w:jc w:val="right"/>
              <w:ind w:right="259"/>
              <w:spacing w:after="0" w:line="176" w:lineRule="exact"/>
              <w:rPr>
                <w:sz w:val="20"/>
                <w:szCs w:val="20"/>
                <w:color w:val="auto"/>
              </w:rPr>
            </w:pPr>
            <w:r>
              <w:rPr>
                <w:rFonts w:ascii="Arial" w:cs="Arial" w:eastAsia="Arial" w:hAnsi="Arial"/>
                <w:sz w:val="16"/>
                <w:szCs w:val="16"/>
                <w:color w:val="auto"/>
              </w:rPr>
              <w:t>75</w:t>
            </w:r>
          </w:p>
        </w:tc>
        <w:tc>
          <w:tcPr>
            <w:tcW w:w="500" w:type="dxa"/>
            <w:vAlign w:val="bottom"/>
          </w:tcPr>
          <w:p>
            <w:pPr>
              <w:jc w:val="right"/>
              <w:ind w:right="39"/>
              <w:spacing w:after="0" w:line="176" w:lineRule="exact"/>
              <w:rPr>
                <w:sz w:val="20"/>
                <w:szCs w:val="20"/>
                <w:color w:val="auto"/>
              </w:rPr>
            </w:pPr>
            <w:r>
              <w:rPr>
                <w:rFonts w:ascii="Arial" w:cs="Arial" w:eastAsia="Arial" w:hAnsi="Arial"/>
                <w:sz w:val="16"/>
                <w:szCs w:val="16"/>
                <w:color w:val="auto"/>
              </w:rPr>
              <w:t>4</w:t>
            </w:r>
          </w:p>
        </w:tc>
        <w:tc>
          <w:tcPr>
            <w:tcW w:w="3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40" w:type="dxa"/>
            <w:vAlign w:val="bottom"/>
          </w:tcPr>
          <w:p>
            <w:pPr>
              <w:jc w:val="right"/>
              <w:ind w:right="80"/>
              <w:spacing w:after="0" w:line="176" w:lineRule="exact"/>
              <w:rPr>
                <w:sz w:val="20"/>
                <w:szCs w:val="20"/>
                <w:color w:val="auto"/>
              </w:rPr>
            </w:pPr>
            <w:r>
              <w:rPr>
                <w:rFonts w:ascii="Arial" w:cs="Arial" w:eastAsia="Arial" w:hAnsi="Arial"/>
                <w:sz w:val="16"/>
                <w:szCs w:val="16"/>
                <w:color w:val="auto"/>
              </w:rPr>
              <w:t>554</w:t>
            </w:r>
          </w:p>
        </w:tc>
        <w:tc>
          <w:tcPr>
            <w:tcW w:w="520" w:type="dxa"/>
            <w:vAlign w:val="bottom"/>
          </w:tcPr>
          <w:p>
            <w:pPr>
              <w:jc w:val="right"/>
              <w:ind w:right="20"/>
              <w:spacing w:after="0" w:line="176" w:lineRule="exact"/>
              <w:rPr>
                <w:sz w:val="20"/>
                <w:szCs w:val="20"/>
                <w:color w:val="auto"/>
              </w:rPr>
            </w:pPr>
            <w:r>
              <w:rPr>
                <w:rFonts w:ascii="Arial" w:cs="Arial" w:eastAsia="Arial" w:hAnsi="Arial"/>
                <w:sz w:val="16"/>
                <w:szCs w:val="16"/>
                <w:color w:val="auto"/>
              </w:rPr>
              <w:t>11</w:t>
            </w:r>
          </w:p>
        </w:tc>
        <w:tc>
          <w:tcPr>
            <w:tcW w:w="2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40" w:type="dxa"/>
            <w:vAlign w:val="bottom"/>
          </w:tcPr>
          <w:p>
            <w:pPr>
              <w:jc w:val="right"/>
              <w:ind w:right="179"/>
              <w:spacing w:after="0" w:line="176" w:lineRule="exact"/>
              <w:rPr>
                <w:sz w:val="20"/>
                <w:szCs w:val="20"/>
                <w:color w:val="auto"/>
              </w:rPr>
            </w:pPr>
            <w:r>
              <w:rPr>
                <w:rFonts w:ascii="Arial" w:cs="Arial" w:eastAsia="Arial" w:hAnsi="Arial"/>
                <w:sz w:val="16"/>
                <w:szCs w:val="16"/>
                <w:color w:val="auto"/>
              </w:rPr>
              <w:t>185</w:t>
            </w:r>
          </w:p>
        </w:tc>
        <w:tc>
          <w:tcPr>
            <w:tcW w:w="480" w:type="dxa"/>
            <w:vAlign w:val="bottom"/>
          </w:tcPr>
          <w:p>
            <w:pPr>
              <w:jc w:val="right"/>
              <w:ind w:right="59"/>
              <w:spacing w:after="0" w:line="176" w:lineRule="exact"/>
              <w:rPr>
                <w:sz w:val="20"/>
                <w:szCs w:val="20"/>
                <w:color w:val="auto"/>
              </w:rPr>
            </w:pPr>
            <w:r>
              <w:rPr>
                <w:rFonts w:ascii="Arial" w:cs="Arial" w:eastAsia="Arial" w:hAnsi="Arial"/>
                <w:sz w:val="16"/>
                <w:szCs w:val="16"/>
                <w:color w:val="auto"/>
              </w:rPr>
              <w:t>4</w:t>
            </w:r>
          </w:p>
        </w:tc>
        <w:tc>
          <w:tcPr>
            <w:tcW w:w="400" w:type="dxa"/>
            <w:vAlign w:val="bottom"/>
          </w:tcPr>
          <w:p>
            <w:pPr>
              <w:spacing w:after="0"/>
              <w:rPr>
                <w:sz w:val="15"/>
                <w:szCs w:val="15"/>
                <w:color w:val="auto"/>
              </w:rPr>
            </w:pPr>
          </w:p>
        </w:tc>
      </w:tr>
      <w:tr>
        <w:trPr>
          <w:trHeight w:val="176"/>
        </w:trPr>
        <w:tc>
          <w:tcPr>
            <w:tcW w:w="20" w:type="dxa"/>
            <w:vAlign w:val="bottom"/>
          </w:tcPr>
          <w:p>
            <w:pPr>
              <w:spacing w:after="0"/>
              <w:rPr>
                <w:sz w:val="15"/>
                <w:szCs w:val="15"/>
                <w:color w:val="auto"/>
              </w:rPr>
            </w:pPr>
          </w:p>
        </w:tc>
        <w:tc>
          <w:tcPr>
            <w:tcW w:w="2860" w:type="dxa"/>
            <w:vAlign w:val="bottom"/>
          </w:tcPr>
          <w:p>
            <w:pPr>
              <w:ind w:left="80"/>
              <w:spacing w:after="0" w:line="176" w:lineRule="exact"/>
              <w:rPr>
                <w:sz w:val="20"/>
                <w:szCs w:val="20"/>
                <w:color w:val="auto"/>
              </w:rPr>
            </w:pPr>
            <w:r>
              <w:rPr>
                <w:rFonts w:ascii="Arial" w:cs="Arial" w:eastAsia="Arial" w:hAnsi="Arial"/>
                <w:sz w:val="16"/>
                <w:szCs w:val="16"/>
                <w:color w:val="auto"/>
              </w:rPr>
              <w:t>Sempra LNG</w:t>
            </w:r>
          </w:p>
        </w:tc>
        <w:tc>
          <w:tcPr>
            <w:tcW w:w="340" w:type="dxa"/>
            <w:vAlign w:val="bottom"/>
          </w:tcPr>
          <w:p>
            <w:pPr>
              <w:spacing w:after="0"/>
              <w:rPr>
                <w:sz w:val="15"/>
                <w:szCs w:val="15"/>
                <w:color w:val="auto"/>
              </w:rPr>
            </w:pPr>
          </w:p>
        </w:tc>
        <w:tc>
          <w:tcPr>
            <w:tcW w:w="860" w:type="dxa"/>
            <w:vAlign w:val="bottom"/>
          </w:tcPr>
          <w:p>
            <w:pPr>
              <w:jc w:val="right"/>
              <w:ind w:right="120"/>
              <w:spacing w:after="0" w:line="176" w:lineRule="exact"/>
              <w:rPr>
                <w:sz w:val="20"/>
                <w:szCs w:val="20"/>
                <w:color w:val="auto"/>
              </w:rPr>
            </w:pPr>
            <w:r>
              <w:rPr>
                <w:rFonts w:ascii="Arial" w:cs="Arial" w:eastAsia="Arial" w:hAnsi="Arial"/>
                <w:sz w:val="16"/>
                <w:szCs w:val="16"/>
                <w:color w:val="auto"/>
              </w:rPr>
              <w:t>159</w:t>
            </w:r>
          </w:p>
        </w:tc>
        <w:tc>
          <w:tcPr>
            <w:tcW w:w="600" w:type="dxa"/>
            <w:vAlign w:val="bottom"/>
          </w:tcPr>
          <w:p>
            <w:pPr>
              <w:jc w:val="right"/>
              <w:ind w:right="20"/>
              <w:spacing w:after="0" w:line="176" w:lineRule="exact"/>
              <w:rPr>
                <w:sz w:val="20"/>
                <w:szCs w:val="20"/>
                <w:color w:val="auto"/>
              </w:rPr>
            </w:pPr>
            <w:r>
              <w:rPr>
                <w:rFonts w:ascii="Arial" w:cs="Arial" w:eastAsia="Arial" w:hAnsi="Arial"/>
                <w:sz w:val="16"/>
                <w:szCs w:val="16"/>
                <w:color w:val="auto"/>
              </w:rPr>
              <w:t>7</w:t>
            </w:r>
          </w:p>
        </w:tc>
        <w:tc>
          <w:tcPr>
            <w:tcW w:w="2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00" w:type="dxa"/>
            <w:vAlign w:val="bottom"/>
          </w:tcPr>
          <w:p>
            <w:pPr>
              <w:jc w:val="right"/>
              <w:ind w:right="259"/>
              <w:spacing w:after="0" w:line="176" w:lineRule="exact"/>
              <w:rPr>
                <w:sz w:val="20"/>
                <w:szCs w:val="20"/>
                <w:color w:val="auto"/>
              </w:rPr>
            </w:pPr>
            <w:r>
              <w:rPr>
                <w:rFonts w:ascii="Arial" w:cs="Arial" w:eastAsia="Arial" w:hAnsi="Arial"/>
                <w:sz w:val="16"/>
                <w:szCs w:val="16"/>
                <w:color w:val="auto"/>
              </w:rPr>
              <w:t>166</w:t>
            </w:r>
          </w:p>
        </w:tc>
        <w:tc>
          <w:tcPr>
            <w:tcW w:w="500" w:type="dxa"/>
            <w:vAlign w:val="bottom"/>
          </w:tcPr>
          <w:p>
            <w:pPr>
              <w:jc w:val="right"/>
              <w:ind w:right="39"/>
              <w:spacing w:after="0" w:line="176" w:lineRule="exact"/>
              <w:rPr>
                <w:sz w:val="20"/>
                <w:szCs w:val="20"/>
                <w:color w:val="auto"/>
              </w:rPr>
            </w:pPr>
            <w:r>
              <w:rPr>
                <w:rFonts w:ascii="Arial" w:cs="Arial" w:eastAsia="Arial" w:hAnsi="Arial"/>
                <w:sz w:val="16"/>
                <w:szCs w:val="16"/>
                <w:color w:val="auto"/>
              </w:rPr>
              <w:t>8</w:t>
            </w:r>
          </w:p>
        </w:tc>
        <w:tc>
          <w:tcPr>
            <w:tcW w:w="3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40" w:type="dxa"/>
            <w:vAlign w:val="bottom"/>
          </w:tcPr>
          <w:p>
            <w:pPr>
              <w:jc w:val="right"/>
              <w:ind w:right="80"/>
              <w:spacing w:after="0" w:line="176" w:lineRule="exact"/>
              <w:rPr>
                <w:sz w:val="20"/>
                <w:szCs w:val="20"/>
                <w:color w:val="auto"/>
              </w:rPr>
            </w:pPr>
            <w:r>
              <w:rPr>
                <w:rFonts w:ascii="Arial" w:cs="Arial" w:eastAsia="Arial" w:hAnsi="Arial"/>
                <w:sz w:val="16"/>
                <w:szCs w:val="16"/>
                <w:color w:val="auto"/>
              </w:rPr>
              <w:t>345</w:t>
            </w:r>
          </w:p>
        </w:tc>
        <w:tc>
          <w:tcPr>
            <w:tcW w:w="520" w:type="dxa"/>
            <w:vAlign w:val="bottom"/>
          </w:tcPr>
          <w:p>
            <w:pPr>
              <w:jc w:val="right"/>
              <w:ind w:right="20"/>
              <w:spacing w:after="0" w:line="176" w:lineRule="exact"/>
              <w:rPr>
                <w:sz w:val="20"/>
                <w:szCs w:val="20"/>
                <w:color w:val="auto"/>
              </w:rPr>
            </w:pPr>
            <w:r>
              <w:rPr>
                <w:rFonts w:ascii="Arial" w:cs="Arial" w:eastAsia="Arial" w:hAnsi="Arial"/>
                <w:sz w:val="16"/>
                <w:szCs w:val="16"/>
                <w:color w:val="auto"/>
              </w:rPr>
              <w:t>7</w:t>
            </w:r>
          </w:p>
        </w:tc>
        <w:tc>
          <w:tcPr>
            <w:tcW w:w="2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40" w:type="dxa"/>
            <w:vAlign w:val="bottom"/>
          </w:tcPr>
          <w:p>
            <w:pPr>
              <w:jc w:val="right"/>
              <w:ind w:right="179"/>
              <w:spacing w:after="0" w:line="176" w:lineRule="exact"/>
              <w:rPr>
                <w:sz w:val="20"/>
                <w:szCs w:val="20"/>
                <w:color w:val="auto"/>
              </w:rPr>
            </w:pPr>
            <w:r>
              <w:rPr>
                <w:rFonts w:ascii="Arial" w:cs="Arial" w:eastAsia="Arial" w:hAnsi="Arial"/>
                <w:sz w:val="16"/>
                <w:szCs w:val="16"/>
                <w:color w:val="auto"/>
              </w:rPr>
              <w:t>371</w:t>
            </w:r>
          </w:p>
        </w:tc>
        <w:tc>
          <w:tcPr>
            <w:tcW w:w="480" w:type="dxa"/>
            <w:vAlign w:val="bottom"/>
          </w:tcPr>
          <w:p>
            <w:pPr>
              <w:jc w:val="right"/>
              <w:ind w:right="59"/>
              <w:spacing w:after="0" w:line="176" w:lineRule="exact"/>
              <w:rPr>
                <w:sz w:val="20"/>
                <w:szCs w:val="20"/>
                <w:color w:val="auto"/>
              </w:rPr>
            </w:pPr>
            <w:r>
              <w:rPr>
                <w:rFonts w:ascii="Arial" w:cs="Arial" w:eastAsia="Arial" w:hAnsi="Arial"/>
                <w:sz w:val="16"/>
                <w:szCs w:val="16"/>
                <w:color w:val="auto"/>
              </w:rPr>
              <w:t>8</w:t>
            </w:r>
          </w:p>
        </w:tc>
        <w:tc>
          <w:tcPr>
            <w:tcW w:w="400" w:type="dxa"/>
            <w:vAlign w:val="bottom"/>
          </w:tcPr>
          <w:p>
            <w:pPr>
              <w:spacing w:after="0"/>
              <w:rPr>
                <w:sz w:val="15"/>
                <w:szCs w:val="15"/>
                <w:color w:val="auto"/>
              </w:rPr>
            </w:pPr>
          </w:p>
        </w:tc>
      </w:tr>
      <w:tr>
        <w:trPr>
          <w:trHeight w:val="176"/>
        </w:trPr>
        <w:tc>
          <w:tcPr>
            <w:tcW w:w="20" w:type="dxa"/>
            <w:vAlign w:val="bottom"/>
          </w:tcPr>
          <w:p>
            <w:pPr>
              <w:spacing w:after="0"/>
              <w:rPr>
                <w:sz w:val="15"/>
                <w:szCs w:val="15"/>
                <w:color w:val="auto"/>
              </w:rPr>
            </w:pPr>
          </w:p>
        </w:tc>
        <w:tc>
          <w:tcPr>
            <w:tcW w:w="2860" w:type="dxa"/>
            <w:vAlign w:val="bottom"/>
          </w:tcPr>
          <w:p>
            <w:pPr>
              <w:ind w:left="60"/>
              <w:spacing w:after="0" w:line="176" w:lineRule="exact"/>
              <w:rPr>
                <w:sz w:val="20"/>
                <w:szCs w:val="20"/>
                <w:color w:val="auto"/>
              </w:rPr>
            </w:pPr>
            <w:r>
              <w:rPr>
                <w:rFonts w:ascii="Arial" w:cs="Arial" w:eastAsia="Arial" w:hAnsi="Arial"/>
                <w:sz w:val="16"/>
                <w:szCs w:val="16"/>
                <w:color w:val="auto"/>
              </w:rPr>
              <w:t>Adjustments and eliminations</w:t>
            </w:r>
          </w:p>
        </w:tc>
        <w:tc>
          <w:tcPr>
            <w:tcW w:w="340" w:type="dxa"/>
            <w:vAlign w:val="bottom"/>
          </w:tcPr>
          <w:p>
            <w:pPr>
              <w:spacing w:after="0"/>
              <w:rPr>
                <w:sz w:val="15"/>
                <w:szCs w:val="15"/>
                <w:color w:val="auto"/>
              </w:rPr>
            </w:pPr>
          </w:p>
        </w:tc>
        <w:tc>
          <w:tcPr>
            <w:tcW w:w="860" w:type="dxa"/>
            <w:vAlign w:val="bottom"/>
          </w:tcPr>
          <w:p>
            <w:pPr>
              <w:jc w:val="right"/>
              <w:ind w:right="120"/>
              <w:spacing w:after="0" w:line="176" w:lineRule="exact"/>
              <w:rPr>
                <w:sz w:val="20"/>
                <w:szCs w:val="20"/>
                <w:color w:val="auto"/>
              </w:rPr>
            </w:pPr>
            <w:r>
              <w:rPr>
                <w:rFonts w:ascii="Arial" w:cs="Arial" w:eastAsia="Arial" w:hAnsi="Arial"/>
                <w:sz w:val="16"/>
                <w:szCs w:val="16"/>
                <w:color w:val="auto"/>
              </w:rPr>
              <w:t>1</w:t>
            </w:r>
          </w:p>
        </w:tc>
        <w:tc>
          <w:tcPr>
            <w:tcW w:w="600" w:type="dxa"/>
            <w:vAlign w:val="bottom"/>
          </w:tcPr>
          <w:p>
            <w:pPr>
              <w:jc w:val="right"/>
              <w:ind w:right="20"/>
              <w:spacing w:after="0" w:line="176" w:lineRule="exact"/>
              <w:rPr>
                <w:sz w:val="20"/>
                <w:szCs w:val="20"/>
                <w:color w:val="auto"/>
              </w:rPr>
            </w:pPr>
            <w:r>
              <w:rPr>
                <w:rFonts w:ascii="Arial" w:cs="Arial" w:eastAsia="Arial" w:hAnsi="Arial"/>
                <w:sz w:val="16"/>
                <w:szCs w:val="16"/>
                <w:color w:val="auto"/>
              </w:rPr>
              <w:t>―</w:t>
            </w:r>
          </w:p>
        </w:tc>
        <w:tc>
          <w:tcPr>
            <w:tcW w:w="2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00" w:type="dxa"/>
            <w:vAlign w:val="bottom"/>
          </w:tcPr>
          <w:p>
            <w:pPr>
              <w:jc w:val="right"/>
              <w:ind w:right="219"/>
              <w:spacing w:after="0" w:line="176" w:lineRule="exact"/>
              <w:rPr>
                <w:sz w:val="20"/>
                <w:szCs w:val="20"/>
                <w:color w:val="auto"/>
              </w:rPr>
            </w:pPr>
            <w:r>
              <w:rPr>
                <w:rFonts w:ascii="Arial" w:cs="Arial" w:eastAsia="Arial" w:hAnsi="Arial"/>
                <w:sz w:val="16"/>
                <w:szCs w:val="16"/>
                <w:color w:val="auto"/>
              </w:rPr>
              <w:t>(2)</w:t>
            </w:r>
          </w:p>
        </w:tc>
        <w:tc>
          <w:tcPr>
            <w:tcW w:w="500" w:type="dxa"/>
            <w:vAlign w:val="bottom"/>
          </w:tcPr>
          <w:p>
            <w:pPr>
              <w:jc w:val="right"/>
              <w:ind w:right="39"/>
              <w:spacing w:after="0" w:line="176" w:lineRule="exact"/>
              <w:rPr>
                <w:sz w:val="20"/>
                <w:szCs w:val="20"/>
                <w:color w:val="auto"/>
              </w:rPr>
            </w:pPr>
            <w:r>
              <w:rPr>
                <w:rFonts w:ascii="Arial" w:cs="Arial" w:eastAsia="Arial" w:hAnsi="Arial"/>
                <w:sz w:val="16"/>
                <w:szCs w:val="16"/>
                <w:color w:val="auto"/>
              </w:rPr>
              <w:t>―</w:t>
            </w:r>
          </w:p>
        </w:tc>
        <w:tc>
          <w:tcPr>
            <w:tcW w:w="3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40" w:type="dxa"/>
            <w:vAlign w:val="bottom"/>
          </w:tcPr>
          <w:p>
            <w:pPr>
              <w:jc w:val="right"/>
              <w:ind w:right="80"/>
              <w:spacing w:after="0" w:line="176" w:lineRule="exact"/>
              <w:rPr>
                <w:sz w:val="20"/>
                <w:szCs w:val="20"/>
                <w:color w:val="auto"/>
              </w:rPr>
            </w:pPr>
            <w:r>
              <w:rPr>
                <w:rFonts w:ascii="Arial" w:cs="Arial" w:eastAsia="Arial" w:hAnsi="Arial"/>
                <w:sz w:val="16"/>
                <w:szCs w:val="16"/>
                <w:color w:val="auto"/>
              </w:rPr>
              <w:t>1</w:t>
            </w:r>
          </w:p>
        </w:tc>
        <w:tc>
          <w:tcPr>
            <w:tcW w:w="520" w:type="dxa"/>
            <w:vAlign w:val="bottom"/>
          </w:tcPr>
          <w:p>
            <w:pPr>
              <w:jc w:val="right"/>
              <w:ind w:right="20"/>
              <w:spacing w:after="0" w:line="176" w:lineRule="exact"/>
              <w:rPr>
                <w:sz w:val="20"/>
                <w:szCs w:val="20"/>
                <w:color w:val="auto"/>
              </w:rPr>
            </w:pPr>
            <w:r>
              <w:rPr>
                <w:rFonts w:ascii="Arial" w:cs="Arial" w:eastAsia="Arial" w:hAnsi="Arial"/>
                <w:sz w:val="16"/>
                <w:szCs w:val="16"/>
                <w:color w:val="auto"/>
              </w:rPr>
              <w:t>―</w:t>
            </w:r>
          </w:p>
        </w:tc>
        <w:tc>
          <w:tcPr>
            <w:tcW w:w="2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40" w:type="dxa"/>
            <w:vAlign w:val="bottom"/>
          </w:tcPr>
          <w:p>
            <w:pPr>
              <w:jc w:val="right"/>
              <w:ind w:right="179"/>
              <w:spacing w:after="0" w:line="176" w:lineRule="exact"/>
              <w:rPr>
                <w:sz w:val="20"/>
                <w:szCs w:val="20"/>
                <w:color w:val="auto"/>
              </w:rPr>
            </w:pPr>
            <w:r>
              <w:rPr>
                <w:rFonts w:ascii="Arial" w:cs="Arial" w:eastAsia="Arial" w:hAnsi="Arial"/>
                <w:sz w:val="16"/>
                <w:szCs w:val="16"/>
                <w:color w:val="auto"/>
              </w:rPr>
              <w:t>1</w:t>
            </w:r>
          </w:p>
        </w:tc>
        <w:tc>
          <w:tcPr>
            <w:tcW w:w="480" w:type="dxa"/>
            <w:vAlign w:val="bottom"/>
          </w:tcPr>
          <w:p>
            <w:pPr>
              <w:jc w:val="right"/>
              <w:ind w:right="59"/>
              <w:spacing w:after="0" w:line="176" w:lineRule="exact"/>
              <w:rPr>
                <w:sz w:val="20"/>
                <w:szCs w:val="20"/>
                <w:color w:val="auto"/>
              </w:rPr>
            </w:pPr>
            <w:r>
              <w:rPr>
                <w:rFonts w:ascii="Arial" w:cs="Arial" w:eastAsia="Arial" w:hAnsi="Arial"/>
                <w:sz w:val="16"/>
                <w:szCs w:val="16"/>
                <w:color w:val="auto"/>
              </w:rPr>
              <w:t>―</w:t>
            </w:r>
          </w:p>
        </w:tc>
        <w:tc>
          <w:tcPr>
            <w:tcW w:w="400" w:type="dxa"/>
            <w:vAlign w:val="bottom"/>
          </w:tcPr>
          <w:p>
            <w:pPr>
              <w:spacing w:after="0"/>
              <w:rPr>
                <w:sz w:val="15"/>
                <w:szCs w:val="15"/>
                <w:color w:val="auto"/>
              </w:rPr>
            </w:pPr>
          </w:p>
        </w:tc>
      </w:tr>
      <w:tr>
        <w:trPr>
          <w:trHeight w:val="194"/>
        </w:trPr>
        <w:tc>
          <w:tcPr>
            <w:tcW w:w="20" w:type="dxa"/>
            <w:vAlign w:val="bottom"/>
          </w:tcPr>
          <w:p>
            <w:pPr>
              <w:spacing w:after="0"/>
              <w:rPr>
                <w:sz w:val="16"/>
                <w:szCs w:val="16"/>
                <w:color w:val="auto"/>
              </w:rPr>
            </w:pPr>
          </w:p>
        </w:tc>
        <w:tc>
          <w:tcPr>
            <w:tcW w:w="2860" w:type="dxa"/>
            <w:vAlign w:val="bottom"/>
          </w:tcPr>
          <w:p>
            <w:pPr>
              <w:ind w:left="80"/>
              <w:spacing w:after="0"/>
              <w:rPr>
                <w:sz w:val="20"/>
                <w:szCs w:val="20"/>
                <w:color w:val="auto"/>
              </w:rPr>
            </w:pPr>
            <w:r>
              <w:rPr>
                <w:rFonts w:ascii="Arial" w:cs="Arial" w:eastAsia="Arial" w:hAnsi="Arial"/>
                <w:sz w:val="16"/>
                <w:szCs w:val="16"/>
                <w:color w:val="auto"/>
              </w:rPr>
              <w:t>Intersegment revenues(1)</w:t>
            </w:r>
          </w:p>
        </w:tc>
        <w:tc>
          <w:tcPr>
            <w:tcW w:w="3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color w:val="auto"/>
              </w:rPr>
              <w:t>(24)</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24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rPr>
              <w:t>(25)</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32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(50)</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26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(51)</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400" w:type="dxa"/>
            <w:vAlign w:val="bottom"/>
            <w:tcBorders>
              <w:bottom w:val="single" w:sz="8" w:color="auto"/>
            </w:tcBorders>
          </w:tcPr>
          <w:p>
            <w:pPr>
              <w:spacing w:after="0"/>
              <w:rPr>
                <w:sz w:val="16"/>
                <w:szCs w:val="16"/>
                <w:color w:val="auto"/>
              </w:rPr>
            </w:pPr>
          </w:p>
        </w:tc>
      </w:tr>
      <w:tr>
        <w:trPr>
          <w:trHeight w:val="183"/>
        </w:trPr>
        <w:tc>
          <w:tcPr>
            <w:tcW w:w="20" w:type="dxa"/>
            <w:vAlign w:val="bottom"/>
          </w:tcPr>
          <w:p>
            <w:pPr>
              <w:spacing w:after="0"/>
              <w:rPr>
                <w:sz w:val="15"/>
                <w:szCs w:val="15"/>
                <w:color w:val="auto"/>
              </w:rPr>
            </w:pPr>
          </w:p>
        </w:tc>
        <w:tc>
          <w:tcPr>
            <w:tcW w:w="2860" w:type="dxa"/>
            <w:vAlign w:val="bottom"/>
            <w:tcBorders>
              <w:bottom w:val="single" w:sz="8" w:color="auto"/>
            </w:tcBorders>
          </w:tcPr>
          <w:p>
            <w:pPr>
              <w:ind w:left="260"/>
              <w:spacing w:after="0" w:line="176" w:lineRule="exact"/>
              <w:rPr>
                <w:sz w:val="20"/>
                <w:szCs w:val="20"/>
                <w:color w:val="auto"/>
              </w:rPr>
            </w:pPr>
            <w:r>
              <w:rPr>
                <w:rFonts w:ascii="Arial" w:cs="Arial" w:eastAsia="Arial" w:hAnsi="Arial"/>
                <w:sz w:val="16"/>
                <w:szCs w:val="16"/>
                <w:color w:val="auto"/>
              </w:rPr>
              <w:t>Total</w:t>
            </w:r>
          </w:p>
        </w:tc>
        <w:tc>
          <w:tcPr>
            <w:tcW w:w="340" w:type="dxa"/>
            <w:vAlign w:val="bottom"/>
            <w:tcBorders>
              <w:bottom w:val="single" w:sz="8" w:color="auto"/>
            </w:tcBorders>
          </w:tcPr>
          <w:p>
            <w:pPr>
              <w:jc w:val="right"/>
              <w:ind w:right="184"/>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tcPr>
          <w:p>
            <w:pPr>
              <w:jc w:val="right"/>
              <w:ind w:right="120"/>
              <w:spacing w:after="0" w:line="176" w:lineRule="exact"/>
              <w:rPr>
                <w:sz w:val="20"/>
                <w:szCs w:val="20"/>
                <w:color w:val="auto"/>
              </w:rPr>
            </w:pPr>
            <w:r>
              <w:rPr>
                <w:rFonts w:ascii="Arial" w:cs="Arial" w:eastAsia="Arial" w:hAnsi="Arial"/>
                <w:sz w:val="16"/>
                <w:szCs w:val="16"/>
                <w:color w:val="auto"/>
              </w:rPr>
              <w:t>2,422</w:t>
            </w:r>
          </w:p>
        </w:tc>
        <w:tc>
          <w:tcPr>
            <w:tcW w:w="600" w:type="dxa"/>
            <w:vAlign w:val="bottom"/>
            <w:tcBorders>
              <w:bottom w:val="single" w:sz="8" w:color="auto"/>
            </w:tcBorders>
          </w:tcPr>
          <w:p>
            <w:pPr>
              <w:jc w:val="right"/>
              <w:ind w:right="20"/>
              <w:spacing w:after="0" w:line="176" w:lineRule="exact"/>
              <w:rPr>
                <w:sz w:val="20"/>
                <w:szCs w:val="20"/>
                <w:color w:val="auto"/>
              </w:rPr>
            </w:pPr>
            <w:r>
              <w:rPr>
                <w:rFonts w:ascii="Arial" w:cs="Arial" w:eastAsia="Arial" w:hAnsi="Arial"/>
                <w:sz w:val="16"/>
                <w:szCs w:val="16"/>
                <w:color w:val="auto"/>
              </w:rPr>
              <w:t>100</w:t>
            </w:r>
          </w:p>
        </w:tc>
        <w:tc>
          <w:tcPr>
            <w:tcW w:w="24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6"/>
                <w:szCs w:val="16"/>
                <w:color w:val="auto"/>
              </w:rPr>
              <w:t>%</w:t>
            </w:r>
          </w:p>
        </w:tc>
        <w:tc>
          <w:tcPr>
            <w:tcW w:w="420" w:type="dxa"/>
            <w:vAlign w:val="bottom"/>
            <w:tcBorders>
              <w:bottom w:val="single" w:sz="8" w:color="auto"/>
            </w:tcBorders>
          </w:tcPr>
          <w:p>
            <w:pPr>
              <w:jc w:val="right"/>
              <w:ind w:right="199"/>
              <w:spacing w:after="0" w:line="176" w:lineRule="exact"/>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tcPr>
          <w:p>
            <w:pPr>
              <w:jc w:val="right"/>
              <w:ind w:right="259"/>
              <w:spacing w:after="0" w:line="176" w:lineRule="exact"/>
              <w:rPr>
                <w:sz w:val="20"/>
                <w:szCs w:val="20"/>
                <w:color w:val="auto"/>
              </w:rPr>
            </w:pPr>
            <w:r>
              <w:rPr>
                <w:rFonts w:ascii="Arial" w:cs="Arial" w:eastAsia="Arial" w:hAnsi="Arial"/>
                <w:sz w:val="16"/>
                <w:szCs w:val="16"/>
                <w:color w:val="auto"/>
              </w:rPr>
              <w:t>2,008</w:t>
            </w:r>
          </w:p>
        </w:tc>
        <w:tc>
          <w:tcPr>
            <w:tcW w:w="500" w:type="dxa"/>
            <w:vAlign w:val="bottom"/>
            <w:tcBorders>
              <w:bottom w:val="single" w:sz="8" w:color="auto"/>
            </w:tcBorders>
          </w:tcPr>
          <w:p>
            <w:pPr>
              <w:jc w:val="right"/>
              <w:ind w:right="39"/>
              <w:spacing w:after="0" w:line="176" w:lineRule="exact"/>
              <w:rPr>
                <w:sz w:val="20"/>
                <w:szCs w:val="20"/>
                <w:color w:val="auto"/>
              </w:rPr>
            </w:pPr>
            <w:r>
              <w:rPr>
                <w:rFonts w:ascii="Arial" w:cs="Arial" w:eastAsia="Arial" w:hAnsi="Arial"/>
                <w:sz w:val="16"/>
                <w:szCs w:val="16"/>
                <w:color w:val="auto"/>
              </w:rPr>
              <w:t>100</w:t>
            </w:r>
          </w:p>
        </w:tc>
        <w:tc>
          <w:tcPr>
            <w:tcW w:w="320" w:type="dxa"/>
            <w:vAlign w:val="bottom"/>
            <w:tcBorders>
              <w:bottom w:val="single" w:sz="8" w:color="auto"/>
            </w:tcBorders>
          </w:tcPr>
          <w:p>
            <w:pPr>
              <w:jc w:val="right"/>
              <w:ind w:right="19"/>
              <w:spacing w:after="0" w:line="176" w:lineRule="exact"/>
              <w:rPr>
                <w:sz w:val="20"/>
                <w:szCs w:val="20"/>
                <w:color w:val="auto"/>
              </w:rPr>
            </w:pPr>
            <w:r>
              <w:rPr>
                <w:rFonts w:ascii="Arial" w:cs="Arial" w:eastAsia="Arial" w:hAnsi="Arial"/>
                <w:sz w:val="16"/>
                <w:szCs w:val="16"/>
                <w:color w:val="auto"/>
              </w:rPr>
              <w:t>%</w:t>
            </w:r>
          </w:p>
        </w:tc>
        <w:tc>
          <w:tcPr>
            <w:tcW w:w="420" w:type="dxa"/>
            <w:vAlign w:val="bottom"/>
            <w:tcBorders>
              <w:bottom w:val="single" w:sz="8" w:color="auto"/>
            </w:tcBorders>
          </w:tcPr>
          <w:p>
            <w:pPr>
              <w:jc w:val="right"/>
              <w:ind w:right="179"/>
              <w:spacing w:after="0" w:line="176" w:lineRule="exact"/>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tcPr>
          <w:p>
            <w:pPr>
              <w:jc w:val="right"/>
              <w:ind w:right="80"/>
              <w:spacing w:after="0" w:line="176" w:lineRule="exact"/>
              <w:rPr>
                <w:sz w:val="20"/>
                <w:szCs w:val="20"/>
                <w:color w:val="auto"/>
              </w:rPr>
            </w:pPr>
            <w:r>
              <w:rPr>
                <w:rFonts w:ascii="Arial" w:cs="Arial" w:eastAsia="Arial" w:hAnsi="Arial"/>
                <w:sz w:val="16"/>
                <w:szCs w:val="16"/>
                <w:color w:val="auto"/>
              </w:rPr>
              <w:t>4,856</w:t>
            </w:r>
          </w:p>
        </w:tc>
        <w:tc>
          <w:tcPr>
            <w:tcW w:w="520" w:type="dxa"/>
            <w:vAlign w:val="bottom"/>
            <w:tcBorders>
              <w:bottom w:val="single" w:sz="8" w:color="auto"/>
            </w:tcBorders>
          </w:tcPr>
          <w:p>
            <w:pPr>
              <w:jc w:val="right"/>
              <w:ind w:right="20"/>
              <w:spacing w:after="0" w:line="176" w:lineRule="exact"/>
              <w:rPr>
                <w:sz w:val="20"/>
                <w:szCs w:val="20"/>
                <w:color w:val="auto"/>
              </w:rPr>
            </w:pPr>
            <w:r>
              <w:rPr>
                <w:rFonts w:ascii="Arial" w:cs="Arial" w:eastAsia="Arial" w:hAnsi="Arial"/>
                <w:sz w:val="16"/>
                <w:szCs w:val="16"/>
                <w:color w:val="auto"/>
              </w:rPr>
              <w:t>100</w:t>
            </w:r>
          </w:p>
        </w:tc>
        <w:tc>
          <w:tcPr>
            <w:tcW w:w="26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6"/>
                <w:szCs w:val="16"/>
                <w:color w:val="auto"/>
              </w:rPr>
              <w:t>%</w:t>
            </w:r>
          </w:p>
        </w:tc>
        <w:tc>
          <w:tcPr>
            <w:tcW w:w="400" w:type="dxa"/>
            <w:vAlign w:val="bottom"/>
            <w:tcBorders>
              <w:bottom w:val="single" w:sz="8" w:color="auto"/>
            </w:tcBorders>
          </w:tcPr>
          <w:p>
            <w:pPr>
              <w:jc w:val="right"/>
              <w:ind w:right="179"/>
              <w:spacing w:after="0" w:line="176" w:lineRule="exact"/>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tcPr>
          <w:p>
            <w:pPr>
              <w:jc w:val="right"/>
              <w:ind w:right="179"/>
              <w:spacing w:after="0" w:line="176" w:lineRule="exact"/>
              <w:rPr>
                <w:sz w:val="20"/>
                <w:szCs w:val="20"/>
                <w:color w:val="auto"/>
              </w:rPr>
            </w:pPr>
            <w:r>
              <w:rPr>
                <w:rFonts w:ascii="Arial" w:cs="Arial" w:eastAsia="Arial" w:hAnsi="Arial"/>
                <w:sz w:val="16"/>
                <w:szCs w:val="16"/>
                <w:color w:val="auto"/>
              </w:rPr>
              <w:t>4,542</w:t>
            </w:r>
          </w:p>
        </w:tc>
        <w:tc>
          <w:tcPr>
            <w:tcW w:w="480" w:type="dxa"/>
            <w:vAlign w:val="bottom"/>
            <w:tcBorders>
              <w:bottom w:val="single" w:sz="8" w:color="auto"/>
            </w:tcBorders>
          </w:tcPr>
          <w:p>
            <w:pPr>
              <w:jc w:val="right"/>
              <w:ind w:right="59"/>
              <w:spacing w:after="0" w:line="176" w:lineRule="exact"/>
              <w:rPr>
                <w:sz w:val="20"/>
                <w:szCs w:val="20"/>
                <w:color w:val="auto"/>
              </w:rPr>
            </w:pPr>
            <w:r>
              <w:rPr>
                <w:rFonts w:ascii="Arial" w:cs="Arial" w:eastAsia="Arial" w:hAnsi="Arial"/>
                <w:sz w:val="16"/>
                <w:szCs w:val="16"/>
                <w:color w:val="auto"/>
              </w:rPr>
              <w:t>100</w:t>
            </w:r>
          </w:p>
        </w:tc>
        <w:tc>
          <w:tcPr>
            <w:tcW w:w="400" w:type="dxa"/>
            <w:vAlign w:val="bottom"/>
            <w:tcBorders>
              <w:bottom w:val="single" w:sz="8" w:color="auto"/>
            </w:tcBorders>
          </w:tcPr>
          <w:p>
            <w:pPr>
              <w:jc w:val="right"/>
              <w:ind w:right="99"/>
              <w:spacing w:after="0" w:line="176" w:lineRule="exact"/>
              <w:rPr>
                <w:sz w:val="20"/>
                <w:szCs w:val="20"/>
                <w:color w:val="auto"/>
              </w:rPr>
            </w:pPr>
            <w:r>
              <w:rPr>
                <w:rFonts w:ascii="Arial" w:cs="Arial" w:eastAsia="Arial" w:hAnsi="Arial"/>
                <w:sz w:val="16"/>
                <w:szCs w:val="16"/>
                <w:color w:val="auto"/>
              </w:rPr>
              <w:t>%</w:t>
            </w:r>
          </w:p>
        </w:tc>
      </w:tr>
      <w:tr>
        <w:trPr>
          <w:trHeight w:val="164"/>
        </w:trPr>
        <w:tc>
          <w:tcPr>
            <w:tcW w:w="20" w:type="dxa"/>
            <w:vAlign w:val="bottom"/>
          </w:tcPr>
          <w:p>
            <w:pPr>
              <w:spacing w:after="0"/>
              <w:rPr>
                <w:sz w:val="14"/>
                <w:szCs w:val="14"/>
                <w:color w:val="auto"/>
              </w:rPr>
            </w:pPr>
          </w:p>
        </w:tc>
        <w:tc>
          <w:tcPr>
            <w:tcW w:w="2860" w:type="dxa"/>
            <w:vAlign w:val="bottom"/>
          </w:tcPr>
          <w:p>
            <w:pPr>
              <w:spacing w:after="0" w:line="164" w:lineRule="exact"/>
              <w:rPr>
                <w:sz w:val="20"/>
                <w:szCs w:val="20"/>
                <w:color w:val="auto"/>
              </w:rPr>
            </w:pPr>
            <w:r>
              <w:rPr>
                <w:rFonts w:ascii="Arial" w:cs="Arial" w:eastAsia="Arial" w:hAnsi="Arial"/>
                <w:sz w:val="16"/>
                <w:szCs w:val="16"/>
                <w:color w:val="auto"/>
              </w:rPr>
              <w:t>INTEREST EXPENSE</w:t>
            </w:r>
          </w:p>
        </w:tc>
        <w:tc>
          <w:tcPr>
            <w:tcW w:w="3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00" w:type="dxa"/>
            <w:vAlign w:val="bottom"/>
          </w:tcPr>
          <w:p>
            <w:pPr>
              <w:spacing w:after="0"/>
              <w:rPr>
                <w:sz w:val="14"/>
                <w:szCs w:val="14"/>
                <w:color w:val="auto"/>
              </w:rPr>
            </w:pPr>
          </w:p>
        </w:tc>
      </w:tr>
      <w:tr>
        <w:trPr>
          <w:trHeight w:val="176"/>
        </w:trPr>
        <w:tc>
          <w:tcPr>
            <w:tcW w:w="20" w:type="dxa"/>
            <w:vAlign w:val="bottom"/>
          </w:tcPr>
          <w:p>
            <w:pPr>
              <w:spacing w:after="0"/>
              <w:rPr>
                <w:sz w:val="15"/>
                <w:szCs w:val="15"/>
                <w:color w:val="auto"/>
              </w:rPr>
            </w:pPr>
          </w:p>
        </w:tc>
        <w:tc>
          <w:tcPr>
            <w:tcW w:w="2860" w:type="dxa"/>
            <w:vAlign w:val="bottom"/>
          </w:tcPr>
          <w:p>
            <w:pPr>
              <w:ind w:left="80"/>
              <w:spacing w:after="0" w:line="176" w:lineRule="exact"/>
              <w:rPr>
                <w:sz w:val="20"/>
                <w:szCs w:val="20"/>
                <w:color w:val="auto"/>
              </w:rPr>
            </w:pPr>
            <w:r>
              <w:rPr>
                <w:rFonts w:ascii="Arial" w:cs="Arial" w:eastAsia="Arial" w:hAnsi="Arial"/>
                <w:sz w:val="16"/>
                <w:szCs w:val="16"/>
                <w:color w:val="auto"/>
              </w:rPr>
              <w:t>SDG&amp;E</w:t>
            </w:r>
          </w:p>
        </w:tc>
        <w:tc>
          <w:tcPr>
            <w:tcW w:w="340" w:type="dxa"/>
            <w:vAlign w:val="bottom"/>
          </w:tcPr>
          <w:p>
            <w:pPr>
              <w:jc w:val="right"/>
              <w:ind w:right="184"/>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ind w:right="120"/>
              <w:spacing w:after="0" w:line="176" w:lineRule="exact"/>
              <w:rPr>
                <w:sz w:val="20"/>
                <w:szCs w:val="20"/>
                <w:color w:val="auto"/>
              </w:rPr>
            </w:pPr>
            <w:r>
              <w:rPr>
                <w:rFonts w:ascii="Arial" w:cs="Arial" w:eastAsia="Arial" w:hAnsi="Arial"/>
                <w:sz w:val="16"/>
                <w:szCs w:val="16"/>
                <w:color w:val="auto"/>
              </w:rPr>
              <w:t>31</w:t>
            </w:r>
          </w:p>
        </w:tc>
        <w:tc>
          <w:tcPr>
            <w:tcW w:w="6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20" w:type="dxa"/>
            <w:vAlign w:val="bottom"/>
          </w:tcPr>
          <w:p>
            <w:pPr>
              <w:jc w:val="right"/>
              <w:ind w:right="199"/>
              <w:spacing w:after="0" w:line="176" w:lineRule="exact"/>
              <w:rPr>
                <w:sz w:val="20"/>
                <w:szCs w:val="20"/>
                <w:color w:val="auto"/>
              </w:rPr>
            </w:pPr>
            <w:r>
              <w:rPr>
                <w:rFonts w:ascii="Arial" w:cs="Arial" w:eastAsia="Arial" w:hAnsi="Arial"/>
                <w:sz w:val="16"/>
                <w:szCs w:val="16"/>
                <w:color w:val="auto"/>
              </w:rPr>
              <w:t>$</w:t>
            </w:r>
          </w:p>
        </w:tc>
        <w:tc>
          <w:tcPr>
            <w:tcW w:w="1000" w:type="dxa"/>
            <w:vAlign w:val="bottom"/>
          </w:tcPr>
          <w:p>
            <w:pPr>
              <w:jc w:val="right"/>
              <w:ind w:right="259"/>
              <w:spacing w:after="0" w:line="176" w:lineRule="exact"/>
              <w:rPr>
                <w:sz w:val="20"/>
                <w:szCs w:val="20"/>
                <w:color w:val="auto"/>
              </w:rPr>
            </w:pPr>
            <w:r>
              <w:rPr>
                <w:rFonts w:ascii="Arial" w:cs="Arial" w:eastAsia="Arial" w:hAnsi="Arial"/>
                <w:sz w:val="16"/>
                <w:szCs w:val="16"/>
                <w:color w:val="auto"/>
              </w:rPr>
              <w:t>31</w:t>
            </w:r>
          </w:p>
        </w:tc>
        <w:tc>
          <w:tcPr>
            <w:tcW w:w="5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20" w:type="dxa"/>
            <w:vAlign w:val="bottom"/>
          </w:tcPr>
          <w:p>
            <w:pPr>
              <w:jc w:val="right"/>
              <w:ind w:right="179"/>
              <w:spacing w:after="0" w:line="176" w:lineRule="exact"/>
              <w:rPr>
                <w:sz w:val="20"/>
                <w:szCs w:val="20"/>
                <w:color w:val="auto"/>
              </w:rPr>
            </w:pPr>
            <w:r>
              <w:rPr>
                <w:rFonts w:ascii="Arial" w:cs="Arial" w:eastAsia="Arial" w:hAnsi="Arial"/>
                <w:sz w:val="16"/>
                <w:szCs w:val="16"/>
                <w:color w:val="auto"/>
              </w:rPr>
              <w:t>$</w:t>
            </w:r>
          </w:p>
        </w:tc>
        <w:tc>
          <w:tcPr>
            <w:tcW w:w="840" w:type="dxa"/>
            <w:vAlign w:val="bottom"/>
          </w:tcPr>
          <w:p>
            <w:pPr>
              <w:jc w:val="right"/>
              <w:ind w:right="80"/>
              <w:spacing w:after="0" w:line="176" w:lineRule="exact"/>
              <w:rPr>
                <w:sz w:val="20"/>
                <w:szCs w:val="20"/>
                <w:color w:val="auto"/>
              </w:rPr>
            </w:pPr>
            <w:r>
              <w:rPr>
                <w:rFonts w:ascii="Arial" w:cs="Arial" w:eastAsia="Arial" w:hAnsi="Arial"/>
                <w:sz w:val="16"/>
                <w:szCs w:val="16"/>
                <w:color w:val="auto"/>
              </w:rPr>
              <w:t>67</w:t>
            </w:r>
          </w:p>
        </w:tc>
        <w:tc>
          <w:tcPr>
            <w:tcW w:w="5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00" w:type="dxa"/>
            <w:vAlign w:val="bottom"/>
          </w:tcPr>
          <w:p>
            <w:pPr>
              <w:jc w:val="right"/>
              <w:ind w:right="179"/>
              <w:spacing w:after="0" w:line="176" w:lineRule="exact"/>
              <w:rPr>
                <w:sz w:val="20"/>
                <w:szCs w:val="20"/>
                <w:color w:val="auto"/>
              </w:rPr>
            </w:pPr>
            <w:r>
              <w:rPr>
                <w:rFonts w:ascii="Arial" w:cs="Arial" w:eastAsia="Arial" w:hAnsi="Arial"/>
                <w:sz w:val="16"/>
                <w:szCs w:val="16"/>
                <w:color w:val="auto"/>
              </w:rPr>
              <w:t>$</w:t>
            </w:r>
          </w:p>
        </w:tc>
        <w:tc>
          <w:tcPr>
            <w:tcW w:w="940" w:type="dxa"/>
            <w:vAlign w:val="bottom"/>
          </w:tcPr>
          <w:p>
            <w:pPr>
              <w:jc w:val="right"/>
              <w:ind w:right="179"/>
              <w:spacing w:after="0" w:line="176" w:lineRule="exact"/>
              <w:rPr>
                <w:sz w:val="20"/>
                <w:szCs w:val="20"/>
                <w:color w:val="auto"/>
              </w:rPr>
            </w:pPr>
            <w:r>
              <w:rPr>
                <w:rFonts w:ascii="Arial" w:cs="Arial" w:eastAsia="Arial" w:hAnsi="Arial"/>
                <w:sz w:val="16"/>
                <w:szCs w:val="16"/>
                <w:color w:val="auto"/>
              </w:rPr>
              <w:t>62</w:t>
            </w:r>
          </w:p>
        </w:tc>
        <w:tc>
          <w:tcPr>
            <w:tcW w:w="480" w:type="dxa"/>
            <w:vAlign w:val="bottom"/>
          </w:tcPr>
          <w:p>
            <w:pPr>
              <w:spacing w:after="0"/>
              <w:rPr>
                <w:sz w:val="15"/>
                <w:szCs w:val="15"/>
                <w:color w:val="auto"/>
              </w:rPr>
            </w:pPr>
          </w:p>
        </w:tc>
        <w:tc>
          <w:tcPr>
            <w:tcW w:w="400" w:type="dxa"/>
            <w:vAlign w:val="bottom"/>
          </w:tcPr>
          <w:p>
            <w:pPr>
              <w:spacing w:after="0"/>
              <w:rPr>
                <w:sz w:val="15"/>
                <w:szCs w:val="15"/>
                <w:color w:val="auto"/>
              </w:rPr>
            </w:pPr>
          </w:p>
        </w:tc>
      </w:tr>
      <w:tr>
        <w:trPr>
          <w:trHeight w:val="176"/>
        </w:trPr>
        <w:tc>
          <w:tcPr>
            <w:tcW w:w="20" w:type="dxa"/>
            <w:vAlign w:val="bottom"/>
          </w:tcPr>
          <w:p>
            <w:pPr>
              <w:spacing w:after="0"/>
              <w:rPr>
                <w:sz w:val="15"/>
                <w:szCs w:val="15"/>
                <w:color w:val="auto"/>
              </w:rPr>
            </w:pPr>
          </w:p>
        </w:tc>
        <w:tc>
          <w:tcPr>
            <w:tcW w:w="2860" w:type="dxa"/>
            <w:vAlign w:val="bottom"/>
          </w:tcPr>
          <w:p>
            <w:pPr>
              <w:ind w:left="80"/>
              <w:spacing w:after="0" w:line="176" w:lineRule="exact"/>
              <w:rPr>
                <w:sz w:val="20"/>
                <w:szCs w:val="20"/>
                <w:color w:val="auto"/>
              </w:rPr>
            </w:pPr>
            <w:r>
              <w:rPr>
                <w:rFonts w:ascii="Arial" w:cs="Arial" w:eastAsia="Arial" w:hAnsi="Arial"/>
                <w:sz w:val="16"/>
                <w:szCs w:val="16"/>
                <w:color w:val="auto"/>
              </w:rPr>
              <w:t>SoCalGas</w:t>
            </w:r>
          </w:p>
        </w:tc>
        <w:tc>
          <w:tcPr>
            <w:tcW w:w="340" w:type="dxa"/>
            <w:vAlign w:val="bottom"/>
          </w:tcPr>
          <w:p>
            <w:pPr>
              <w:spacing w:after="0"/>
              <w:rPr>
                <w:sz w:val="15"/>
                <w:szCs w:val="15"/>
                <w:color w:val="auto"/>
              </w:rPr>
            </w:pPr>
          </w:p>
        </w:tc>
        <w:tc>
          <w:tcPr>
            <w:tcW w:w="860" w:type="dxa"/>
            <w:vAlign w:val="bottom"/>
          </w:tcPr>
          <w:p>
            <w:pPr>
              <w:jc w:val="right"/>
              <w:ind w:right="120"/>
              <w:spacing w:after="0" w:line="176" w:lineRule="exact"/>
              <w:rPr>
                <w:sz w:val="20"/>
                <w:szCs w:val="20"/>
                <w:color w:val="auto"/>
              </w:rPr>
            </w:pPr>
            <w:r>
              <w:rPr>
                <w:rFonts w:ascii="Arial" w:cs="Arial" w:eastAsia="Arial" w:hAnsi="Arial"/>
                <w:sz w:val="16"/>
                <w:szCs w:val="16"/>
                <w:color w:val="auto"/>
              </w:rPr>
              <w:t>18</w:t>
            </w:r>
          </w:p>
        </w:tc>
        <w:tc>
          <w:tcPr>
            <w:tcW w:w="6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00" w:type="dxa"/>
            <w:vAlign w:val="bottom"/>
          </w:tcPr>
          <w:p>
            <w:pPr>
              <w:jc w:val="right"/>
              <w:ind w:right="259"/>
              <w:spacing w:after="0" w:line="176" w:lineRule="exact"/>
              <w:rPr>
                <w:sz w:val="20"/>
                <w:szCs w:val="20"/>
                <w:color w:val="auto"/>
              </w:rPr>
            </w:pPr>
            <w:r>
              <w:rPr>
                <w:rFonts w:ascii="Arial" w:cs="Arial" w:eastAsia="Arial" w:hAnsi="Arial"/>
                <w:sz w:val="16"/>
                <w:szCs w:val="16"/>
                <w:color w:val="auto"/>
              </w:rPr>
              <w:t>16</w:t>
            </w:r>
          </w:p>
        </w:tc>
        <w:tc>
          <w:tcPr>
            <w:tcW w:w="5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40" w:type="dxa"/>
            <w:vAlign w:val="bottom"/>
          </w:tcPr>
          <w:p>
            <w:pPr>
              <w:jc w:val="right"/>
              <w:ind w:right="80"/>
              <w:spacing w:after="0" w:line="176" w:lineRule="exact"/>
              <w:rPr>
                <w:sz w:val="20"/>
                <w:szCs w:val="20"/>
                <w:color w:val="auto"/>
              </w:rPr>
            </w:pPr>
            <w:r>
              <w:rPr>
                <w:rFonts w:ascii="Arial" w:cs="Arial" w:eastAsia="Arial" w:hAnsi="Arial"/>
                <w:sz w:val="16"/>
                <w:szCs w:val="16"/>
                <w:color w:val="auto"/>
              </w:rPr>
              <w:t>35</w:t>
            </w:r>
          </w:p>
        </w:tc>
        <w:tc>
          <w:tcPr>
            <w:tcW w:w="5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40" w:type="dxa"/>
            <w:vAlign w:val="bottom"/>
          </w:tcPr>
          <w:p>
            <w:pPr>
              <w:jc w:val="right"/>
              <w:ind w:right="179"/>
              <w:spacing w:after="0" w:line="176" w:lineRule="exact"/>
              <w:rPr>
                <w:sz w:val="20"/>
                <w:szCs w:val="20"/>
                <w:color w:val="auto"/>
              </w:rPr>
            </w:pPr>
            <w:r>
              <w:rPr>
                <w:rFonts w:ascii="Arial" w:cs="Arial" w:eastAsia="Arial" w:hAnsi="Arial"/>
                <w:sz w:val="16"/>
                <w:szCs w:val="16"/>
                <w:color w:val="auto"/>
              </w:rPr>
              <w:t>33</w:t>
            </w:r>
          </w:p>
        </w:tc>
        <w:tc>
          <w:tcPr>
            <w:tcW w:w="480" w:type="dxa"/>
            <w:vAlign w:val="bottom"/>
          </w:tcPr>
          <w:p>
            <w:pPr>
              <w:spacing w:after="0"/>
              <w:rPr>
                <w:sz w:val="15"/>
                <w:szCs w:val="15"/>
                <w:color w:val="auto"/>
              </w:rPr>
            </w:pPr>
          </w:p>
        </w:tc>
        <w:tc>
          <w:tcPr>
            <w:tcW w:w="400" w:type="dxa"/>
            <w:vAlign w:val="bottom"/>
          </w:tcPr>
          <w:p>
            <w:pPr>
              <w:spacing w:after="0"/>
              <w:rPr>
                <w:sz w:val="15"/>
                <w:szCs w:val="15"/>
                <w:color w:val="auto"/>
              </w:rPr>
            </w:pPr>
          </w:p>
        </w:tc>
      </w:tr>
      <w:tr>
        <w:trPr>
          <w:trHeight w:val="176"/>
        </w:trPr>
        <w:tc>
          <w:tcPr>
            <w:tcW w:w="20" w:type="dxa"/>
            <w:vAlign w:val="bottom"/>
          </w:tcPr>
          <w:p>
            <w:pPr>
              <w:spacing w:after="0"/>
              <w:rPr>
                <w:sz w:val="15"/>
                <w:szCs w:val="15"/>
                <w:color w:val="auto"/>
              </w:rPr>
            </w:pPr>
          </w:p>
        </w:tc>
        <w:tc>
          <w:tcPr>
            <w:tcW w:w="2860" w:type="dxa"/>
            <w:vAlign w:val="bottom"/>
          </w:tcPr>
          <w:p>
            <w:pPr>
              <w:ind w:left="80"/>
              <w:spacing w:after="0" w:line="176" w:lineRule="exact"/>
              <w:rPr>
                <w:sz w:val="20"/>
                <w:szCs w:val="20"/>
                <w:color w:val="auto"/>
              </w:rPr>
            </w:pPr>
            <w:r>
              <w:rPr>
                <w:rFonts w:ascii="Arial" w:cs="Arial" w:eastAsia="Arial" w:hAnsi="Arial"/>
                <w:sz w:val="16"/>
                <w:szCs w:val="16"/>
                <w:color w:val="auto"/>
              </w:rPr>
              <w:t>Sempra Generation</w:t>
            </w:r>
          </w:p>
        </w:tc>
        <w:tc>
          <w:tcPr>
            <w:tcW w:w="340" w:type="dxa"/>
            <w:vAlign w:val="bottom"/>
          </w:tcPr>
          <w:p>
            <w:pPr>
              <w:spacing w:after="0"/>
              <w:rPr>
                <w:sz w:val="15"/>
                <w:szCs w:val="15"/>
                <w:color w:val="auto"/>
              </w:rPr>
            </w:pPr>
          </w:p>
        </w:tc>
        <w:tc>
          <w:tcPr>
            <w:tcW w:w="860" w:type="dxa"/>
            <w:vAlign w:val="bottom"/>
          </w:tcPr>
          <w:p>
            <w:pPr>
              <w:jc w:val="right"/>
              <w:ind w:right="120"/>
              <w:spacing w:after="0" w:line="176" w:lineRule="exact"/>
              <w:rPr>
                <w:sz w:val="20"/>
                <w:szCs w:val="20"/>
                <w:color w:val="auto"/>
              </w:rPr>
            </w:pPr>
            <w:r>
              <w:rPr>
                <w:rFonts w:ascii="Arial" w:cs="Arial" w:eastAsia="Arial" w:hAnsi="Arial"/>
                <w:sz w:val="16"/>
                <w:szCs w:val="16"/>
                <w:color w:val="auto"/>
              </w:rPr>
              <w:t>4</w:t>
            </w:r>
          </w:p>
        </w:tc>
        <w:tc>
          <w:tcPr>
            <w:tcW w:w="6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00" w:type="dxa"/>
            <w:vAlign w:val="bottom"/>
          </w:tcPr>
          <w:p>
            <w:pPr>
              <w:jc w:val="right"/>
              <w:ind w:right="259"/>
              <w:spacing w:after="0" w:line="176" w:lineRule="exact"/>
              <w:rPr>
                <w:sz w:val="20"/>
                <w:szCs w:val="20"/>
                <w:color w:val="auto"/>
              </w:rPr>
            </w:pPr>
            <w:r>
              <w:rPr>
                <w:rFonts w:ascii="Arial" w:cs="Arial" w:eastAsia="Arial" w:hAnsi="Arial"/>
                <w:sz w:val="16"/>
                <w:szCs w:val="16"/>
                <w:color w:val="auto"/>
              </w:rPr>
              <w:t>3</w:t>
            </w:r>
          </w:p>
        </w:tc>
        <w:tc>
          <w:tcPr>
            <w:tcW w:w="5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40" w:type="dxa"/>
            <w:vAlign w:val="bottom"/>
          </w:tcPr>
          <w:p>
            <w:pPr>
              <w:jc w:val="right"/>
              <w:ind w:right="80"/>
              <w:spacing w:after="0" w:line="176" w:lineRule="exact"/>
              <w:rPr>
                <w:sz w:val="20"/>
                <w:szCs w:val="20"/>
                <w:color w:val="auto"/>
              </w:rPr>
            </w:pPr>
            <w:r>
              <w:rPr>
                <w:rFonts w:ascii="Arial" w:cs="Arial" w:eastAsia="Arial" w:hAnsi="Arial"/>
                <w:sz w:val="16"/>
                <w:szCs w:val="16"/>
                <w:color w:val="auto"/>
              </w:rPr>
              <w:t>6</w:t>
            </w:r>
          </w:p>
        </w:tc>
        <w:tc>
          <w:tcPr>
            <w:tcW w:w="5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40" w:type="dxa"/>
            <w:vAlign w:val="bottom"/>
          </w:tcPr>
          <w:p>
            <w:pPr>
              <w:jc w:val="right"/>
              <w:ind w:right="179"/>
              <w:spacing w:after="0" w:line="176" w:lineRule="exact"/>
              <w:rPr>
                <w:sz w:val="20"/>
                <w:szCs w:val="20"/>
                <w:color w:val="auto"/>
              </w:rPr>
            </w:pPr>
            <w:r>
              <w:rPr>
                <w:rFonts w:ascii="Arial" w:cs="Arial" w:eastAsia="Arial" w:hAnsi="Arial"/>
                <w:sz w:val="16"/>
                <w:szCs w:val="16"/>
                <w:color w:val="auto"/>
              </w:rPr>
              <w:t>7</w:t>
            </w:r>
          </w:p>
        </w:tc>
        <w:tc>
          <w:tcPr>
            <w:tcW w:w="480" w:type="dxa"/>
            <w:vAlign w:val="bottom"/>
          </w:tcPr>
          <w:p>
            <w:pPr>
              <w:spacing w:after="0"/>
              <w:rPr>
                <w:sz w:val="15"/>
                <w:szCs w:val="15"/>
                <w:color w:val="auto"/>
              </w:rPr>
            </w:pPr>
          </w:p>
        </w:tc>
        <w:tc>
          <w:tcPr>
            <w:tcW w:w="400" w:type="dxa"/>
            <w:vAlign w:val="bottom"/>
          </w:tcPr>
          <w:p>
            <w:pPr>
              <w:spacing w:after="0"/>
              <w:rPr>
                <w:sz w:val="15"/>
                <w:szCs w:val="15"/>
                <w:color w:val="auto"/>
              </w:rPr>
            </w:pPr>
          </w:p>
        </w:tc>
      </w:tr>
      <w:tr>
        <w:trPr>
          <w:trHeight w:val="176"/>
        </w:trPr>
        <w:tc>
          <w:tcPr>
            <w:tcW w:w="20" w:type="dxa"/>
            <w:vAlign w:val="bottom"/>
          </w:tcPr>
          <w:p>
            <w:pPr>
              <w:spacing w:after="0"/>
              <w:rPr>
                <w:sz w:val="15"/>
                <w:szCs w:val="15"/>
                <w:color w:val="auto"/>
              </w:rPr>
            </w:pPr>
          </w:p>
        </w:tc>
        <w:tc>
          <w:tcPr>
            <w:tcW w:w="2860" w:type="dxa"/>
            <w:vAlign w:val="bottom"/>
          </w:tcPr>
          <w:p>
            <w:pPr>
              <w:ind w:left="80"/>
              <w:spacing w:after="0" w:line="176" w:lineRule="exact"/>
              <w:rPr>
                <w:sz w:val="20"/>
                <w:szCs w:val="20"/>
                <w:color w:val="auto"/>
              </w:rPr>
            </w:pPr>
            <w:r>
              <w:rPr>
                <w:rFonts w:ascii="Arial" w:cs="Arial" w:eastAsia="Arial" w:hAnsi="Arial"/>
                <w:sz w:val="16"/>
                <w:szCs w:val="16"/>
                <w:color w:val="auto"/>
              </w:rPr>
              <w:t>Sempra Pipelines &amp; Storage</w:t>
            </w:r>
          </w:p>
        </w:tc>
        <w:tc>
          <w:tcPr>
            <w:tcW w:w="340" w:type="dxa"/>
            <w:vAlign w:val="bottom"/>
          </w:tcPr>
          <w:p>
            <w:pPr>
              <w:spacing w:after="0"/>
              <w:rPr>
                <w:sz w:val="15"/>
                <w:szCs w:val="15"/>
                <w:color w:val="auto"/>
              </w:rPr>
            </w:pPr>
          </w:p>
        </w:tc>
        <w:tc>
          <w:tcPr>
            <w:tcW w:w="860" w:type="dxa"/>
            <w:vAlign w:val="bottom"/>
          </w:tcPr>
          <w:p>
            <w:pPr>
              <w:jc w:val="right"/>
              <w:ind w:right="120"/>
              <w:spacing w:after="0" w:line="176" w:lineRule="exact"/>
              <w:rPr>
                <w:sz w:val="20"/>
                <w:szCs w:val="20"/>
                <w:color w:val="auto"/>
              </w:rPr>
            </w:pPr>
            <w:r>
              <w:rPr>
                <w:rFonts w:ascii="Arial" w:cs="Arial" w:eastAsia="Arial" w:hAnsi="Arial"/>
                <w:sz w:val="16"/>
                <w:szCs w:val="16"/>
                <w:color w:val="auto"/>
              </w:rPr>
              <w:t>27</w:t>
            </w:r>
          </w:p>
        </w:tc>
        <w:tc>
          <w:tcPr>
            <w:tcW w:w="6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00" w:type="dxa"/>
            <w:vAlign w:val="bottom"/>
          </w:tcPr>
          <w:p>
            <w:pPr>
              <w:jc w:val="right"/>
              <w:ind w:right="259"/>
              <w:spacing w:after="0" w:line="176" w:lineRule="exact"/>
              <w:rPr>
                <w:sz w:val="20"/>
                <w:szCs w:val="20"/>
                <w:color w:val="auto"/>
              </w:rPr>
            </w:pPr>
            <w:r>
              <w:rPr>
                <w:rFonts w:ascii="Arial" w:cs="Arial" w:eastAsia="Arial" w:hAnsi="Arial"/>
                <w:sz w:val="16"/>
                <w:szCs w:val="16"/>
                <w:color w:val="auto"/>
              </w:rPr>
              <w:t>6</w:t>
            </w:r>
          </w:p>
        </w:tc>
        <w:tc>
          <w:tcPr>
            <w:tcW w:w="5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40" w:type="dxa"/>
            <w:vAlign w:val="bottom"/>
          </w:tcPr>
          <w:p>
            <w:pPr>
              <w:jc w:val="right"/>
              <w:ind w:right="80"/>
              <w:spacing w:after="0" w:line="176" w:lineRule="exact"/>
              <w:rPr>
                <w:sz w:val="20"/>
                <w:szCs w:val="20"/>
                <w:color w:val="auto"/>
              </w:rPr>
            </w:pPr>
            <w:r>
              <w:rPr>
                <w:rFonts w:ascii="Arial" w:cs="Arial" w:eastAsia="Arial" w:hAnsi="Arial"/>
                <w:sz w:val="16"/>
                <w:szCs w:val="16"/>
                <w:color w:val="auto"/>
              </w:rPr>
              <w:t>35</w:t>
            </w:r>
          </w:p>
        </w:tc>
        <w:tc>
          <w:tcPr>
            <w:tcW w:w="5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40" w:type="dxa"/>
            <w:vAlign w:val="bottom"/>
          </w:tcPr>
          <w:p>
            <w:pPr>
              <w:jc w:val="right"/>
              <w:ind w:right="179"/>
              <w:spacing w:after="0" w:line="176" w:lineRule="exact"/>
              <w:rPr>
                <w:sz w:val="20"/>
                <w:szCs w:val="20"/>
                <w:color w:val="auto"/>
              </w:rPr>
            </w:pPr>
            <w:r>
              <w:rPr>
                <w:rFonts w:ascii="Arial" w:cs="Arial" w:eastAsia="Arial" w:hAnsi="Arial"/>
                <w:sz w:val="16"/>
                <w:szCs w:val="16"/>
                <w:color w:val="auto"/>
              </w:rPr>
              <w:t>15</w:t>
            </w:r>
          </w:p>
        </w:tc>
        <w:tc>
          <w:tcPr>
            <w:tcW w:w="480" w:type="dxa"/>
            <w:vAlign w:val="bottom"/>
          </w:tcPr>
          <w:p>
            <w:pPr>
              <w:spacing w:after="0"/>
              <w:rPr>
                <w:sz w:val="15"/>
                <w:szCs w:val="15"/>
                <w:color w:val="auto"/>
              </w:rPr>
            </w:pPr>
          </w:p>
        </w:tc>
        <w:tc>
          <w:tcPr>
            <w:tcW w:w="400" w:type="dxa"/>
            <w:vAlign w:val="bottom"/>
          </w:tcPr>
          <w:p>
            <w:pPr>
              <w:spacing w:after="0"/>
              <w:rPr>
                <w:sz w:val="15"/>
                <w:szCs w:val="15"/>
                <w:color w:val="auto"/>
              </w:rPr>
            </w:pPr>
          </w:p>
        </w:tc>
      </w:tr>
      <w:tr>
        <w:trPr>
          <w:trHeight w:val="176"/>
        </w:trPr>
        <w:tc>
          <w:tcPr>
            <w:tcW w:w="20" w:type="dxa"/>
            <w:vAlign w:val="bottom"/>
          </w:tcPr>
          <w:p>
            <w:pPr>
              <w:spacing w:after="0"/>
              <w:rPr>
                <w:sz w:val="15"/>
                <w:szCs w:val="15"/>
                <w:color w:val="auto"/>
              </w:rPr>
            </w:pPr>
          </w:p>
        </w:tc>
        <w:tc>
          <w:tcPr>
            <w:tcW w:w="2860" w:type="dxa"/>
            <w:vAlign w:val="bottom"/>
          </w:tcPr>
          <w:p>
            <w:pPr>
              <w:ind w:left="80"/>
              <w:spacing w:after="0" w:line="176" w:lineRule="exact"/>
              <w:rPr>
                <w:sz w:val="20"/>
                <w:szCs w:val="20"/>
                <w:color w:val="auto"/>
              </w:rPr>
            </w:pPr>
            <w:r>
              <w:rPr>
                <w:rFonts w:ascii="Arial" w:cs="Arial" w:eastAsia="Arial" w:hAnsi="Arial"/>
                <w:sz w:val="16"/>
                <w:szCs w:val="16"/>
                <w:color w:val="auto"/>
              </w:rPr>
              <w:t>Sempra LNG</w:t>
            </w:r>
          </w:p>
        </w:tc>
        <w:tc>
          <w:tcPr>
            <w:tcW w:w="340" w:type="dxa"/>
            <w:vAlign w:val="bottom"/>
          </w:tcPr>
          <w:p>
            <w:pPr>
              <w:spacing w:after="0"/>
              <w:rPr>
                <w:sz w:val="15"/>
                <w:szCs w:val="15"/>
                <w:color w:val="auto"/>
              </w:rPr>
            </w:pPr>
          </w:p>
        </w:tc>
        <w:tc>
          <w:tcPr>
            <w:tcW w:w="860" w:type="dxa"/>
            <w:vAlign w:val="bottom"/>
          </w:tcPr>
          <w:p>
            <w:pPr>
              <w:jc w:val="right"/>
              <w:ind w:right="120"/>
              <w:spacing w:after="0" w:line="176" w:lineRule="exact"/>
              <w:rPr>
                <w:sz w:val="20"/>
                <w:szCs w:val="20"/>
                <w:color w:val="auto"/>
              </w:rPr>
            </w:pPr>
            <w:r>
              <w:rPr>
                <w:rFonts w:ascii="Arial" w:cs="Arial" w:eastAsia="Arial" w:hAnsi="Arial"/>
                <w:sz w:val="16"/>
                <w:szCs w:val="16"/>
                <w:color w:val="auto"/>
              </w:rPr>
              <w:t>11</w:t>
            </w:r>
          </w:p>
        </w:tc>
        <w:tc>
          <w:tcPr>
            <w:tcW w:w="6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00" w:type="dxa"/>
            <w:vAlign w:val="bottom"/>
          </w:tcPr>
          <w:p>
            <w:pPr>
              <w:jc w:val="right"/>
              <w:ind w:right="259"/>
              <w:spacing w:after="0" w:line="176" w:lineRule="exact"/>
              <w:rPr>
                <w:sz w:val="20"/>
                <w:szCs w:val="20"/>
                <w:color w:val="auto"/>
              </w:rPr>
            </w:pPr>
            <w:r>
              <w:rPr>
                <w:rFonts w:ascii="Arial" w:cs="Arial" w:eastAsia="Arial" w:hAnsi="Arial"/>
                <w:sz w:val="16"/>
                <w:szCs w:val="16"/>
                <w:color w:val="auto"/>
              </w:rPr>
              <w:t>12</w:t>
            </w:r>
          </w:p>
        </w:tc>
        <w:tc>
          <w:tcPr>
            <w:tcW w:w="5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40" w:type="dxa"/>
            <w:vAlign w:val="bottom"/>
          </w:tcPr>
          <w:p>
            <w:pPr>
              <w:jc w:val="right"/>
              <w:ind w:right="80"/>
              <w:spacing w:after="0" w:line="176" w:lineRule="exact"/>
              <w:rPr>
                <w:sz w:val="20"/>
                <w:szCs w:val="20"/>
                <w:color w:val="auto"/>
              </w:rPr>
            </w:pPr>
            <w:r>
              <w:rPr>
                <w:rFonts w:ascii="Arial" w:cs="Arial" w:eastAsia="Arial" w:hAnsi="Arial"/>
                <w:sz w:val="16"/>
                <w:szCs w:val="16"/>
                <w:color w:val="auto"/>
              </w:rPr>
              <w:t>22</w:t>
            </w:r>
          </w:p>
        </w:tc>
        <w:tc>
          <w:tcPr>
            <w:tcW w:w="5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40" w:type="dxa"/>
            <w:vAlign w:val="bottom"/>
          </w:tcPr>
          <w:p>
            <w:pPr>
              <w:jc w:val="right"/>
              <w:ind w:right="179"/>
              <w:spacing w:after="0" w:line="176" w:lineRule="exact"/>
              <w:rPr>
                <w:sz w:val="20"/>
                <w:szCs w:val="20"/>
                <w:color w:val="auto"/>
              </w:rPr>
            </w:pPr>
            <w:r>
              <w:rPr>
                <w:rFonts w:ascii="Arial" w:cs="Arial" w:eastAsia="Arial" w:hAnsi="Arial"/>
                <w:sz w:val="16"/>
                <w:szCs w:val="16"/>
                <w:color w:val="auto"/>
              </w:rPr>
              <w:t>24</w:t>
            </w:r>
          </w:p>
        </w:tc>
        <w:tc>
          <w:tcPr>
            <w:tcW w:w="480" w:type="dxa"/>
            <w:vAlign w:val="bottom"/>
          </w:tcPr>
          <w:p>
            <w:pPr>
              <w:spacing w:after="0"/>
              <w:rPr>
                <w:sz w:val="15"/>
                <w:szCs w:val="15"/>
                <w:color w:val="auto"/>
              </w:rPr>
            </w:pPr>
          </w:p>
        </w:tc>
        <w:tc>
          <w:tcPr>
            <w:tcW w:w="400" w:type="dxa"/>
            <w:vAlign w:val="bottom"/>
          </w:tcPr>
          <w:p>
            <w:pPr>
              <w:spacing w:after="0"/>
              <w:rPr>
                <w:sz w:val="15"/>
                <w:szCs w:val="15"/>
                <w:color w:val="auto"/>
              </w:rPr>
            </w:pPr>
          </w:p>
        </w:tc>
      </w:tr>
      <w:tr>
        <w:trPr>
          <w:trHeight w:val="176"/>
        </w:trPr>
        <w:tc>
          <w:tcPr>
            <w:tcW w:w="20" w:type="dxa"/>
            <w:vAlign w:val="bottom"/>
          </w:tcPr>
          <w:p>
            <w:pPr>
              <w:spacing w:after="0"/>
              <w:rPr>
                <w:sz w:val="15"/>
                <w:szCs w:val="15"/>
                <w:color w:val="auto"/>
              </w:rPr>
            </w:pPr>
          </w:p>
        </w:tc>
        <w:tc>
          <w:tcPr>
            <w:tcW w:w="2860" w:type="dxa"/>
            <w:vAlign w:val="bottom"/>
          </w:tcPr>
          <w:p>
            <w:pPr>
              <w:ind w:left="60"/>
              <w:spacing w:after="0" w:line="176" w:lineRule="exact"/>
              <w:rPr>
                <w:sz w:val="20"/>
                <w:szCs w:val="20"/>
                <w:color w:val="auto"/>
              </w:rPr>
            </w:pPr>
            <w:r>
              <w:rPr>
                <w:rFonts w:ascii="Arial" w:cs="Arial" w:eastAsia="Arial" w:hAnsi="Arial"/>
                <w:sz w:val="16"/>
                <w:szCs w:val="16"/>
                <w:color w:val="auto"/>
              </w:rPr>
              <w:t>All other(2)</w:t>
            </w:r>
          </w:p>
        </w:tc>
        <w:tc>
          <w:tcPr>
            <w:tcW w:w="340" w:type="dxa"/>
            <w:vAlign w:val="bottom"/>
          </w:tcPr>
          <w:p>
            <w:pPr>
              <w:spacing w:after="0"/>
              <w:rPr>
                <w:sz w:val="15"/>
                <w:szCs w:val="15"/>
                <w:color w:val="auto"/>
              </w:rPr>
            </w:pPr>
          </w:p>
        </w:tc>
        <w:tc>
          <w:tcPr>
            <w:tcW w:w="860" w:type="dxa"/>
            <w:vAlign w:val="bottom"/>
          </w:tcPr>
          <w:p>
            <w:pPr>
              <w:jc w:val="right"/>
              <w:ind w:right="120"/>
              <w:spacing w:after="0" w:line="176" w:lineRule="exact"/>
              <w:rPr>
                <w:sz w:val="20"/>
                <w:szCs w:val="20"/>
                <w:color w:val="auto"/>
              </w:rPr>
            </w:pPr>
            <w:r>
              <w:rPr>
                <w:rFonts w:ascii="Arial" w:cs="Arial" w:eastAsia="Arial" w:hAnsi="Arial"/>
                <w:sz w:val="16"/>
                <w:szCs w:val="16"/>
                <w:color w:val="auto"/>
              </w:rPr>
              <w:t>60</w:t>
            </w:r>
          </w:p>
        </w:tc>
        <w:tc>
          <w:tcPr>
            <w:tcW w:w="6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00" w:type="dxa"/>
            <w:vAlign w:val="bottom"/>
          </w:tcPr>
          <w:p>
            <w:pPr>
              <w:jc w:val="right"/>
              <w:ind w:right="259"/>
              <w:spacing w:after="0" w:line="176" w:lineRule="exact"/>
              <w:rPr>
                <w:sz w:val="20"/>
                <w:szCs w:val="20"/>
                <w:color w:val="auto"/>
              </w:rPr>
            </w:pPr>
            <w:r>
              <w:rPr>
                <w:rFonts w:ascii="Arial" w:cs="Arial" w:eastAsia="Arial" w:hAnsi="Arial"/>
                <w:sz w:val="16"/>
                <w:szCs w:val="16"/>
                <w:color w:val="auto"/>
              </w:rPr>
              <w:t>61</w:t>
            </w:r>
          </w:p>
        </w:tc>
        <w:tc>
          <w:tcPr>
            <w:tcW w:w="5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40" w:type="dxa"/>
            <w:vAlign w:val="bottom"/>
          </w:tcPr>
          <w:p>
            <w:pPr>
              <w:jc w:val="right"/>
              <w:ind w:right="80"/>
              <w:spacing w:after="0" w:line="176" w:lineRule="exact"/>
              <w:rPr>
                <w:sz w:val="20"/>
                <w:szCs w:val="20"/>
                <w:color w:val="auto"/>
              </w:rPr>
            </w:pPr>
            <w:r>
              <w:rPr>
                <w:rFonts w:ascii="Arial" w:cs="Arial" w:eastAsia="Arial" w:hAnsi="Arial"/>
                <w:sz w:val="16"/>
                <w:szCs w:val="16"/>
                <w:color w:val="auto"/>
              </w:rPr>
              <w:t>117</w:t>
            </w:r>
          </w:p>
        </w:tc>
        <w:tc>
          <w:tcPr>
            <w:tcW w:w="5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40" w:type="dxa"/>
            <w:vAlign w:val="bottom"/>
          </w:tcPr>
          <w:p>
            <w:pPr>
              <w:jc w:val="right"/>
              <w:ind w:right="179"/>
              <w:spacing w:after="0" w:line="176" w:lineRule="exact"/>
              <w:rPr>
                <w:sz w:val="20"/>
                <w:szCs w:val="20"/>
                <w:color w:val="auto"/>
              </w:rPr>
            </w:pPr>
            <w:r>
              <w:rPr>
                <w:rFonts w:ascii="Arial" w:cs="Arial" w:eastAsia="Arial" w:hAnsi="Arial"/>
                <w:sz w:val="16"/>
                <w:szCs w:val="16"/>
                <w:color w:val="auto"/>
              </w:rPr>
              <w:t>122</w:t>
            </w:r>
          </w:p>
        </w:tc>
        <w:tc>
          <w:tcPr>
            <w:tcW w:w="480" w:type="dxa"/>
            <w:vAlign w:val="bottom"/>
          </w:tcPr>
          <w:p>
            <w:pPr>
              <w:spacing w:after="0"/>
              <w:rPr>
                <w:sz w:val="15"/>
                <w:szCs w:val="15"/>
                <w:color w:val="auto"/>
              </w:rPr>
            </w:pPr>
          </w:p>
        </w:tc>
        <w:tc>
          <w:tcPr>
            <w:tcW w:w="400" w:type="dxa"/>
            <w:vAlign w:val="bottom"/>
          </w:tcPr>
          <w:p>
            <w:pPr>
              <w:spacing w:after="0"/>
              <w:rPr>
                <w:sz w:val="15"/>
                <w:szCs w:val="15"/>
                <w:color w:val="auto"/>
              </w:rPr>
            </w:pPr>
          </w:p>
        </w:tc>
      </w:tr>
      <w:tr>
        <w:trPr>
          <w:trHeight w:val="194"/>
        </w:trPr>
        <w:tc>
          <w:tcPr>
            <w:tcW w:w="20" w:type="dxa"/>
            <w:vAlign w:val="bottom"/>
          </w:tcPr>
          <w:p>
            <w:pPr>
              <w:spacing w:after="0"/>
              <w:rPr>
                <w:sz w:val="16"/>
                <w:szCs w:val="16"/>
                <w:color w:val="auto"/>
              </w:rPr>
            </w:pPr>
          </w:p>
        </w:tc>
        <w:tc>
          <w:tcPr>
            <w:tcW w:w="2860" w:type="dxa"/>
            <w:vAlign w:val="bottom"/>
          </w:tcPr>
          <w:p>
            <w:pPr>
              <w:ind w:left="80"/>
              <w:spacing w:after="0"/>
              <w:rPr>
                <w:sz w:val="20"/>
                <w:szCs w:val="20"/>
                <w:color w:val="auto"/>
              </w:rPr>
            </w:pPr>
            <w:r>
              <w:rPr>
                <w:rFonts w:ascii="Arial" w:cs="Arial" w:eastAsia="Arial" w:hAnsi="Arial"/>
                <w:sz w:val="16"/>
                <w:szCs w:val="16"/>
                <w:color w:val="auto"/>
              </w:rPr>
              <w:t>Intercompany eliminations(2)</w:t>
            </w:r>
          </w:p>
        </w:tc>
        <w:tc>
          <w:tcPr>
            <w:tcW w:w="3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color w:val="auto"/>
              </w:rPr>
              <w:t>(33)</w:t>
            </w:r>
          </w:p>
        </w:tc>
        <w:tc>
          <w:tcPr>
            <w:tcW w:w="6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rPr>
              <w:t>(26)</w:t>
            </w:r>
          </w:p>
        </w:tc>
        <w:tc>
          <w:tcPr>
            <w:tcW w:w="50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(56)</w:t>
            </w:r>
          </w:p>
        </w:tc>
        <w:tc>
          <w:tcPr>
            <w:tcW w:w="5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(51)</w:t>
            </w:r>
          </w:p>
        </w:tc>
        <w:tc>
          <w:tcPr>
            <w:tcW w:w="48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r>
      <w:tr>
        <w:trPr>
          <w:trHeight w:val="183"/>
        </w:trPr>
        <w:tc>
          <w:tcPr>
            <w:tcW w:w="20" w:type="dxa"/>
            <w:vAlign w:val="bottom"/>
          </w:tcPr>
          <w:p>
            <w:pPr>
              <w:spacing w:after="0"/>
              <w:rPr>
                <w:sz w:val="15"/>
                <w:szCs w:val="15"/>
                <w:color w:val="auto"/>
              </w:rPr>
            </w:pPr>
          </w:p>
        </w:tc>
        <w:tc>
          <w:tcPr>
            <w:tcW w:w="2860" w:type="dxa"/>
            <w:vAlign w:val="bottom"/>
            <w:tcBorders>
              <w:bottom w:val="single" w:sz="8" w:color="auto"/>
            </w:tcBorders>
          </w:tcPr>
          <w:p>
            <w:pPr>
              <w:ind w:left="260"/>
              <w:spacing w:after="0" w:line="176" w:lineRule="exact"/>
              <w:rPr>
                <w:sz w:val="20"/>
                <w:szCs w:val="20"/>
                <w:color w:val="auto"/>
              </w:rPr>
            </w:pPr>
            <w:r>
              <w:rPr>
                <w:rFonts w:ascii="Arial" w:cs="Arial" w:eastAsia="Arial" w:hAnsi="Arial"/>
                <w:sz w:val="16"/>
                <w:szCs w:val="16"/>
                <w:color w:val="auto"/>
              </w:rPr>
              <w:t>Total</w:t>
            </w:r>
          </w:p>
        </w:tc>
        <w:tc>
          <w:tcPr>
            <w:tcW w:w="340" w:type="dxa"/>
            <w:vAlign w:val="bottom"/>
            <w:tcBorders>
              <w:bottom w:val="single" w:sz="8" w:color="auto"/>
            </w:tcBorders>
          </w:tcPr>
          <w:p>
            <w:pPr>
              <w:jc w:val="right"/>
              <w:ind w:right="184"/>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tcPr>
          <w:p>
            <w:pPr>
              <w:jc w:val="right"/>
              <w:ind w:right="120"/>
              <w:spacing w:after="0" w:line="176" w:lineRule="exact"/>
              <w:rPr>
                <w:sz w:val="20"/>
                <w:szCs w:val="20"/>
                <w:color w:val="auto"/>
              </w:rPr>
            </w:pPr>
            <w:r>
              <w:rPr>
                <w:rFonts w:ascii="Arial" w:cs="Arial" w:eastAsia="Arial" w:hAnsi="Arial"/>
                <w:sz w:val="16"/>
                <w:szCs w:val="16"/>
                <w:color w:val="auto"/>
              </w:rPr>
              <w:t>118</w:t>
            </w:r>
          </w:p>
        </w:tc>
        <w:tc>
          <w:tcPr>
            <w:tcW w:w="60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jc w:val="right"/>
              <w:ind w:right="199"/>
              <w:spacing w:after="0" w:line="176" w:lineRule="exact"/>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tcPr>
          <w:p>
            <w:pPr>
              <w:jc w:val="right"/>
              <w:ind w:right="259"/>
              <w:spacing w:after="0" w:line="176" w:lineRule="exact"/>
              <w:rPr>
                <w:sz w:val="20"/>
                <w:szCs w:val="20"/>
                <w:color w:val="auto"/>
              </w:rPr>
            </w:pPr>
            <w:r>
              <w:rPr>
                <w:rFonts w:ascii="Arial" w:cs="Arial" w:eastAsia="Arial" w:hAnsi="Arial"/>
                <w:sz w:val="16"/>
                <w:szCs w:val="16"/>
                <w:color w:val="auto"/>
              </w:rPr>
              <w:t>103</w:t>
            </w:r>
          </w:p>
        </w:tc>
        <w:tc>
          <w:tcPr>
            <w:tcW w:w="50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jc w:val="right"/>
              <w:ind w:right="179"/>
              <w:spacing w:after="0" w:line="176" w:lineRule="exact"/>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tcPr>
          <w:p>
            <w:pPr>
              <w:jc w:val="right"/>
              <w:ind w:right="80"/>
              <w:spacing w:after="0" w:line="176" w:lineRule="exact"/>
              <w:rPr>
                <w:sz w:val="20"/>
                <w:szCs w:val="20"/>
                <w:color w:val="auto"/>
              </w:rPr>
            </w:pPr>
            <w:r>
              <w:rPr>
                <w:rFonts w:ascii="Arial" w:cs="Arial" w:eastAsia="Arial" w:hAnsi="Arial"/>
                <w:sz w:val="16"/>
                <w:szCs w:val="16"/>
                <w:color w:val="auto"/>
              </w:rPr>
              <w:t>226</w:t>
            </w:r>
          </w:p>
        </w:tc>
        <w:tc>
          <w:tcPr>
            <w:tcW w:w="52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jc w:val="right"/>
              <w:ind w:right="179"/>
              <w:spacing w:after="0" w:line="176" w:lineRule="exact"/>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tcPr>
          <w:p>
            <w:pPr>
              <w:jc w:val="right"/>
              <w:ind w:right="179"/>
              <w:spacing w:after="0" w:line="176" w:lineRule="exact"/>
              <w:rPr>
                <w:sz w:val="20"/>
                <w:szCs w:val="20"/>
                <w:color w:val="auto"/>
              </w:rPr>
            </w:pPr>
            <w:r>
              <w:rPr>
                <w:rFonts w:ascii="Arial" w:cs="Arial" w:eastAsia="Arial" w:hAnsi="Arial"/>
                <w:sz w:val="16"/>
                <w:szCs w:val="16"/>
                <w:color w:val="auto"/>
              </w:rPr>
              <w:t>212</w:t>
            </w:r>
          </w:p>
        </w:tc>
        <w:tc>
          <w:tcPr>
            <w:tcW w:w="48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r>
      <w:tr>
        <w:trPr>
          <w:trHeight w:val="164"/>
        </w:trPr>
        <w:tc>
          <w:tcPr>
            <w:tcW w:w="20" w:type="dxa"/>
            <w:vAlign w:val="bottom"/>
          </w:tcPr>
          <w:p>
            <w:pPr>
              <w:spacing w:after="0"/>
              <w:rPr>
                <w:sz w:val="14"/>
                <w:szCs w:val="14"/>
                <w:color w:val="auto"/>
              </w:rPr>
            </w:pPr>
          </w:p>
        </w:tc>
        <w:tc>
          <w:tcPr>
            <w:tcW w:w="2860" w:type="dxa"/>
            <w:vAlign w:val="bottom"/>
          </w:tcPr>
          <w:p>
            <w:pPr>
              <w:spacing w:after="0" w:line="164" w:lineRule="exact"/>
              <w:rPr>
                <w:sz w:val="20"/>
                <w:szCs w:val="20"/>
                <w:color w:val="auto"/>
              </w:rPr>
            </w:pPr>
            <w:r>
              <w:rPr>
                <w:rFonts w:ascii="Arial" w:cs="Arial" w:eastAsia="Arial" w:hAnsi="Arial"/>
                <w:sz w:val="16"/>
                <w:szCs w:val="16"/>
                <w:color w:val="auto"/>
              </w:rPr>
              <w:t>INTEREST INCOME</w:t>
            </w:r>
          </w:p>
        </w:tc>
        <w:tc>
          <w:tcPr>
            <w:tcW w:w="3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00" w:type="dxa"/>
            <w:vAlign w:val="bottom"/>
          </w:tcPr>
          <w:p>
            <w:pPr>
              <w:spacing w:after="0"/>
              <w:rPr>
                <w:sz w:val="14"/>
                <w:szCs w:val="14"/>
                <w:color w:val="auto"/>
              </w:rPr>
            </w:pPr>
          </w:p>
        </w:tc>
      </w:tr>
      <w:tr>
        <w:trPr>
          <w:trHeight w:val="176"/>
        </w:trPr>
        <w:tc>
          <w:tcPr>
            <w:tcW w:w="20" w:type="dxa"/>
            <w:vAlign w:val="bottom"/>
          </w:tcPr>
          <w:p>
            <w:pPr>
              <w:spacing w:after="0"/>
              <w:rPr>
                <w:sz w:val="15"/>
                <w:szCs w:val="15"/>
                <w:color w:val="auto"/>
              </w:rPr>
            </w:pPr>
          </w:p>
        </w:tc>
        <w:tc>
          <w:tcPr>
            <w:tcW w:w="2860" w:type="dxa"/>
            <w:vAlign w:val="bottom"/>
          </w:tcPr>
          <w:p>
            <w:pPr>
              <w:ind w:left="80"/>
              <w:spacing w:after="0" w:line="176" w:lineRule="exact"/>
              <w:rPr>
                <w:sz w:val="20"/>
                <w:szCs w:val="20"/>
                <w:color w:val="auto"/>
              </w:rPr>
            </w:pPr>
            <w:r>
              <w:rPr>
                <w:rFonts w:ascii="Arial" w:cs="Arial" w:eastAsia="Arial" w:hAnsi="Arial"/>
                <w:sz w:val="16"/>
                <w:szCs w:val="16"/>
                <w:color w:val="auto"/>
              </w:rPr>
              <w:t>Sempra Generation</w:t>
            </w:r>
          </w:p>
        </w:tc>
        <w:tc>
          <w:tcPr>
            <w:tcW w:w="340" w:type="dxa"/>
            <w:vAlign w:val="bottom"/>
          </w:tcPr>
          <w:p>
            <w:pPr>
              <w:jc w:val="right"/>
              <w:ind w:right="184"/>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ind w:right="120"/>
              <w:spacing w:after="0" w:line="176" w:lineRule="exact"/>
              <w:rPr>
                <w:sz w:val="20"/>
                <w:szCs w:val="20"/>
                <w:color w:val="auto"/>
              </w:rPr>
            </w:pPr>
            <w:r>
              <w:rPr>
                <w:rFonts w:ascii="Arial" w:cs="Arial" w:eastAsia="Arial" w:hAnsi="Arial"/>
                <w:sz w:val="16"/>
                <w:szCs w:val="16"/>
                <w:color w:val="auto"/>
              </w:rPr>
              <w:t>1</w:t>
            </w:r>
          </w:p>
        </w:tc>
        <w:tc>
          <w:tcPr>
            <w:tcW w:w="6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20" w:type="dxa"/>
            <w:vAlign w:val="bottom"/>
          </w:tcPr>
          <w:p>
            <w:pPr>
              <w:jc w:val="right"/>
              <w:ind w:right="199"/>
              <w:spacing w:after="0" w:line="176" w:lineRule="exact"/>
              <w:rPr>
                <w:sz w:val="20"/>
                <w:szCs w:val="20"/>
                <w:color w:val="auto"/>
              </w:rPr>
            </w:pPr>
            <w:r>
              <w:rPr>
                <w:rFonts w:ascii="Arial" w:cs="Arial" w:eastAsia="Arial" w:hAnsi="Arial"/>
                <w:sz w:val="16"/>
                <w:szCs w:val="16"/>
                <w:color w:val="auto"/>
              </w:rPr>
              <w:t>$</w:t>
            </w:r>
          </w:p>
        </w:tc>
        <w:tc>
          <w:tcPr>
            <w:tcW w:w="1000" w:type="dxa"/>
            <w:vAlign w:val="bottom"/>
          </w:tcPr>
          <w:p>
            <w:pPr>
              <w:jc w:val="right"/>
              <w:ind w:right="259"/>
              <w:spacing w:after="0" w:line="176" w:lineRule="exact"/>
              <w:rPr>
                <w:sz w:val="20"/>
                <w:szCs w:val="20"/>
                <w:color w:val="auto"/>
              </w:rPr>
            </w:pPr>
            <w:r>
              <w:rPr>
                <w:rFonts w:ascii="Arial" w:cs="Arial" w:eastAsia="Arial" w:hAnsi="Arial"/>
                <w:sz w:val="16"/>
                <w:szCs w:val="16"/>
                <w:color w:val="auto"/>
              </w:rPr>
              <w:t>3</w:t>
            </w:r>
          </w:p>
        </w:tc>
        <w:tc>
          <w:tcPr>
            <w:tcW w:w="5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20" w:type="dxa"/>
            <w:vAlign w:val="bottom"/>
          </w:tcPr>
          <w:p>
            <w:pPr>
              <w:jc w:val="right"/>
              <w:ind w:right="179"/>
              <w:spacing w:after="0" w:line="176" w:lineRule="exact"/>
              <w:rPr>
                <w:sz w:val="20"/>
                <w:szCs w:val="20"/>
                <w:color w:val="auto"/>
              </w:rPr>
            </w:pPr>
            <w:r>
              <w:rPr>
                <w:rFonts w:ascii="Arial" w:cs="Arial" w:eastAsia="Arial" w:hAnsi="Arial"/>
                <w:sz w:val="16"/>
                <w:szCs w:val="16"/>
                <w:color w:val="auto"/>
              </w:rPr>
              <w:t>$</w:t>
            </w:r>
          </w:p>
        </w:tc>
        <w:tc>
          <w:tcPr>
            <w:tcW w:w="840" w:type="dxa"/>
            <w:vAlign w:val="bottom"/>
          </w:tcPr>
          <w:p>
            <w:pPr>
              <w:jc w:val="right"/>
              <w:ind w:right="80"/>
              <w:spacing w:after="0" w:line="176" w:lineRule="exact"/>
              <w:rPr>
                <w:sz w:val="20"/>
                <w:szCs w:val="20"/>
                <w:color w:val="auto"/>
              </w:rPr>
            </w:pPr>
            <w:r>
              <w:rPr>
                <w:rFonts w:ascii="Arial" w:cs="Arial" w:eastAsia="Arial" w:hAnsi="Arial"/>
                <w:sz w:val="16"/>
                <w:szCs w:val="16"/>
                <w:color w:val="auto"/>
              </w:rPr>
              <w:t>6</w:t>
            </w:r>
          </w:p>
        </w:tc>
        <w:tc>
          <w:tcPr>
            <w:tcW w:w="5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00" w:type="dxa"/>
            <w:vAlign w:val="bottom"/>
          </w:tcPr>
          <w:p>
            <w:pPr>
              <w:jc w:val="right"/>
              <w:ind w:right="179"/>
              <w:spacing w:after="0" w:line="176" w:lineRule="exact"/>
              <w:rPr>
                <w:sz w:val="20"/>
                <w:szCs w:val="20"/>
                <w:color w:val="auto"/>
              </w:rPr>
            </w:pPr>
            <w:r>
              <w:rPr>
                <w:rFonts w:ascii="Arial" w:cs="Arial" w:eastAsia="Arial" w:hAnsi="Arial"/>
                <w:sz w:val="16"/>
                <w:szCs w:val="16"/>
                <w:color w:val="auto"/>
              </w:rPr>
              <w:t>$</w:t>
            </w:r>
          </w:p>
        </w:tc>
        <w:tc>
          <w:tcPr>
            <w:tcW w:w="940" w:type="dxa"/>
            <w:vAlign w:val="bottom"/>
          </w:tcPr>
          <w:p>
            <w:pPr>
              <w:jc w:val="right"/>
              <w:ind w:right="179"/>
              <w:spacing w:after="0" w:line="176" w:lineRule="exact"/>
              <w:rPr>
                <w:sz w:val="20"/>
                <w:szCs w:val="20"/>
                <w:color w:val="auto"/>
              </w:rPr>
            </w:pPr>
            <w:r>
              <w:rPr>
                <w:rFonts w:ascii="Arial" w:cs="Arial" w:eastAsia="Arial" w:hAnsi="Arial"/>
                <w:sz w:val="16"/>
                <w:szCs w:val="16"/>
                <w:color w:val="auto"/>
              </w:rPr>
              <w:t>5</w:t>
            </w:r>
          </w:p>
        </w:tc>
        <w:tc>
          <w:tcPr>
            <w:tcW w:w="480" w:type="dxa"/>
            <w:vAlign w:val="bottom"/>
          </w:tcPr>
          <w:p>
            <w:pPr>
              <w:spacing w:after="0"/>
              <w:rPr>
                <w:sz w:val="15"/>
                <w:szCs w:val="15"/>
                <w:color w:val="auto"/>
              </w:rPr>
            </w:pPr>
          </w:p>
        </w:tc>
        <w:tc>
          <w:tcPr>
            <w:tcW w:w="400" w:type="dxa"/>
            <w:vAlign w:val="bottom"/>
          </w:tcPr>
          <w:p>
            <w:pPr>
              <w:spacing w:after="0"/>
              <w:rPr>
                <w:sz w:val="15"/>
                <w:szCs w:val="15"/>
                <w:color w:val="auto"/>
              </w:rPr>
            </w:pPr>
          </w:p>
        </w:tc>
      </w:tr>
      <w:tr>
        <w:trPr>
          <w:trHeight w:val="176"/>
        </w:trPr>
        <w:tc>
          <w:tcPr>
            <w:tcW w:w="20" w:type="dxa"/>
            <w:vAlign w:val="bottom"/>
          </w:tcPr>
          <w:p>
            <w:pPr>
              <w:spacing w:after="0"/>
              <w:rPr>
                <w:sz w:val="15"/>
                <w:szCs w:val="15"/>
                <w:color w:val="auto"/>
              </w:rPr>
            </w:pPr>
          </w:p>
        </w:tc>
        <w:tc>
          <w:tcPr>
            <w:tcW w:w="2860" w:type="dxa"/>
            <w:vAlign w:val="bottom"/>
          </w:tcPr>
          <w:p>
            <w:pPr>
              <w:ind w:left="80"/>
              <w:spacing w:after="0" w:line="176" w:lineRule="exact"/>
              <w:rPr>
                <w:sz w:val="20"/>
                <w:szCs w:val="20"/>
                <w:color w:val="auto"/>
              </w:rPr>
            </w:pPr>
            <w:r>
              <w:rPr>
                <w:rFonts w:ascii="Arial" w:cs="Arial" w:eastAsia="Arial" w:hAnsi="Arial"/>
                <w:sz w:val="16"/>
                <w:szCs w:val="16"/>
                <w:color w:val="auto"/>
              </w:rPr>
              <w:t>Sempra Pipelines &amp; Storage</w:t>
            </w:r>
          </w:p>
        </w:tc>
        <w:tc>
          <w:tcPr>
            <w:tcW w:w="340" w:type="dxa"/>
            <w:vAlign w:val="bottom"/>
          </w:tcPr>
          <w:p>
            <w:pPr>
              <w:spacing w:after="0"/>
              <w:rPr>
                <w:sz w:val="15"/>
                <w:szCs w:val="15"/>
                <w:color w:val="auto"/>
              </w:rPr>
            </w:pPr>
          </w:p>
        </w:tc>
        <w:tc>
          <w:tcPr>
            <w:tcW w:w="860" w:type="dxa"/>
            <w:vAlign w:val="bottom"/>
          </w:tcPr>
          <w:p>
            <w:pPr>
              <w:jc w:val="right"/>
              <w:ind w:right="120"/>
              <w:spacing w:after="0" w:line="176" w:lineRule="exact"/>
              <w:rPr>
                <w:sz w:val="20"/>
                <w:szCs w:val="20"/>
                <w:color w:val="auto"/>
              </w:rPr>
            </w:pPr>
            <w:r>
              <w:rPr>
                <w:rFonts w:ascii="Arial" w:cs="Arial" w:eastAsia="Arial" w:hAnsi="Arial"/>
                <w:sz w:val="16"/>
                <w:szCs w:val="16"/>
                <w:color w:val="auto"/>
              </w:rPr>
              <w:t>15</w:t>
            </w:r>
          </w:p>
        </w:tc>
        <w:tc>
          <w:tcPr>
            <w:tcW w:w="6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00" w:type="dxa"/>
            <w:vAlign w:val="bottom"/>
          </w:tcPr>
          <w:p>
            <w:pPr>
              <w:jc w:val="right"/>
              <w:ind w:right="259"/>
              <w:spacing w:after="0" w:line="176" w:lineRule="exact"/>
              <w:rPr>
                <w:sz w:val="20"/>
                <w:szCs w:val="20"/>
                <w:color w:val="auto"/>
              </w:rPr>
            </w:pPr>
            <w:r>
              <w:rPr>
                <w:rFonts w:ascii="Arial" w:cs="Arial" w:eastAsia="Arial" w:hAnsi="Arial"/>
                <w:sz w:val="16"/>
                <w:szCs w:val="16"/>
                <w:color w:val="auto"/>
              </w:rPr>
              <w:t>4</w:t>
            </w:r>
          </w:p>
        </w:tc>
        <w:tc>
          <w:tcPr>
            <w:tcW w:w="5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40" w:type="dxa"/>
            <w:vAlign w:val="bottom"/>
          </w:tcPr>
          <w:p>
            <w:pPr>
              <w:jc w:val="right"/>
              <w:ind w:right="80"/>
              <w:spacing w:after="0" w:line="176" w:lineRule="exact"/>
              <w:rPr>
                <w:sz w:val="20"/>
                <w:szCs w:val="20"/>
                <w:color w:val="auto"/>
              </w:rPr>
            </w:pPr>
            <w:r>
              <w:rPr>
                <w:rFonts w:ascii="Arial" w:cs="Arial" w:eastAsia="Arial" w:hAnsi="Arial"/>
                <w:sz w:val="16"/>
                <w:szCs w:val="16"/>
                <w:color w:val="auto"/>
              </w:rPr>
              <w:t>17</w:t>
            </w:r>
          </w:p>
        </w:tc>
        <w:tc>
          <w:tcPr>
            <w:tcW w:w="5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40" w:type="dxa"/>
            <w:vAlign w:val="bottom"/>
          </w:tcPr>
          <w:p>
            <w:pPr>
              <w:jc w:val="right"/>
              <w:ind w:right="179"/>
              <w:spacing w:after="0" w:line="176" w:lineRule="exact"/>
              <w:rPr>
                <w:sz w:val="20"/>
                <w:szCs w:val="20"/>
                <w:color w:val="auto"/>
              </w:rPr>
            </w:pPr>
            <w:r>
              <w:rPr>
                <w:rFonts w:ascii="Arial" w:cs="Arial" w:eastAsia="Arial" w:hAnsi="Arial"/>
                <w:sz w:val="16"/>
                <w:szCs w:val="16"/>
                <w:color w:val="auto"/>
              </w:rPr>
              <w:t>8</w:t>
            </w:r>
          </w:p>
        </w:tc>
        <w:tc>
          <w:tcPr>
            <w:tcW w:w="480" w:type="dxa"/>
            <w:vAlign w:val="bottom"/>
          </w:tcPr>
          <w:p>
            <w:pPr>
              <w:spacing w:after="0"/>
              <w:rPr>
                <w:sz w:val="15"/>
                <w:szCs w:val="15"/>
                <w:color w:val="auto"/>
              </w:rPr>
            </w:pPr>
          </w:p>
        </w:tc>
        <w:tc>
          <w:tcPr>
            <w:tcW w:w="400" w:type="dxa"/>
            <w:vAlign w:val="bottom"/>
          </w:tcPr>
          <w:p>
            <w:pPr>
              <w:spacing w:after="0"/>
              <w:rPr>
                <w:sz w:val="15"/>
                <w:szCs w:val="15"/>
                <w:color w:val="auto"/>
              </w:rPr>
            </w:pPr>
          </w:p>
        </w:tc>
      </w:tr>
      <w:tr>
        <w:trPr>
          <w:trHeight w:val="176"/>
        </w:trPr>
        <w:tc>
          <w:tcPr>
            <w:tcW w:w="20" w:type="dxa"/>
            <w:vAlign w:val="bottom"/>
          </w:tcPr>
          <w:p>
            <w:pPr>
              <w:spacing w:after="0"/>
              <w:rPr>
                <w:sz w:val="15"/>
                <w:szCs w:val="15"/>
                <w:color w:val="auto"/>
              </w:rPr>
            </w:pPr>
          </w:p>
        </w:tc>
        <w:tc>
          <w:tcPr>
            <w:tcW w:w="2860" w:type="dxa"/>
            <w:vAlign w:val="bottom"/>
          </w:tcPr>
          <w:p>
            <w:pPr>
              <w:ind w:left="80"/>
              <w:spacing w:after="0" w:line="176" w:lineRule="exact"/>
              <w:rPr>
                <w:sz w:val="20"/>
                <w:szCs w:val="20"/>
                <w:color w:val="auto"/>
              </w:rPr>
            </w:pPr>
            <w:r>
              <w:rPr>
                <w:rFonts w:ascii="Arial" w:cs="Arial" w:eastAsia="Arial" w:hAnsi="Arial"/>
                <w:sz w:val="16"/>
                <w:szCs w:val="16"/>
                <w:color w:val="auto"/>
              </w:rPr>
              <w:t>Sempra LNG</w:t>
            </w:r>
          </w:p>
        </w:tc>
        <w:tc>
          <w:tcPr>
            <w:tcW w:w="340" w:type="dxa"/>
            <w:vAlign w:val="bottom"/>
          </w:tcPr>
          <w:p>
            <w:pPr>
              <w:spacing w:after="0"/>
              <w:rPr>
                <w:sz w:val="15"/>
                <w:szCs w:val="15"/>
                <w:color w:val="auto"/>
              </w:rPr>
            </w:pPr>
          </w:p>
        </w:tc>
        <w:tc>
          <w:tcPr>
            <w:tcW w:w="860" w:type="dxa"/>
            <w:vAlign w:val="bottom"/>
          </w:tcPr>
          <w:p>
            <w:pPr>
              <w:jc w:val="right"/>
              <w:ind w:right="120"/>
              <w:spacing w:after="0" w:line="176" w:lineRule="exact"/>
              <w:rPr>
                <w:sz w:val="20"/>
                <w:szCs w:val="20"/>
                <w:color w:val="auto"/>
              </w:rPr>
            </w:pPr>
            <w:r>
              <w:rPr>
                <w:rFonts w:ascii="Arial" w:cs="Arial" w:eastAsia="Arial" w:hAnsi="Arial"/>
                <w:sz w:val="16"/>
                <w:szCs w:val="16"/>
                <w:color w:val="auto"/>
              </w:rPr>
              <w:t>1</w:t>
            </w:r>
          </w:p>
        </w:tc>
        <w:tc>
          <w:tcPr>
            <w:tcW w:w="6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00" w:type="dxa"/>
            <w:vAlign w:val="bottom"/>
          </w:tcPr>
          <w:p>
            <w:pPr>
              <w:jc w:val="right"/>
              <w:ind w:right="259"/>
              <w:spacing w:after="0" w:line="176" w:lineRule="exact"/>
              <w:rPr>
                <w:sz w:val="20"/>
                <w:szCs w:val="20"/>
                <w:color w:val="auto"/>
              </w:rPr>
            </w:pPr>
            <w:r>
              <w:rPr>
                <w:rFonts w:ascii="Arial" w:cs="Arial" w:eastAsia="Arial" w:hAnsi="Arial"/>
                <w:sz w:val="16"/>
                <w:szCs w:val="16"/>
                <w:color w:val="auto"/>
              </w:rPr>
              <w:t>―</w:t>
            </w:r>
          </w:p>
        </w:tc>
        <w:tc>
          <w:tcPr>
            <w:tcW w:w="5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40" w:type="dxa"/>
            <w:vAlign w:val="bottom"/>
          </w:tcPr>
          <w:p>
            <w:pPr>
              <w:jc w:val="right"/>
              <w:ind w:right="80"/>
              <w:spacing w:after="0" w:line="176" w:lineRule="exact"/>
              <w:rPr>
                <w:sz w:val="20"/>
                <w:szCs w:val="20"/>
                <w:color w:val="auto"/>
              </w:rPr>
            </w:pPr>
            <w:r>
              <w:rPr>
                <w:rFonts w:ascii="Arial" w:cs="Arial" w:eastAsia="Arial" w:hAnsi="Arial"/>
                <w:sz w:val="16"/>
                <w:szCs w:val="16"/>
                <w:color w:val="auto"/>
              </w:rPr>
              <w:t>2</w:t>
            </w:r>
          </w:p>
        </w:tc>
        <w:tc>
          <w:tcPr>
            <w:tcW w:w="5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40" w:type="dxa"/>
            <w:vAlign w:val="bottom"/>
          </w:tcPr>
          <w:p>
            <w:pPr>
              <w:jc w:val="right"/>
              <w:ind w:right="179"/>
              <w:spacing w:after="0" w:line="176" w:lineRule="exact"/>
              <w:rPr>
                <w:sz w:val="20"/>
                <w:szCs w:val="20"/>
                <w:color w:val="auto"/>
              </w:rPr>
            </w:pPr>
            <w:r>
              <w:rPr>
                <w:rFonts w:ascii="Arial" w:cs="Arial" w:eastAsia="Arial" w:hAnsi="Arial"/>
                <w:sz w:val="16"/>
                <w:szCs w:val="16"/>
                <w:color w:val="auto"/>
              </w:rPr>
              <w:t>―</w:t>
            </w:r>
          </w:p>
        </w:tc>
        <w:tc>
          <w:tcPr>
            <w:tcW w:w="480" w:type="dxa"/>
            <w:vAlign w:val="bottom"/>
          </w:tcPr>
          <w:p>
            <w:pPr>
              <w:spacing w:after="0"/>
              <w:rPr>
                <w:sz w:val="15"/>
                <w:szCs w:val="15"/>
                <w:color w:val="auto"/>
              </w:rPr>
            </w:pPr>
          </w:p>
        </w:tc>
        <w:tc>
          <w:tcPr>
            <w:tcW w:w="400" w:type="dxa"/>
            <w:vAlign w:val="bottom"/>
          </w:tcPr>
          <w:p>
            <w:pPr>
              <w:spacing w:after="0"/>
              <w:rPr>
                <w:sz w:val="15"/>
                <w:szCs w:val="15"/>
                <w:color w:val="auto"/>
              </w:rPr>
            </w:pPr>
          </w:p>
        </w:tc>
      </w:tr>
      <w:tr>
        <w:trPr>
          <w:trHeight w:val="176"/>
        </w:trPr>
        <w:tc>
          <w:tcPr>
            <w:tcW w:w="20" w:type="dxa"/>
            <w:vAlign w:val="bottom"/>
          </w:tcPr>
          <w:p>
            <w:pPr>
              <w:spacing w:after="0"/>
              <w:rPr>
                <w:sz w:val="15"/>
                <w:szCs w:val="15"/>
                <w:color w:val="auto"/>
              </w:rPr>
            </w:pPr>
          </w:p>
        </w:tc>
        <w:tc>
          <w:tcPr>
            <w:tcW w:w="2860" w:type="dxa"/>
            <w:vAlign w:val="bottom"/>
          </w:tcPr>
          <w:p>
            <w:pPr>
              <w:ind w:left="60"/>
              <w:spacing w:after="0" w:line="176" w:lineRule="exact"/>
              <w:rPr>
                <w:sz w:val="20"/>
                <w:szCs w:val="20"/>
                <w:color w:val="auto"/>
              </w:rPr>
            </w:pPr>
            <w:r>
              <w:rPr>
                <w:rFonts w:ascii="Arial" w:cs="Arial" w:eastAsia="Arial" w:hAnsi="Arial"/>
                <w:sz w:val="16"/>
                <w:szCs w:val="16"/>
                <w:color w:val="auto"/>
              </w:rPr>
              <w:t>All other(2)</w:t>
            </w:r>
          </w:p>
        </w:tc>
        <w:tc>
          <w:tcPr>
            <w:tcW w:w="340" w:type="dxa"/>
            <w:vAlign w:val="bottom"/>
          </w:tcPr>
          <w:p>
            <w:pPr>
              <w:spacing w:after="0"/>
              <w:rPr>
                <w:sz w:val="15"/>
                <w:szCs w:val="15"/>
                <w:color w:val="auto"/>
              </w:rPr>
            </w:pPr>
          </w:p>
        </w:tc>
        <w:tc>
          <w:tcPr>
            <w:tcW w:w="860" w:type="dxa"/>
            <w:vAlign w:val="bottom"/>
          </w:tcPr>
          <w:p>
            <w:pPr>
              <w:jc w:val="right"/>
              <w:ind w:right="120"/>
              <w:spacing w:after="0" w:line="176" w:lineRule="exact"/>
              <w:rPr>
                <w:sz w:val="20"/>
                <w:szCs w:val="20"/>
                <w:color w:val="auto"/>
              </w:rPr>
            </w:pPr>
            <w:r>
              <w:rPr>
                <w:rFonts w:ascii="Arial" w:cs="Arial" w:eastAsia="Arial" w:hAnsi="Arial"/>
                <w:sz w:val="16"/>
                <w:szCs w:val="16"/>
                <w:color w:val="auto"/>
              </w:rPr>
              <w:t>―</w:t>
            </w:r>
          </w:p>
        </w:tc>
        <w:tc>
          <w:tcPr>
            <w:tcW w:w="6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00" w:type="dxa"/>
            <w:vAlign w:val="bottom"/>
          </w:tcPr>
          <w:p>
            <w:pPr>
              <w:jc w:val="right"/>
              <w:ind w:right="259"/>
              <w:spacing w:after="0" w:line="176" w:lineRule="exact"/>
              <w:rPr>
                <w:sz w:val="20"/>
                <w:szCs w:val="20"/>
                <w:color w:val="auto"/>
              </w:rPr>
            </w:pPr>
            <w:r>
              <w:rPr>
                <w:rFonts w:ascii="Arial" w:cs="Arial" w:eastAsia="Arial" w:hAnsi="Arial"/>
                <w:sz w:val="16"/>
                <w:szCs w:val="16"/>
                <w:color w:val="auto"/>
              </w:rPr>
              <w:t>―</w:t>
            </w:r>
          </w:p>
        </w:tc>
        <w:tc>
          <w:tcPr>
            <w:tcW w:w="5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40" w:type="dxa"/>
            <w:vAlign w:val="bottom"/>
          </w:tcPr>
          <w:p>
            <w:pPr>
              <w:jc w:val="right"/>
              <w:ind w:right="80"/>
              <w:spacing w:after="0" w:line="176" w:lineRule="exact"/>
              <w:rPr>
                <w:sz w:val="20"/>
                <w:szCs w:val="20"/>
                <w:color w:val="auto"/>
              </w:rPr>
            </w:pPr>
            <w:r>
              <w:rPr>
                <w:rFonts w:ascii="Arial" w:cs="Arial" w:eastAsia="Arial" w:hAnsi="Arial"/>
                <w:sz w:val="16"/>
                <w:szCs w:val="16"/>
                <w:color w:val="auto"/>
              </w:rPr>
              <w:t>1</w:t>
            </w:r>
          </w:p>
        </w:tc>
        <w:tc>
          <w:tcPr>
            <w:tcW w:w="5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40" w:type="dxa"/>
            <w:vAlign w:val="bottom"/>
          </w:tcPr>
          <w:p>
            <w:pPr>
              <w:jc w:val="right"/>
              <w:ind w:right="179"/>
              <w:spacing w:after="0" w:line="176" w:lineRule="exact"/>
              <w:rPr>
                <w:sz w:val="20"/>
                <w:szCs w:val="20"/>
                <w:color w:val="auto"/>
              </w:rPr>
            </w:pPr>
            <w:r>
              <w:rPr>
                <w:rFonts w:ascii="Arial" w:cs="Arial" w:eastAsia="Arial" w:hAnsi="Arial"/>
                <w:sz w:val="16"/>
                <w:szCs w:val="16"/>
                <w:color w:val="auto"/>
              </w:rPr>
              <w:t>―</w:t>
            </w:r>
          </w:p>
        </w:tc>
        <w:tc>
          <w:tcPr>
            <w:tcW w:w="480" w:type="dxa"/>
            <w:vAlign w:val="bottom"/>
          </w:tcPr>
          <w:p>
            <w:pPr>
              <w:spacing w:after="0"/>
              <w:rPr>
                <w:sz w:val="15"/>
                <w:szCs w:val="15"/>
                <w:color w:val="auto"/>
              </w:rPr>
            </w:pPr>
          </w:p>
        </w:tc>
        <w:tc>
          <w:tcPr>
            <w:tcW w:w="400" w:type="dxa"/>
            <w:vAlign w:val="bottom"/>
          </w:tcPr>
          <w:p>
            <w:pPr>
              <w:spacing w:after="0"/>
              <w:rPr>
                <w:sz w:val="15"/>
                <w:szCs w:val="15"/>
                <w:color w:val="auto"/>
              </w:rPr>
            </w:pPr>
          </w:p>
        </w:tc>
      </w:tr>
      <w:tr>
        <w:trPr>
          <w:trHeight w:val="194"/>
        </w:trPr>
        <w:tc>
          <w:tcPr>
            <w:tcW w:w="20" w:type="dxa"/>
            <w:vAlign w:val="bottom"/>
          </w:tcPr>
          <w:p>
            <w:pPr>
              <w:spacing w:after="0"/>
              <w:rPr>
                <w:sz w:val="16"/>
                <w:szCs w:val="16"/>
                <w:color w:val="auto"/>
              </w:rPr>
            </w:pPr>
          </w:p>
        </w:tc>
        <w:tc>
          <w:tcPr>
            <w:tcW w:w="2860" w:type="dxa"/>
            <w:vAlign w:val="bottom"/>
          </w:tcPr>
          <w:p>
            <w:pPr>
              <w:ind w:left="80"/>
              <w:spacing w:after="0"/>
              <w:rPr>
                <w:sz w:val="20"/>
                <w:szCs w:val="20"/>
                <w:color w:val="auto"/>
              </w:rPr>
            </w:pPr>
            <w:r>
              <w:rPr>
                <w:rFonts w:ascii="Arial" w:cs="Arial" w:eastAsia="Arial" w:hAnsi="Arial"/>
                <w:sz w:val="16"/>
                <w:szCs w:val="16"/>
                <w:color w:val="auto"/>
              </w:rPr>
              <w:t>Intercompany eliminations(2)</w:t>
            </w:r>
          </w:p>
        </w:tc>
        <w:tc>
          <w:tcPr>
            <w:tcW w:w="3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color w:val="auto"/>
              </w:rPr>
              <w:t>(5)</w:t>
            </w:r>
          </w:p>
        </w:tc>
        <w:tc>
          <w:tcPr>
            <w:tcW w:w="6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rPr>
              <w:t>(3)</w:t>
            </w:r>
          </w:p>
        </w:tc>
        <w:tc>
          <w:tcPr>
            <w:tcW w:w="50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(11)</w:t>
            </w:r>
          </w:p>
        </w:tc>
        <w:tc>
          <w:tcPr>
            <w:tcW w:w="5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(5)</w:t>
            </w:r>
          </w:p>
        </w:tc>
        <w:tc>
          <w:tcPr>
            <w:tcW w:w="48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r>
      <w:tr>
        <w:trPr>
          <w:trHeight w:val="183"/>
        </w:trPr>
        <w:tc>
          <w:tcPr>
            <w:tcW w:w="20" w:type="dxa"/>
            <w:vAlign w:val="bottom"/>
          </w:tcPr>
          <w:p>
            <w:pPr>
              <w:spacing w:after="0"/>
              <w:rPr>
                <w:sz w:val="15"/>
                <w:szCs w:val="15"/>
                <w:color w:val="auto"/>
              </w:rPr>
            </w:pPr>
          </w:p>
        </w:tc>
        <w:tc>
          <w:tcPr>
            <w:tcW w:w="2860" w:type="dxa"/>
            <w:vAlign w:val="bottom"/>
            <w:tcBorders>
              <w:bottom w:val="single" w:sz="8" w:color="auto"/>
            </w:tcBorders>
          </w:tcPr>
          <w:p>
            <w:pPr>
              <w:ind w:left="260"/>
              <w:spacing w:after="0" w:line="176" w:lineRule="exact"/>
              <w:rPr>
                <w:sz w:val="20"/>
                <w:szCs w:val="20"/>
                <w:color w:val="auto"/>
              </w:rPr>
            </w:pPr>
            <w:r>
              <w:rPr>
                <w:rFonts w:ascii="Arial" w:cs="Arial" w:eastAsia="Arial" w:hAnsi="Arial"/>
                <w:sz w:val="16"/>
                <w:szCs w:val="16"/>
                <w:color w:val="auto"/>
              </w:rPr>
              <w:t>Total</w:t>
            </w:r>
          </w:p>
        </w:tc>
        <w:tc>
          <w:tcPr>
            <w:tcW w:w="340" w:type="dxa"/>
            <w:vAlign w:val="bottom"/>
            <w:tcBorders>
              <w:bottom w:val="single" w:sz="8" w:color="auto"/>
            </w:tcBorders>
          </w:tcPr>
          <w:p>
            <w:pPr>
              <w:jc w:val="right"/>
              <w:ind w:right="184"/>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tcPr>
          <w:p>
            <w:pPr>
              <w:jc w:val="right"/>
              <w:ind w:right="120"/>
              <w:spacing w:after="0" w:line="176" w:lineRule="exact"/>
              <w:rPr>
                <w:sz w:val="20"/>
                <w:szCs w:val="20"/>
                <w:color w:val="auto"/>
              </w:rPr>
            </w:pPr>
            <w:r>
              <w:rPr>
                <w:rFonts w:ascii="Arial" w:cs="Arial" w:eastAsia="Arial" w:hAnsi="Arial"/>
                <w:sz w:val="16"/>
                <w:szCs w:val="16"/>
                <w:color w:val="auto"/>
              </w:rPr>
              <w:t>12</w:t>
            </w:r>
          </w:p>
        </w:tc>
        <w:tc>
          <w:tcPr>
            <w:tcW w:w="60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jc w:val="right"/>
              <w:ind w:right="199"/>
              <w:spacing w:after="0" w:line="176" w:lineRule="exact"/>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tcPr>
          <w:p>
            <w:pPr>
              <w:jc w:val="right"/>
              <w:ind w:right="259"/>
              <w:spacing w:after="0" w:line="176" w:lineRule="exact"/>
              <w:rPr>
                <w:sz w:val="20"/>
                <w:szCs w:val="20"/>
                <w:color w:val="auto"/>
              </w:rPr>
            </w:pPr>
            <w:r>
              <w:rPr>
                <w:rFonts w:ascii="Arial" w:cs="Arial" w:eastAsia="Arial" w:hAnsi="Arial"/>
                <w:sz w:val="16"/>
                <w:szCs w:val="16"/>
                <w:color w:val="auto"/>
              </w:rPr>
              <w:t>4</w:t>
            </w:r>
          </w:p>
        </w:tc>
        <w:tc>
          <w:tcPr>
            <w:tcW w:w="50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jc w:val="right"/>
              <w:ind w:right="179"/>
              <w:spacing w:after="0" w:line="176" w:lineRule="exact"/>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tcPr>
          <w:p>
            <w:pPr>
              <w:jc w:val="right"/>
              <w:ind w:right="80"/>
              <w:spacing w:after="0" w:line="176" w:lineRule="exact"/>
              <w:rPr>
                <w:sz w:val="20"/>
                <w:szCs w:val="20"/>
                <w:color w:val="auto"/>
              </w:rPr>
            </w:pPr>
            <w:r>
              <w:rPr>
                <w:rFonts w:ascii="Arial" w:cs="Arial" w:eastAsia="Arial" w:hAnsi="Arial"/>
                <w:sz w:val="16"/>
                <w:szCs w:val="16"/>
                <w:color w:val="auto"/>
              </w:rPr>
              <w:t>15</w:t>
            </w:r>
          </w:p>
        </w:tc>
        <w:tc>
          <w:tcPr>
            <w:tcW w:w="52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jc w:val="right"/>
              <w:ind w:right="179"/>
              <w:spacing w:after="0" w:line="176" w:lineRule="exact"/>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tcPr>
          <w:p>
            <w:pPr>
              <w:jc w:val="right"/>
              <w:ind w:right="179"/>
              <w:spacing w:after="0" w:line="176" w:lineRule="exact"/>
              <w:rPr>
                <w:sz w:val="20"/>
                <w:szCs w:val="20"/>
                <w:color w:val="auto"/>
              </w:rPr>
            </w:pPr>
            <w:r>
              <w:rPr>
                <w:rFonts w:ascii="Arial" w:cs="Arial" w:eastAsia="Arial" w:hAnsi="Arial"/>
                <w:sz w:val="16"/>
                <w:szCs w:val="16"/>
                <w:color w:val="auto"/>
              </w:rPr>
              <w:t>8</w:t>
            </w:r>
          </w:p>
        </w:tc>
        <w:tc>
          <w:tcPr>
            <w:tcW w:w="48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r>
      <w:tr>
        <w:trPr>
          <w:trHeight w:val="164"/>
        </w:trPr>
        <w:tc>
          <w:tcPr>
            <w:tcW w:w="20" w:type="dxa"/>
            <w:vAlign w:val="bottom"/>
          </w:tcPr>
          <w:p>
            <w:pPr>
              <w:spacing w:after="0"/>
              <w:rPr>
                <w:sz w:val="14"/>
                <w:szCs w:val="14"/>
                <w:color w:val="auto"/>
              </w:rPr>
            </w:pPr>
          </w:p>
        </w:tc>
        <w:tc>
          <w:tcPr>
            <w:tcW w:w="2860" w:type="dxa"/>
            <w:vAlign w:val="bottom"/>
          </w:tcPr>
          <w:p>
            <w:pPr>
              <w:spacing w:after="0" w:line="164" w:lineRule="exact"/>
              <w:rPr>
                <w:sz w:val="20"/>
                <w:szCs w:val="20"/>
                <w:color w:val="auto"/>
              </w:rPr>
            </w:pPr>
            <w:r>
              <w:rPr>
                <w:rFonts w:ascii="Arial" w:cs="Arial" w:eastAsia="Arial" w:hAnsi="Arial"/>
                <w:sz w:val="16"/>
                <w:szCs w:val="16"/>
                <w:color w:val="auto"/>
              </w:rPr>
              <w:t>DEPRECIATION AND AMORTIZATION</w:t>
            </w:r>
          </w:p>
        </w:tc>
        <w:tc>
          <w:tcPr>
            <w:tcW w:w="3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00" w:type="dxa"/>
            <w:vAlign w:val="bottom"/>
          </w:tcPr>
          <w:p>
            <w:pPr>
              <w:spacing w:after="0"/>
              <w:rPr>
                <w:sz w:val="14"/>
                <w:szCs w:val="14"/>
                <w:color w:val="auto"/>
              </w:rPr>
            </w:pPr>
          </w:p>
        </w:tc>
      </w:tr>
      <w:tr>
        <w:trPr>
          <w:trHeight w:val="176"/>
        </w:trPr>
        <w:tc>
          <w:tcPr>
            <w:tcW w:w="20" w:type="dxa"/>
            <w:vAlign w:val="bottom"/>
          </w:tcPr>
          <w:p>
            <w:pPr>
              <w:spacing w:after="0"/>
              <w:rPr>
                <w:sz w:val="15"/>
                <w:szCs w:val="15"/>
                <w:color w:val="auto"/>
              </w:rPr>
            </w:pPr>
          </w:p>
        </w:tc>
        <w:tc>
          <w:tcPr>
            <w:tcW w:w="2860" w:type="dxa"/>
            <w:vAlign w:val="bottom"/>
          </w:tcPr>
          <w:p>
            <w:pPr>
              <w:ind w:left="80"/>
              <w:spacing w:after="0" w:line="176" w:lineRule="exact"/>
              <w:rPr>
                <w:sz w:val="20"/>
                <w:szCs w:val="20"/>
                <w:color w:val="auto"/>
              </w:rPr>
            </w:pPr>
            <w:r>
              <w:rPr>
                <w:rFonts w:ascii="Arial" w:cs="Arial" w:eastAsia="Arial" w:hAnsi="Arial"/>
                <w:sz w:val="16"/>
                <w:szCs w:val="16"/>
                <w:color w:val="auto"/>
              </w:rPr>
              <w:t>SDG&amp;E</w:t>
            </w:r>
          </w:p>
        </w:tc>
        <w:tc>
          <w:tcPr>
            <w:tcW w:w="340" w:type="dxa"/>
            <w:vAlign w:val="bottom"/>
          </w:tcPr>
          <w:p>
            <w:pPr>
              <w:jc w:val="right"/>
              <w:ind w:right="184"/>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ind w:right="120"/>
              <w:spacing w:after="0" w:line="176" w:lineRule="exact"/>
              <w:rPr>
                <w:sz w:val="20"/>
                <w:szCs w:val="20"/>
                <w:color w:val="auto"/>
              </w:rPr>
            </w:pPr>
            <w:r>
              <w:rPr>
                <w:rFonts w:ascii="Arial" w:cs="Arial" w:eastAsia="Arial" w:hAnsi="Arial"/>
                <w:sz w:val="16"/>
                <w:szCs w:val="16"/>
                <w:color w:val="auto"/>
              </w:rPr>
              <w:t>105</w:t>
            </w:r>
          </w:p>
        </w:tc>
        <w:tc>
          <w:tcPr>
            <w:tcW w:w="600" w:type="dxa"/>
            <w:vAlign w:val="bottom"/>
          </w:tcPr>
          <w:p>
            <w:pPr>
              <w:jc w:val="right"/>
              <w:ind w:right="20"/>
              <w:spacing w:after="0" w:line="176" w:lineRule="exact"/>
              <w:rPr>
                <w:sz w:val="20"/>
                <w:szCs w:val="20"/>
                <w:color w:val="auto"/>
              </w:rPr>
            </w:pPr>
            <w:r>
              <w:rPr>
                <w:rFonts w:ascii="Arial" w:cs="Arial" w:eastAsia="Arial" w:hAnsi="Arial"/>
                <w:sz w:val="16"/>
                <w:szCs w:val="16"/>
                <w:color w:val="auto"/>
              </w:rPr>
              <w:t>42</w:t>
            </w:r>
          </w:p>
        </w:tc>
        <w:tc>
          <w:tcPr>
            <w:tcW w:w="660" w:type="dxa"/>
            <w:vAlign w:val="bottom"/>
            <w:gridSpan w:val="2"/>
          </w:tcPr>
          <w:p>
            <w:pPr>
              <w:jc w:val="right"/>
              <w:ind w:right="199"/>
              <w:spacing w:after="0" w:line="176" w:lineRule="exact"/>
              <w:rPr>
                <w:sz w:val="20"/>
                <w:szCs w:val="20"/>
                <w:color w:val="auto"/>
              </w:rPr>
            </w:pPr>
            <w:r>
              <w:rPr>
                <w:rFonts w:ascii="Arial" w:cs="Arial" w:eastAsia="Arial" w:hAnsi="Arial"/>
                <w:sz w:val="16"/>
                <w:szCs w:val="16"/>
                <w:color w:val="auto"/>
              </w:rPr>
              <w:t>% $</w:t>
            </w:r>
          </w:p>
        </w:tc>
        <w:tc>
          <w:tcPr>
            <w:tcW w:w="1000" w:type="dxa"/>
            <w:vAlign w:val="bottom"/>
          </w:tcPr>
          <w:p>
            <w:pPr>
              <w:jc w:val="right"/>
              <w:ind w:right="259"/>
              <w:spacing w:after="0" w:line="176" w:lineRule="exact"/>
              <w:rPr>
                <w:sz w:val="20"/>
                <w:szCs w:val="20"/>
                <w:color w:val="auto"/>
              </w:rPr>
            </w:pPr>
            <w:r>
              <w:rPr>
                <w:rFonts w:ascii="Arial" w:cs="Arial" w:eastAsia="Arial" w:hAnsi="Arial"/>
                <w:sz w:val="16"/>
                <w:szCs w:val="16"/>
                <w:color w:val="auto"/>
              </w:rPr>
              <w:t>95</w:t>
            </w:r>
          </w:p>
        </w:tc>
        <w:tc>
          <w:tcPr>
            <w:tcW w:w="500" w:type="dxa"/>
            <w:vAlign w:val="bottom"/>
          </w:tcPr>
          <w:p>
            <w:pPr>
              <w:jc w:val="right"/>
              <w:ind w:right="39"/>
              <w:spacing w:after="0" w:line="176" w:lineRule="exact"/>
              <w:rPr>
                <w:sz w:val="20"/>
                <w:szCs w:val="20"/>
                <w:color w:val="auto"/>
              </w:rPr>
            </w:pPr>
            <w:r>
              <w:rPr>
                <w:rFonts w:ascii="Arial" w:cs="Arial" w:eastAsia="Arial" w:hAnsi="Arial"/>
                <w:sz w:val="16"/>
                <w:szCs w:val="16"/>
                <w:color w:val="auto"/>
              </w:rPr>
              <w:t>44</w:t>
            </w:r>
          </w:p>
        </w:tc>
        <w:tc>
          <w:tcPr>
            <w:tcW w:w="320" w:type="dxa"/>
            <w:vAlign w:val="bottom"/>
          </w:tcPr>
          <w:p>
            <w:pPr>
              <w:jc w:val="right"/>
              <w:ind w:right="19"/>
              <w:spacing w:after="0" w:line="176" w:lineRule="exact"/>
              <w:rPr>
                <w:sz w:val="20"/>
                <w:szCs w:val="20"/>
                <w:color w:val="auto"/>
              </w:rPr>
            </w:pPr>
            <w:r>
              <w:rPr>
                <w:rFonts w:ascii="Arial" w:cs="Arial" w:eastAsia="Arial" w:hAnsi="Arial"/>
                <w:sz w:val="16"/>
                <w:szCs w:val="16"/>
                <w:color w:val="auto"/>
              </w:rPr>
              <w:t>%</w:t>
            </w:r>
          </w:p>
        </w:tc>
        <w:tc>
          <w:tcPr>
            <w:tcW w:w="420" w:type="dxa"/>
            <w:vAlign w:val="bottom"/>
          </w:tcPr>
          <w:p>
            <w:pPr>
              <w:jc w:val="right"/>
              <w:ind w:right="179"/>
              <w:spacing w:after="0" w:line="176" w:lineRule="exact"/>
              <w:rPr>
                <w:sz w:val="20"/>
                <w:szCs w:val="20"/>
                <w:color w:val="auto"/>
              </w:rPr>
            </w:pPr>
            <w:r>
              <w:rPr>
                <w:rFonts w:ascii="Arial" w:cs="Arial" w:eastAsia="Arial" w:hAnsi="Arial"/>
                <w:sz w:val="16"/>
                <w:szCs w:val="16"/>
                <w:color w:val="auto"/>
              </w:rPr>
              <w:t>$</w:t>
            </w:r>
          </w:p>
        </w:tc>
        <w:tc>
          <w:tcPr>
            <w:tcW w:w="840" w:type="dxa"/>
            <w:vAlign w:val="bottom"/>
          </w:tcPr>
          <w:p>
            <w:pPr>
              <w:jc w:val="right"/>
              <w:ind w:right="80"/>
              <w:spacing w:after="0" w:line="176" w:lineRule="exact"/>
              <w:rPr>
                <w:sz w:val="20"/>
                <w:szCs w:val="20"/>
                <w:color w:val="auto"/>
              </w:rPr>
            </w:pPr>
            <w:r>
              <w:rPr>
                <w:rFonts w:ascii="Arial" w:cs="Arial" w:eastAsia="Arial" w:hAnsi="Arial"/>
                <w:sz w:val="16"/>
                <w:szCs w:val="16"/>
                <w:color w:val="auto"/>
              </w:rPr>
              <w:t>208</w:t>
            </w:r>
          </w:p>
        </w:tc>
        <w:tc>
          <w:tcPr>
            <w:tcW w:w="520" w:type="dxa"/>
            <w:vAlign w:val="bottom"/>
          </w:tcPr>
          <w:p>
            <w:pPr>
              <w:jc w:val="right"/>
              <w:ind w:right="20"/>
              <w:spacing w:after="0" w:line="176" w:lineRule="exact"/>
              <w:rPr>
                <w:sz w:val="20"/>
                <w:szCs w:val="20"/>
                <w:color w:val="auto"/>
              </w:rPr>
            </w:pPr>
            <w:r>
              <w:rPr>
                <w:rFonts w:ascii="Arial" w:cs="Arial" w:eastAsia="Arial" w:hAnsi="Arial"/>
                <w:sz w:val="16"/>
                <w:szCs w:val="16"/>
                <w:color w:val="auto"/>
              </w:rPr>
              <w:t>43</w:t>
            </w:r>
          </w:p>
        </w:tc>
        <w:tc>
          <w:tcPr>
            <w:tcW w:w="660" w:type="dxa"/>
            <w:vAlign w:val="bottom"/>
            <w:gridSpan w:val="2"/>
          </w:tcPr>
          <w:p>
            <w:pPr>
              <w:jc w:val="right"/>
              <w:ind w:right="179"/>
              <w:spacing w:after="0" w:line="176" w:lineRule="exact"/>
              <w:rPr>
                <w:sz w:val="20"/>
                <w:szCs w:val="20"/>
                <w:color w:val="auto"/>
              </w:rPr>
            </w:pPr>
            <w:r>
              <w:rPr>
                <w:rFonts w:ascii="Arial" w:cs="Arial" w:eastAsia="Arial" w:hAnsi="Arial"/>
                <w:sz w:val="16"/>
                <w:szCs w:val="16"/>
                <w:color w:val="auto"/>
              </w:rPr>
              <w:t>% $</w:t>
            </w:r>
          </w:p>
        </w:tc>
        <w:tc>
          <w:tcPr>
            <w:tcW w:w="940" w:type="dxa"/>
            <w:vAlign w:val="bottom"/>
          </w:tcPr>
          <w:p>
            <w:pPr>
              <w:jc w:val="right"/>
              <w:ind w:right="179"/>
              <w:spacing w:after="0" w:line="176" w:lineRule="exact"/>
              <w:rPr>
                <w:sz w:val="20"/>
                <w:szCs w:val="20"/>
                <w:color w:val="auto"/>
              </w:rPr>
            </w:pPr>
            <w:r>
              <w:rPr>
                <w:rFonts w:ascii="Arial" w:cs="Arial" w:eastAsia="Arial" w:hAnsi="Arial"/>
                <w:sz w:val="16"/>
                <w:szCs w:val="16"/>
                <w:color w:val="auto"/>
              </w:rPr>
              <w:t>187</w:t>
            </w:r>
          </w:p>
        </w:tc>
        <w:tc>
          <w:tcPr>
            <w:tcW w:w="480" w:type="dxa"/>
            <w:vAlign w:val="bottom"/>
          </w:tcPr>
          <w:p>
            <w:pPr>
              <w:jc w:val="right"/>
              <w:ind w:right="59"/>
              <w:spacing w:after="0" w:line="176" w:lineRule="exact"/>
              <w:rPr>
                <w:sz w:val="20"/>
                <w:szCs w:val="20"/>
                <w:color w:val="auto"/>
              </w:rPr>
            </w:pPr>
            <w:r>
              <w:rPr>
                <w:rFonts w:ascii="Arial" w:cs="Arial" w:eastAsia="Arial" w:hAnsi="Arial"/>
                <w:sz w:val="16"/>
                <w:szCs w:val="16"/>
                <w:color w:val="auto"/>
              </w:rPr>
              <w:t>44</w:t>
            </w:r>
          </w:p>
        </w:tc>
        <w:tc>
          <w:tcPr>
            <w:tcW w:w="400" w:type="dxa"/>
            <w:vAlign w:val="bottom"/>
          </w:tcPr>
          <w:p>
            <w:pPr>
              <w:jc w:val="right"/>
              <w:ind w:right="99"/>
              <w:spacing w:after="0" w:line="176" w:lineRule="exact"/>
              <w:rPr>
                <w:sz w:val="20"/>
                <w:szCs w:val="20"/>
                <w:color w:val="auto"/>
              </w:rPr>
            </w:pPr>
            <w:r>
              <w:rPr>
                <w:rFonts w:ascii="Arial" w:cs="Arial" w:eastAsia="Arial" w:hAnsi="Arial"/>
                <w:sz w:val="16"/>
                <w:szCs w:val="16"/>
                <w:color w:val="auto"/>
              </w:rPr>
              <w:t>%</w:t>
            </w:r>
          </w:p>
        </w:tc>
      </w:tr>
      <w:tr>
        <w:trPr>
          <w:trHeight w:val="176"/>
        </w:trPr>
        <w:tc>
          <w:tcPr>
            <w:tcW w:w="20" w:type="dxa"/>
            <w:vAlign w:val="bottom"/>
          </w:tcPr>
          <w:p>
            <w:pPr>
              <w:spacing w:after="0"/>
              <w:rPr>
                <w:sz w:val="15"/>
                <w:szCs w:val="15"/>
                <w:color w:val="auto"/>
              </w:rPr>
            </w:pPr>
          </w:p>
        </w:tc>
        <w:tc>
          <w:tcPr>
            <w:tcW w:w="2860" w:type="dxa"/>
            <w:vAlign w:val="bottom"/>
          </w:tcPr>
          <w:p>
            <w:pPr>
              <w:ind w:left="80"/>
              <w:spacing w:after="0" w:line="176" w:lineRule="exact"/>
              <w:rPr>
                <w:sz w:val="20"/>
                <w:szCs w:val="20"/>
                <w:color w:val="auto"/>
              </w:rPr>
            </w:pPr>
            <w:r>
              <w:rPr>
                <w:rFonts w:ascii="Arial" w:cs="Arial" w:eastAsia="Arial" w:hAnsi="Arial"/>
                <w:sz w:val="16"/>
                <w:szCs w:val="16"/>
                <w:color w:val="auto"/>
              </w:rPr>
              <w:t>SoCalGas</w:t>
            </w:r>
          </w:p>
        </w:tc>
        <w:tc>
          <w:tcPr>
            <w:tcW w:w="340" w:type="dxa"/>
            <w:vAlign w:val="bottom"/>
          </w:tcPr>
          <w:p>
            <w:pPr>
              <w:spacing w:after="0"/>
              <w:rPr>
                <w:sz w:val="15"/>
                <w:szCs w:val="15"/>
                <w:color w:val="auto"/>
              </w:rPr>
            </w:pPr>
          </w:p>
        </w:tc>
        <w:tc>
          <w:tcPr>
            <w:tcW w:w="860" w:type="dxa"/>
            <w:vAlign w:val="bottom"/>
          </w:tcPr>
          <w:p>
            <w:pPr>
              <w:jc w:val="right"/>
              <w:ind w:right="120"/>
              <w:spacing w:after="0" w:line="176" w:lineRule="exact"/>
              <w:rPr>
                <w:sz w:val="20"/>
                <w:szCs w:val="20"/>
                <w:color w:val="auto"/>
              </w:rPr>
            </w:pPr>
            <w:r>
              <w:rPr>
                <w:rFonts w:ascii="Arial" w:cs="Arial" w:eastAsia="Arial" w:hAnsi="Arial"/>
                <w:sz w:val="16"/>
                <w:szCs w:val="16"/>
                <w:color w:val="auto"/>
              </w:rPr>
              <w:t>82</w:t>
            </w:r>
          </w:p>
        </w:tc>
        <w:tc>
          <w:tcPr>
            <w:tcW w:w="600" w:type="dxa"/>
            <w:vAlign w:val="bottom"/>
          </w:tcPr>
          <w:p>
            <w:pPr>
              <w:jc w:val="right"/>
              <w:ind w:right="20"/>
              <w:spacing w:after="0" w:line="176" w:lineRule="exact"/>
              <w:rPr>
                <w:sz w:val="20"/>
                <w:szCs w:val="20"/>
                <w:color w:val="auto"/>
              </w:rPr>
            </w:pPr>
            <w:r>
              <w:rPr>
                <w:rFonts w:ascii="Arial" w:cs="Arial" w:eastAsia="Arial" w:hAnsi="Arial"/>
                <w:sz w:val="16"/>
                <w:szCs w:val="16"/>
                <w:color w:val="auto"/>
              </w:rPr>
              <w:t>33</w:t>
            </w:r>
          </w:p>
        </w:tc>
        <w:tc>
          <w:tcPr>
            <w:tcW w:w="2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00" w:type="dxa"/>
            <w:vAlign w:val="bottom"/>
          </w:tcPr>
          <w:p>
            <w:pPr>
              <w:jc w:val="right"/>
              <w:ind w:right="259"/>
              <w:spacing w:after="0" w:line="176" w:lineRule="exact"/>
              <w:rPr>
                <w:sz w:val="20"/>
                <w:szCs w:val="20"/>
                <w:color w:val="auto"/>
              </w:rPr>
            </w:pPr>
            <w:r>
              <w:rPr>
                <w:rFonts w:ascii="Arial" w:cs="Arial" w:eastAsia="Arial" w:hAnsi="Arial"/>
                <w:sz w:val="16"/>
                <w:szCs w:val="16"/>
                <w:color w:val="auto"/>
              </w:rPr>
              <w:t>77</w:t>
            </w:r>
          </w:p>
        </w:tc>
        <w:tc>
          <w:tcPr>
            <w:tcW w:w="500" w:type="dxa"/>
            <w:vAlign w:val="bottom"/>
          </w:tcPr>
          <w:p>
            <w:pPr>
              <w:jc w:val="right"/>
              <w:ind w:right="39"/>
              <w:spacing w:after="0" w:line="176" w:lineRule="exact"/>
              <w:rPr>
                <w:sz w:val="20"/>
                <w:szCs w:val="20"/>
                <w:color w:val="auto"/>
              </w:rPr>
            </w:pPr>
            <w:r>
              <w:rPr>
                <w:rFonts w:ascii="Arial" w:cs="Arial" w:eastAsia="Arial" w:hAnsi="Arial"/>
                <w:sz w:val="16"/>
                <w:szCs w:val="16"/>
                <w:color w:val="auto"/>
              </w:rPr>
              <w:t>36</w:t>
            </w:r>
          </w:p>
        </w:tc>
        <w:tc>
          <w:tcPr>
            <w:tcW w:w="3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40" w:type="dxa"/>
            <w:vAlign w:val="bottom"/>
          </w:tcPr>
          <w:p>
            <w:pPr>
              <w:jc w:val="right"/>
              <w:ind w:right="80"/>
              <w:spacing w:after="0" w:line="176" w:lineRule="exact"/>
              <w:rPr>
                <w:sz w:val="20"/>
                <w:szCs w:val="20"/>
                <w:color w:val="auto"/>
              </w:rPr>
            </w:pPr>
            <w:r>
              <w:rPr>
                <w:rFonts w:ascii="Arial" w:cs="Arial" w:eastAsia="Arial" w:hAnsi="Arial"/>
                <w:sz w:val="16"/>
                <w:szCs w:val="16"/>
                <w:color w:val="auto"/>
              </w:rPr>
              <w:t>163</w:t>
            </w:r>
          </w:p>
        </w:tc>
        <w:tc>
          <w:tcPr>
            <w:tcW w:w="520" w:type="dxa"/>
            <w:vAlign w:val="bottom"/>
          </w:tcPr>
          <w:p>
            <w:pPr>
              <w:jc w:val="right"/>
              <w:ind w:right="20"/>
              <w:spacing w:after="0" w:line="176" w:lineRule="exact"/>
              <w:rPr>
                <w:sz w:val="20"/>
                <w:szCs w:val="20"/>
                <w:color w:val="auto"/>
              </w:rPr>
            </w:pPr>
            <w:r>
              <w:rPr>
                <w:rFonts w:ascii="Arial" w:cs="Arial" w:eastAsia="Arial" w:hAnsi="Arial"/>
                <w:sz w:val="16"/>
                <w:szCs w:val="16"/>
                <w:color w:val="auto"/>
              </w:rPr>
              <w:t>34</w:t>
            </w:r>
          </w:p>
        </w:tc>
        <w:tc>
          <w:tcPr>
            <w:tcW w:w="2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40" w:type="dxa"/>
            <w:vAlign w:val="bottom"/>
          </w:tcPr>
          <w:p>
            <w:pPr>
              <w:jc w:val="right"/>
              <w:ind w:right="179"/>
              <w:spacing w:after="0" w:line="176" w:lineRule="exact"/>
              <w:rPr>
                <w:sz w:val="20"/>
                <w:szCs w:val="20"/>
                <w:color w:val="auto"/>
              </w:rPr>
            </w:pPr>
            <w:r>
              <w:rPr>
                <w:rFonts w:ascii="Arial" w:cs="Arial" w:eastAsia="Arial" w:hAnsi="Arial"/>
                <w:sz w:val="16"/>
                <w:szCs w:val="16"/>
                <w:color w:val="auto"/>
              </w:rPr>
              <w:t>152</w:t>
            </w:r>
          </w:p>
        </w:tc>
        <w:tc>
          <w:tcPr>
            <w:tcW w:w="480" w:type="dxa"/>
            <w:vAlign w:val="bottom"/>
          </w:tcPr>
          <w:p>
            <w:pPr>
              <w:jc w:val="right"/>
              <w:ind w:right="59"/>
              <w:spacing w:after="0" w:line="176" w:lineRule="exact"/>
              <w:rPr>
                <w:sz w:val="20"/>
                <w:szCs w:val="20"/>
                <w:color w:val="auto"/>
              </w:rPr>
            </w:pPr>
            <w:r>
              <w:rPr>
                <w:rFonts w:ascii="Arial" w:cs="Arial" w:eastAsia="Arial" w:hAnsi="Arial"/>
                <w:sz w:val="16"/>
                <w:szCs w:val="16"/>
                <w:color w:val="auto"/>
              </w:rPr>
              <w:t>36</w:t>
            </w:r>
          </w:p>
        </w:tc>
        <w:tc>
          <w:tcPr>
            <w:tcW w:w="400" w:type="dxa"/>
            <w:vAlign w:val="bottom"/>
          </w:tcPr>
          <w:p>
            <w:pPr>
              <w:spacing w:after="0"/>
              <w:rPr>
                <w:sz w:val="15"/>
                <w:szCs w:val="15"/>
                <w:color w:val="auto"/>
              </w:rPr>
            </w:pPr>
          </w:p>
        </w:tc>
      </w:tr>
      <w:tr>
        <w:trPr>
          <w:trHeight w:val="176"/>
        </w:trPr>
        <w:tc>
          <w:tcPr>
            <w:tcW w:w="20" w:type="dxa"/>
            <w:vAlign w:val="bottom"/>
          </w:tcPr>
          <w:p>
            <w:pPr>
              <w:spacing w:after="0"/>
              <w:rPr>
                <w:sz w:val="15"/>
                <w:szCs w:val="15"/>
                <w:color w:val="auto"/>
              </w:rPr>
            </w:pPr>
          </w:p>
        </w:tc>
        <w:tc>
          <w:tcPr>
            <w:tcW w:w="2860" w:type="dxa"/>
            <w:vAlign w:val="bottom"/>
          </w:tcPr>
          <w:p>
            <w:pPr>
              <w:ind w:left="80"/>
              <w:spacing w:after="0" w:line="176" w:lineRule="exact"/>
              <w:rPr>
                <w:sz w:val="20"/>
                <w:szCs w:val="20"/>
                <w:color w:val="auto"/>
              </w:rPr>
            </w:pPr>
            <w:r>
              <w:rPr>
                <w:rFonts w:ascii="Arial" w:cs="Arial" w:eastAsia="Arial" w:hAnsi="Arial"/>
                <w:sz w:val="16"/>
                <w:szCs w:val="16"/>
                <w:color w:val="auto"/>
              </w:rPr>
              <w:t>Sempra Generation</w:t>
            </w:r>
          </w:p>
        </w:tc>
        <w:tc>
          <w:tcPr>
            <w:tcW w:w="340" w:type="dxa"/>
            <w:vAlign w:val="bottom"/>
          </w:tcPr>
          <w:p>
            <w:pPr>
              <w:spacing w:after="0"/>
              <w:rPr>
                <w:sz w:val="15"/>
                <w:szCs w:val="15"/>
                <w:color w:val="auto"/>
              </w:rPr>
            </w:pPr>
          </w:p>
        </w:tc>
        <w:tc>
          <w:tcPr>
            <w:tcW w:w="860" w:type="dxa"/>
            <w:vAlign w:val="bottom"/>
          </w:tcPr>
          <w:p>
            <w:pPr>
              <w:jc w:val="right"/>
              <w:ind w:right="120"/>
              <w:spacing w:after="0" w:line="176" w:lineRule="exact"/>
              <w:rPr>
                <w:sz w:val="20"/>
                <w:szCs w:val="20"/>
                <w:color w:val="auto"/>
              </w:rPr>
            </w:pPr>
            <w:r>
              <w:rPr>
                <w:rFonts w:ascii="Arial" w:cs="Arial" w:eastAsia="Arial" w:hAnsi="Arial"/>
                <w:sz w:val="16"/>
                <w:szCs w:val="16"/>
                <w:color w:val="auto"/>
              </w:rPr>
              <w:t>18</w:t>
            </w:r>
          </w:p>
        </w:tc>
        <w:tc>
          <w:tcPr>
            <w:tcW w:w="600" w:type="dxa"/>
            <w:vAlign w:val="bottom"/>
          </w:tcPr>
          <w:p>
            <w:pPr>
              <w:jc w:val="right"/>
              <w:ind w:right="20"/>
              <w:spacing w:after="0" w:line="176" w:lineRule="exact"/>
              <w:rPr>
                <w:sz w:val="20"/>
                <w:szCs w:val="20"/>
                <w:color w:val="auto"/>
              </w:rPr>
            </w:pPr>
            <w:r>
              <w:rPr>
                <w:rFonts w:ascii="Arial" w:cs="Arial" w:eastAsia="Arial" w:hAnsi="Arial"/>
                <w:sz w:val="16"/>
                <w:szCs w:val="16"/>
                <w:color w:val="auto"/>
              </w:rPr>
              <w:t>7</w:t>
            </w:r>
          </w:p>
        </w:tc>
        <w:tc>
          <w:tcPr>
            <w:tcW w:w="2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00" w:type="dxa"/>
            <w:vAlign w:val="bottom"/>
          </w:tcPr>
          <w:p>
            <w:pPr>
              <w:jc w:val="right"/>
              <w:ind w:right="259"/>
              <w:spacing w:after="0" w:line="176" w:lineRule="exact"/>
              <w:rPr>
                <w:sz w:val="20"/>
                <w:szCs w:val="20"/>
                <w:color w:val="auto"/>
              </w:rPr>
            </w:pPr>
            <w:r>
              <w:rPr>
                <w:rFonts w:ascii="Arial" w:cs="Arial" w:eastAsia="Arial" w:hAnsi="Arial"/>
                <w:sz w:val="16"/>
                <w:szCs w:val="16"/>
                <w:color w:val="auto"/>
              </w:rPr>
              <w:t>16</w:t>
            </w:r>
          </w:p>
        </w:tc>
        <w:tc>
          <w:tcPr>
            <w:tcW w:w="500" w:type="dxa"/>
            <w:vAlign w:val="bottom"/>
          </w:tcPr>
          <w:p>
            <w:pPr>
              <w:jc w:val="right"/>
              <w:ind w:right="39"/>
              <w:spacing w:after="0" w:line="176" w:lineRule="exact"/>
              <w:rPr>
                <w:sz w:val="20"/>
                <w:szCs w:val="20"/>
                <w:color w:val="auto"/>
              </w:rPr>
            </w:pPr>
            <w:r>
              <w:rPr>
                <w:rFonts w:ascii="Arial" w:cs="Arial" w:eastAsia="Arial" w:hAnsi="Arial"/>
                <w:sz w:val="16"/>
                <w:szCs w:val="16"/>
                <w:color w:val="auto"/>
              </w:rPr>
              <w:t>7</w:t>
            </w:r>
          </w:p>
        </w:tc>
        <w:tc>
          <w:tcPr>
            <w:tcW w:w="3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40" w:type="dxa"/>
            <w:vAlign w:val="bottom"/>
          </w:tcPr>
          <w:p>
            <w:pPr>
              <w:jc w:val="right"/>
              <w:ind w:right="80"/>
              <w:spacing w:after="0" w:line="176" w:lineRule="exact"/>
              <w:rPr>
                <w:sz w:val="20"/>
                <w:szCs w:val="20"/>
                <w:color w:val="auto"/>
              </w:rPr>
            </w:pPr>
            <w:r>
              <w:rPr>
                <w:rFonts w:ascii="Arial" w:cs="Arial" w:eastAsia="Arial" w:hAnsi="Arial"/>
                <w:sz w:val="16"/>
                <w:szCs w:val="16"/>
                <w:color w:val="auto"/>
              </w:rPr>
              <w:t>37</w:t>
            </w:r>
          </w:p>
        </w:tc>
        <w:tc>
          <w:tcPr>
            <w:tcW w:w="520" w:type="dxa"/>
            <w:vAlign w:val="bottom"/>
          </w:tcPr>
          <w:p>
            <w:pPr>
              <w:jc w:val="right"/>
              <w:ind w:right="20"/>
              <w:spacing w:after="0" w:line="176" w:lineRule="exact"/>
              <w:rPr>
                <w:sz w:val="20"/>
                <w:szCs w:val="20"/>
                <w:color w:val="auto"/>
              </w:rPr>
            </w:pPr>
            <w:r>
              <w:rPr>
                <w:rFonts w:ascii="Arial" w:cs="Arial" w:eastAsia="Arial" w:hAnsi="Arial"/>
                <w:sz w:val="16"/>
                <w:szCs w:val="16"/>
                <w:color w:val="auto"/>
              </w:rPr>
              <w:t>8</w:t>
            </w:r>
          </w:p>
        </w:tc>
        <w:tc>
          <w:tcPr>
            <w:tcW w:w="2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40" w:type="dxa"/>
            <w:vAlign w:val="bottom"/>
          </w:tcPr>
          <w:p>
            <w:pPr>
              <w:jc w:val="right"/>
              <w:ind w:right="179"/>
              <w:spacing w:after="0" w:line="176" w:lineRule="exact"/>
              <w:rPr>
                <w:sz w:val="20"/>
                <w:szCs w:val="20"/>
                <w:color w:val="auto"/>
              </w:rPr>
            </w:pPr>
            <w:r>
              <w:rPr>
                <w:rFonts w:ascii="Arial" w:cs="Arial" w:eastAsia="Arial" w:hAnsi="Arial"/>
                <w:sz w:val="16"/>
                <w:szCs w:val="16"/>
                <w:color w:val="auto"/>
              </w:rPr>
              <w:t>31</w:t>
            </w:r>
          </w:p>
        </w:tc>
        <w:tc>
          <w:tcPr>
            <w:tcW w:w="480" w:type="dxa"/>
            <w:vAlign w:val="bottom"/>
          </w:tcPr>
          <w:p>
            <w:pPr>
              <w:jc w:val="right"/>
              <w:ind w:right="59"/>
              <w:spacing w:after="0" w:line="176" w:lineRule="exact"/>
              <w:rPr>
                <w:sz w:val="20"/>
                <w:szCs w:val="20"/>
                <w:color w:val="auto"/>
              </w:rPr>
            </w:pPr>
            <w:r>
              <w:rPr>
                <w:rFonts w:ascii="Arial" w:cs="Arial" w:eastAsia="Arial" w:hAnsi="Arial"/>
                <w:sz w:val="16"/>
                <w:szCs w:val="16"/>
                <w:color w:val="auto"/>
              </w:rPr>
              <w:t>7</w:t>
            </w:r>
          </w:p>
        </w:tc>
        <w:tc>
          <w:tcPr>
            <w:tcW w:w="400" w:type="dxa"/>
            <w:vAlign w:val="bottom"/>
          </w:tcPr>
          <w:p>
            <w:pPr>
              <w:spacing w:after="0"/>
              <w:rPr>
                <w:sz w:val="15"/>
                <w:szCs w:val="15"/>
                <w:color w:val="auto"/>
              </w:rPr>
            </w:pPr>
          </w:p>
        </w:tc>
      </w:tr>
      <w:tr>
        <w:trPr>
          <w:trHeight w:val="176"/>
        </w:trPr>
        <w:tc>
          <w:tcPr>
            <w:tcW w:w="20" w:type="dxa"/>
            <w:vAlign w:val="bottom"/>
          </w:tcPr>
          <w:p>
            <w:pPr>
              <w:spacing w:after="0"/>
              <w:rPr>
                <w:sz w:val="15"/>
                <w:szCs w:val="15"/>
                <w:color w:val="auto"/>
              </w:rPr>
            </w:pPr>
          </w:p>
        </w:tc>
        <w:tc>
          <w:tcPr>
            <w:tcW w:w="2860" w:type="dxa"/>
            <w:vAlign w:val="bottom"/>
          </w:tcPr>
          <w:p>
            <w:pPr>
              <w:ind w:left="80"/>
              <w:spacing w:after="0" w:line="176" w:lineRule="exact"/>
              <w:rPr>
                <w:sz w:val="20"/>
                <w:szCs w:val="20"/>
                <w:color w:val="auto"/>
              </w:rPr>
            </w:pPr>
            <w:r>
              <w:rPr>
                <w:rFonts w:ascii="Arial" w:cs="Arial" w:eastAsia="Arial" w:hAnsi="Arial"/>
                <w:sz w:val="16"/>
                <w:szCs w:val="16"/>
                <w:color w:val="auto"/>
              </w:rPr>
              <w:t>Sempra Pipelines &amp; Storage</w:t>
            </w:r>
          </w:p>
        </w:tc>
        <w:tc>
          <w:tcPr>
            <w:tcW w:w="340" w:type="dxa"/>
            <w:vAlign w:val="bottom"/>
          </w:tcPr>
          <w:p>
            <w:pPr>
              <w:spacing w:after="0"/>
              <w:rPr>
                <w:sz w:val="15"/>
                <w:szCs w:val="15"/>
                <w:color w:val="auto"/>
              </w:rPr>
            </w:pPr>
          </w:p>
        </w:tc>
        <w:tc>
          <w:tcPr>
            <w:tcW w:w="860" w:type="dxa"/>
            <w:vAlign w:val="bottom"/>
          </w:tcPr>
          <w:p>
            <w:pPr>
              <w:jc w:val="right"/>
              <w:ind w:right="120"/>
              <w:spacing w:after="0" w:line="176" w:lineRule="exact"/>
              <w:rPr>
                <w:sz w:val="20"/>
                <w:szCs w:val="20"/>
                <w:color w:val="auto"/>
              </w:rPr>
            </w:pPr>
            <w:r>
              <w:rPr>
                <w:rFonts w:ascii="Arial" w:cs="Arial" w:eastAsia="Arial" w:hAnsi="Arial"/>
                <w:sz w:val="16"/>
                <w:szCs w:val="16"/>
                <w:color w:val="auto"/>
              </w:rPr>
              <w:t>26</w:t>
            </w:r>
          </w:p>
        </w:tc>
        <w:tc>
          <w:tcPr>
            <w:tcW w:w="600" w:type="dxa"/>
            <w:vAlign w:val="bottom"/>
          </w:tcPr>
          <w:p>
            <w:pPr>
              <w:jc w:val="right"/>
              <w:ind w:right="20"/>
              <w:spacing w:after="0" w:line="176" w:lineRule="exact"/>
              <w:rPr>
                <w:sz w:val="20"/>
                <w:szCs w:val="20"/>
                <w:color w:val="auto"/>
              </w:rPr>
            </w:pPr>
            <w:r>
              <w:rPr>
                <w:rFonts w:ascii="Arial" w:cs="Arial" w:eastAsia="Arial" w:hAnsi="Arial"/>
                <w:sz w:val="16"/>
                <w:szCs w:val="16"/>
                <w:color w:val="auto"/>
              </w:rPr>
              <w:t>11</w:t>
            </w:r>
          </w:p>
        </w:tc>
        <w:tc>
          <w:tcPr>
            <w:tcW w:w="2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00" w:type="dxa"/>
            <w:vAlign w:val="bottom"/>
          </w:tcPr>
          <w:p>
            <w:pPr>
              <w:jc w:val="right"/>
              <w:ind w:right="259"/>
              <w:spacing w:after="0" w:line="176" w:lineRule="exact"/>
              <w:rPr>
                <w:sz w:val="20"/>
                <w:szCs w:val="20"/>
                <w:color w:val="auto"/>
              </w:rPr>
            </w:pPr>
            <w:r>
              <w:rPr>
                <w:rFonts w:ascii="Arial" w:cs="Arial" w:eastAsia="Arial" w:hAnsi="Arial"/>
                <w:sz w:val="16"/>
                <w:szCs w:val="16"/>
                <w:color w:val="auto"/>
              </w:rPr>
              <w:t>10</w:t>
            </w:r>
          </w:p>
        </w:tc>
        <w:tc>
          <w:tcPr>
            <w:tcW w:w="500" w:type="dxa"/>
            <w:vAlign w:val="bottom"/>
          </w:tcPr>
          <w:p>
            <w:pPr>
              <w:jc w:val="right"/>
              <w:ind w:right="39"/>
              <w:spacing w:after="0" w:line="176" w:lineRule="exact"/>
              <w:rPr>
                <w:sz w:val="20"/>
                <w:szCs w:val="20"/>
                <w:color w:val="auto"/>
              </w:rPr>
            </w:pPr>
            <w:r>
              <w:rPr>
                <w:rFonts w:ascii="Arial" w:cs="Arial" w:eastAsia="Arial" w:hAnsi="Arial"/>
                <w:sz w:val="16"/>
                <w:szCs w:val="16"/>
                <w:color w:val="auto"/>
              </w:rPr>
              <w:t>5</w:t>
            </w:r>
          </w:p>
        </w:tc>
        <w:tc>
          <w:tcPr>
            <w:tcW w:w="3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40" w:type="dxa"/>
            <w:vAlign w:val="bottom"/>
          </w:tcPr>
          <w:p>
            <w:pPr>
              <w:jc w:val="right"/>
              <w:ind w:right="80"/>
              <w:spacing w:after="0" w:line="176" w:lineRule="exact"/>
              <w:rPr>
                <w:sz w:val="20"/>
                <w:szCs w:val="20"/>
                <w:color w:val="auto"/>
              </w:rPr>
            </w:pPr>
            <w:r>
              <w:rPr>
                <w:rFonts w:ascii="Arial" w:cs="Arial" w:eastAsia="Arial" w:hAnsi="Arial"/>
                <w:sz w:val="16"/>
                <w:szCs w:val="16"/>
                <w:color w:val="auto"/>
              </w:rPr>
              <w:t>39</w:t>
            </w:r>
          </w:p>
        </w:tc>
        <w:tc>
          <w:tcPr>
            <w:tcW w:w="520" w:type="dxa"/>
            <w:vAlign w:val="bottom"/>
          </w:tcPr>
          <w:p>
            <w:pPr>
              <w:jc w:val="right"/>
              <w:ind w:right="20"/>
              <w:spacing w:after="0" w:line="176" w:lineRule="exact"/>
              <w:rPr>
                <w:sz w:val="20"/>
                <w:szCs w:val="20"/>
                <w:color w:val="auto"/>
              </w:rPr>
            </w:pPr>
            <w:r>
              <w:rPr>
                <w:rFonts w:ascii="Arial" w:cs="Arial" w:eastAsia="Arial" w:hAnsi="Arial"/>
                <w:sz w:val="16"/>
                <w:szCs w:val="16"/>
                <w:color w:val="auto"/>
              </w:rPr>
              <w:t>8</w:t>
            </w:r>
          </w:p>
        </w:tc>
        <w:tc>
          <w:tcPr>
            <w:tcW w:w="2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40" w:type="dxa"/>
            <w:vAlign w:val="bottom"/>
          </w:tcPr>
          <w:p>
            <w:pPr>
              <w:jc w:val="right"/>
              <w:ind w:right="179"/>
              <w:spacing w:after="0" w:line="176" w:lineRule="exact"/>
              <w:rPr>
                <w:sz w:val="20"/>
                <w:szCs w:val="20"/>
                <w:color w:val="auto"/>
              </w:rPr>
            </w:pPr>
            <w:r>
              <w:rPr>
                <w:rFonts w:ascii="Arial" w:cs="Arial" w:eastAsia="Arial" w:hAnsi="Arial"/>
                <w:sz w:val="16"/>
                <w:szCs w:val="16"/>
                <w:color w:val="auto"/>
              </w:rPr>
              <w:t>21</w:t>
            </w:r>
          </w:p>
        </w:tc>
        <w:tc>
          <w:tcPr>
            <w:tcW w:w="480" w:type="dxa"/>
            <w:vAlign w:val="bottom"/>
          </w:tcPr>
          <w:p>
            <w:pPr>
              <w:jc w:val="right"/>
              <w:ind w:right="59"/>
              <w:spacing w:after="0" w:line="176" w:lineRule="exact"/>
              <w:rPr>
                <w:sz w:val="20"/>
                <w:szCs w:val="20"/>
                <w:color w:val="auto"/>
              </w:rPr>
            </w:pPr>
            <w:r>
              <w:rPr>
                <w:rFonts w:ascii="Arial" w:cs="Arial" w:eastAsia="Arial" w:hAnsi="Arial"/>
                <w:sz w:val="16"/>
                <w:szCs w:val="16"/>
                <w:color w:val="auto"/>
              </w:rPr>
              <w:t>5</w:t>
            </w:r>
          </w:p>
        </w:tc>
        <w:tc>
          <w:tcPr>
            <w:tcW w:w="400" w:type="dxa"/>
            <w:vAlign w:val="bottom"/>
          </w:tcPr>
          <w:p>
            <w:pPr>
              <w:spacing w:after="0"/>
              <w:rPr>
                <w:sz w:val="15"/>
                <w:szCs w:val="15"/>
                <w:color w:val="auto"/>
              </w:rPr>
            </w:pPr>
          </w:p>
        </w:tc>
      </w:tr>
      <w:tr>
        <w:trPr>
          <w:trHeight w:val="176"/>
        </w:trPr>
        <w:tc>
          <w:tcPr>
            <w:tcW w:w="20" w:type="dxa"/>
            <w:vAlign w:val="bottom"/>
          </w:tcPr>
          <w:p>
            <w:pPr>
              <w:spacing w:after="0"/>
              <w:rPr>
                <w:sz w:val="15"/>
                <w:szCs w:val="15"/>
                <w:color w:val="auto"/>
              </w:rPr>
            </w:pPr>
          </w:p>
        </w:tc>
        <w:tc>
          <w:tcPr>
            <w:tcW w:w="2860" w:type="dxa"/>
            <w:vAlign w:val="bottom"/>
          </w:tcPr>
          <w:p>
            <w:pPr>
              <w:ind w:left="80"/>
              <w:spacing w:after="0" w:line="176" w:lineRule="exact"/>
              <w:rPr>
                <w:sz w:val="20"/>
                <w:szCs w:val="20"/>
                <w:color w:val="auto"/>
              </w:rPr>
            </w:pPr>
            <w:r>
              <w:rPr>
                <w:rFonts w:ascii="Arial" w:cs="Arial" w:eastAsia="Arial" w:hAnsi="Arial"/>
                <w:sz w:val="16"/>
                <w:szCs w:val="16"/>
                <w:color w:val="auto"/>
              </w:rPr>
              <w:t>Sempra LNG</w:t>
            </w:r>
          </w:p>
        </w:tc>
        <w:tc>
          <w:tcPr>
            <w:tcW w:w="340" w:type="dxa"/>
            <w:vAlign w:val="bottom"/>
          </w:tcPr>
          <w:p>
            <w:pPr>
              <w:spacing w:after="0"/>
              <w:rPr>
                <w:sz w:val="15"/>
                <w:szCs w:val="15"/>
                <w:color w:val="auto"/>
              </w:rPr>
            </w:pPr>
          </w:p>
        </w:tc>
        <w:tc>
          <w:tcPr>
            <w:tcW w:w="860" w:type="dxa"/>
            <w:vAlign w:val="bottom"/>
          </w:tcPr>
          <w:p>
            <w:pPr>
              <w:jc w:val="right"/>
              <w:ind w:right="120"/>
              <w:spacing w:after="0" w:line="176" w:lineRule="exact"/>
              <w:rPr>
                <w:sz w:val="20"/>
                <w:szCs w:val="20"/>
                <w:color w:val="auto"/>
              </w:rPr>
            </w:pPr>
            <w:r>
              <w:rPr>
                <w:rFonts w:ascii="Arial" w:cs="Arial" w:eastAsia="Arial" w:hAnsi="Arial"/>
                <w:sz w:val="16"/>
                <w:szCs w:val="16"/>
                <w:color w:val="auto"/>
              </w:rPr>
              <w:t>12</w:t>
            </w:r>
          </w:p>
        </w:tc>
        <w:tc>
          <w:tcPr>
            <w:tcW w:w="600" w:type="dxa"/>
            <w:vAlign w:val="bottom"/>
          </w:tcPr>
          <w:p>
            <w:pPr>
              <w:jc w:val="right"/>
              <w:ind w:right="20"/>
              <w:spacing w:after="0" w:line="176" w:lineRule="exact"/>
              <w:rPr>
                <w:sz w:val="20"/>
                <w:szCs w:val="20"/>
                <w:color w:val="auto"/>
              </w:rPr>
            </w:pPr>
            <w:r>
              <w:rPr>
                <w:rFonts w:ascii="Arial" w:cs="Arial" w:eastAsia="Arial" w:hAnsi="Arial"/>
                <w:sz w:val="16"/>
                <w:szCs w:val="16"/>
                <w:color w:val="auto"/>
              </w:rPr>
              <w:t>5</w:t>
            </w:r>
          </w:p>
        </w:tc>
        <w:tc>
          <w:tcPr>
            <w:tcW w:w="2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00" w:type="dxa"/>
            <w:vAlign w:val="bottom"/>
          </w:tcPr>
          <w:p>
            <w:pPr>
              <w:jc w:val="right"/>
              <w:ind w:right="259"/>
              <w:spacing w:after="0" w:line="176" w:lineRule="exact"/>
              <w:rPr>
                <w:sz w:val="20"/>
                <w:szCs w:val="20"/>
                <w:color w:val="auto"/>
              </w:rPr>
            </w:pPr>
            <w:r>
              <w:rPr>
                <w:rFonts w:ascii="Arial" w:cs="Arial" w:eastAsia="Arial" w:hAnsi="Arial"/>
                <w:sz w:val="16"/>
                <w:szCs w:val="16"/>
                <w:color w:val="auto"/>
              </w:rPr>
              <w:t>13</w:t>
            </w:r>
          </w:p>
        </w:tc>
        <w:tc>
          <w:tcPr>
            <w:tcW w:w="500" w:type="dxa"/>
            <w:vAlign w:val="bottom"/>
          </w:tcPr>
          <w:p>
            <w:pPr>
              <w:jc w:val="right"/>
              <w:ind w:right="39"/>
              <w:spacing w:after="0" w:line="176" w:lineRule="exact"/>
              <w:rPr>
                <w:sz w:val="20"/>
                <w:szCs w:val="20"/>
                <w:color w:val="auto"/>
              </w:rPr>
            </w:pPr>
            <w:r>
              <w:rPr>
                <w:rFonts w:ascii="Arial" w:cs="Arial" w:eastAsia="Arial" w:hAnsi="Arial"/>
                <w:sz w:val="16"/>
                <w:szCs w:val="16"/>
                <w:color w:val="auto"/>
              </w:rPr>
              <w:t>6</w:t>
            </w:r>
          </w:p>
        </w:tc>
        <w:tc>
          <w:tcPr>
            <w:tcW w:w="3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40" w:type="dxa"/>
            <w:vAlign w:val="bottom"/>
          </w:tcPr>
          <w:p>
            <w:pPr>
              <w:jc w:val="right"/>
              <w:ind w:right="80"/>
              <w:spacing w:after="0" w:line="176" w:lineRule="exact"/>
              <w:rPr>
                <w:sz w:val="20"/>
                <w:szCs w:val="20"/>
                <w:color w:val="auto"/>
              </w:rPr>
            </w:pPr>
            <w:r>
              <w:rPr>
                <w:rFonts w:ascii="Arial" w:cs="Arial" w:eastAsia="Arial" w:hAnsi="Arial"/>
                <w:sz w:val="16"/>
                <w:szCs w:val="16"/>
                <w:color w:val="auto"/>
              </w:rPr>
              <w:t>25</w:t>
            </w:r>
          </w:p>
        </w:tc>
        <w:tc>
          <w:tcPr>
            <w:tcW w:w="520" w:type="dxa"/>
            <w:vAlign w:val="bottom"/>
          </w:tcPr>
          <w:p>
            <w:pPr>
              <w:jc w:val="right"/>
              <w:ind w:right="20"/>
              <w:spacing w:after="0" w:line="176" w:lineRule="exact"/>
              <w:rPr>
                <w:sz w:val="20"/>
                <w:szCs w:val="20"/>
                <w:color w:val="auto"/>
              </w:rPr>
            </w:pPr>
            <w:r>
              <w:rPr>
                <w:rFonts w:ascii="Arial" w:cs="Arial" w:eastAsia="Arial" w:hAnsi="Arial"/>
                <w:sz w:val="16"/>
                <w:szCs w:val="16"/>
                <w:color w:val="auto"/>
              </w:rPr>
              <w:t>5</w:t>
            </w:r>
          </w:p>
        </w:tc>
        <w:tc>
          <w:tcPr>
            <w:tcW w:w="2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40" w:type="dxa"/>
            <w:vAlign w:val="bottom"/>
          </w:tcPr>
          <w:p>
            <w:pPr>
              <w:jc w:val="right"/>
              <w:ind w:right="179"/>
              <w:spacing w:after="0" w:line="176" w:lineRule="exact"/>
              <w:rPr>
                <w:sz w:val="20"/>
                <w:szCs w:val="20"/>
                <w:color w:val="auto"/>
              </w:rPr>
            </w:pPr>
            <w:r>
              <w:rPr>
                <w:rFonts w:ascii="Arial" w:cs="Arial" w:eastAsia="Arial" w:hAnsi="Arial"/>
                <w:sz w:val="16"/>
                <w:szCs w:val="16"/>
                <w:color w:val="auto"/>
              </w:rPr>
              <w:t>25</w:t>
            </w:r>
          </w:p>
        </w:tc>
        <w:tc>
          <w:tcPr>
            <w:tcW w:w="480" w:type="dxa"/>
            <w:vAlign w:val="bottom"/>
          </w:tcPr>
          <w:p>
            <w:pPr>
              <w:jc w:val="right"/>
              <w:ind w:right="59"/>
              <w:spacing w:after="0" w:line="176" w:lineRule="exact"/>
              <w:rPr>
                <w:sz w:val="20"/>
                <w:szCs w:val="20"/>
                <w:color w:val="auto"/>
              </w:rPr>
            </w:pPr>
            <w:r>
              <w:rPr>
                <w:rFonts w:ascii="Arial" w:cs="Arial" w:eastAsia="Arial" w:hAnsi="Arial"/>
                <w:sz w:val="16"/>
                <w:szCs w:val="16"/>
                <w:color w:val="auto"/>
              </w:rPr>
              <w:t>6</w:t>
            </w:r>
          </w:p>
        </w:tc>
        <w:tc>
          <w:tcPr>
            <w:tcW w:w="400" w:type="dxa"/>
            <w:vAlign w:val="bottom"/>
          </w:tcPr>
          <w:p>
            <w:pPr>
              <w:spacing w:after="0"/>
              <w:rPr>
                <w:sz w:val="15"/>
                <w:szCs w:val="15"/>
                <w:color w:val="auto"/>
              </w:rPr>
            </w:pPr>
          </w:p>
        </w:tc>
      </w:tr>
      <w:tr>
        <w:trPr>
          <w:trHeight w:val="194"/>
        </w:trPr>
        <w:tc>
          <w:tcPr>
            <w:tcW w:w="20" w:type="dxa"/>
            <w:vAlign w:val="bottom"/>
          </w:tcPr>
          <w:p>
            <w:pPr>
              <w:spacing w:after="0"/>
              <w:rPr>
                <w:sz w:val="16"/>
                <w:szCs w:val="16"/>
                <w:color w:val="auto"/>
              </w:rPr>
            </w:pPr>
          </w:p>
        </w:tc>
        <w:tc>
          <w:tcPr>
            <w:tcW w:w="2860" w:type="dxa"/>
            <w:vAlign w:val="bottom"/>
          </w:tcPr>
          <w:p>
            <w:pPr>
              <w:ind w:left="60"/>
              <w:spacing w:after="0"/>
              <w:rPr>
                <w:sz w:val="20"/>
                <w:szCs w:val="20"/>
                <w:color w:val="auto"/>
              </w:rPr>
            </w:pPr>
            <w:r>
              <w:rPr>
                <w:rFonts w:ascii="Arial" w:cs="Arial" w:eastAsia="Arial" w:hAnsi="Arial"/>
                <w:sz w:val="16"/>
                <w:szCs w:val="16"/>
                <w:color w:val="auto"/>
              </w:rPr>
              <w:t>All other</w:t>
            </w:r>
          </w:p>
        </w:tc>
        <w:tc>
          <w:tcPr>
            <w:tcW w:w="3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120"/>
              <w:spacing w:after="0"/>
              <w:rPr>
                <w:sz w:val="20"/>
                <w:szCs w:val="20"/>
                <w:color w:val="auto"/>
              </w:rPr>
            </w:pPr>
            <w:r>
              <w:rPr>
                <w:rFonts w:ascii="Arial" w:cs="Arial" w:eastAsia="Arial" w:hAnsi="Arial"/>
                <w:sz w:val="16"/>
                <w:szCs w:val="16"/>
                <w:color w:val="auto"/>
              </w:rPr>
              <w:t>5</w:t>
            </w:r>
          </w:p>
        </w:tc>
        <w:tc>
          <w:tcPr>
            <w:tcW w:w="60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2</w:t>
            </w:r>
          </w:p>
        </w:tc>
        <w:tc>
          <w:tcPr>
            <w:tcW w:w="24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color w:val="auto"/>
              </w:rPr>
              <w:t>4</w:t>
            </w:r>
          </w:p>
        </w:tc>
        <w:tc>
          <w:tcPr>
            <w:tcW w:w="5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w:t>
            </w:r>
          </w:p>
        </w:tc>
        <w:tc>
          <w:tcPr>
            <w:tcW w:w="32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color w:val="auto"/>
              </w:rPr>
              <w:t>7</w:t>
            </w:r>
          </w:p>
        </w:tc>
        <w:tc>
          <w:tcPr>
            <w:tcW w:w="52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2</w:t>
            </w:r>
          </w:p>
        </w:tc>
        <w:tc>
          <w:tcPr>
            <w:tcW w:w="26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9</w:t>
            </w:r>
          </w:p>
        </w:tc>
        <w:tc>
          <w:tcPr>
            <w:tcW w:w="48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2</w:t>
            </w:r>
          </w:p>
        </w:tc>
        <w:tc>
          <w:tcPr>
            <w:tcW w:w="400" w:type="dxa"/>
            <w:vAlign w:val="bottom"/>
            <w:tcBorders>
              <w:bottom w:val="single" w:sz="8" w:color="auto"/>
            </w:tcBorders>
          </w:tcPr>
          <w:p>
            <w:pPr>
              <w:spacing w:after="0"/>
              <w:rPr>
                <w:sz w:val="16"/>
                <w:szCs w:val="16"/>
                <w:color w:val="auto"/>
              </w:rPr>
            </w:pPr>
          </w:p>
        </w:tc>
      </w:tr>
      <w:tr>
        <w:trPr>
          <w:trHeight w:val="183"/>
        </w:trPr>
        <w:tc>
          <w:tcPr>
            <w:tcW w:w="20" w:type="dxa"/>
            <w:vAlign w:val="bottom"/>
          </w:tcPr>
          <w:p>
            <w:pPr>
              <w:spacing w:after="0"/>
              <w:rPr>
                <w:sz w:val="15"/>
                <w:szCs w:val="15"/>
                <w:color w:val="auto"/>
              </w:rPr>
            </w:pPr>
          </w:p>
        </w:tc>
        <w:tc>
          <w:tcPr>
            <w:tcW w:w="2860" w:type="dxa"/>
            <w:vAlign w:val="bottom"/>
            <w:tcBorders>
              <w:bottom w:val="single" w:sz="8" w:color="auto"/>
            </w:tcBorders>
          </w:tcPr>
          <w:p>
            <w:pPr>
              <w:ind w:left="260"/>
              <w:spacing w:after="0" w:line="176" w:lineRule="exact"/>
              <w:rPr>
                <w:sz w:val="20"/>
                <w:szCs w:val="20"/>
                <w:color w:val="auto"/>
              </w:rPr>
            </w:pPr>
            <w:r>
              <w:rPr>
                <w:rFonts w:ascii="Arial" w:cs="Arial" w:eastAsia="Arial" w:hAnsi="Arial"/>
                <w:sz w:val="16"/>
                <w:szCs w:val="16"/>
                <w:color w:val="auto"/>
              </w:rPr>
              <w:t>Total</w:t>
            </w:r>
          </w:p>
        </w:tc>
        <w:tc>
          <w:tcPr>
            <w:tcW w:w="340" w:type="dxa"/>
            <w:vAlign w:val="bottom"/>
            <w:tcBorders>
              <w:bottom w:val="single" w:sz="8" w:color="auto"/>
            </w:tcBorders>
          </w:tcPr>
          <w:p>
            <w:pPr>
              <w:jc w:val="right"/>
              <w:ind w:right="184"/>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tcPr>
          <w:p>
            <w:pPr>
              <w:jc w:val="right"/>
              <w:ind w:right="120"/>
              <w:spacing w:after="0" w:line="176" w:lineRule="exact"/>
              <w:rPr>
                <w:sz w:val="20"/>
                <w:szCs w:val="20"/>
                <w:color w:val="auto"/>
              </w:rPr>
            </w:pPr>
            <w:r>
              <w:rPr>
                <w:rFonts w:ascii="Arial" w:cs="Arial" w:eastAsia="Arial" w:hAnsi="Arial"/>
                <w:sz w:val="16"/>
                <w:szCs w:val="16"/>
                <w:color w:val="auto"/>
              </w:rPr>
              <w:t>248</w:t>
            </w:r>
          </w:p>
        </w:tc>
        <w:tc>
          <w:tcPr>
            <w:tcW w:w="600" w:type="dxa"/>
            <w:vAlign w:val="bottom"/>
            <w:tcBorders>
              <w:bottom w:val="single" w:sz="8" w:color="auto"/>
            </w:tcBorders>
          </w:tcPr>
          <w:p>
            <w:pPr>
              <w:jc w:val="right"/>
              <w:ind w:right="20"/>
              <w:spacing w:after="0" w:line="176" w:lineRule="exact"/>
              <w:rPr>
                <w:sz w:val="20"/>
                <w:szCs w:val="20"/>
                <w:color w:val="auto"/>
              </w:rPr>
            </w:pPr>
            <w:r>
              <w:rPr>
                <w:rFonts w:ascii="Arial" w:cs="Arial" w:eastAsia="Arial" w:hAnsi="Arial"/>
                <w:sz w:val="16"/>
                <w:szCs w:val="16"/>
                <w:color w:val="auto"/>
              </w:rPr>
              <w:t>100</w:t>
            </w:r>
          </w:p>
        </w:tc>
        <w:tc>
          <w:tcPr>
            <w:tcW w:w="24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6"/>
                <w:szCs w:val="16"/>
                <w:color w:val="auto"/>
              </w:rPr>
              <w:t>%</w:t>
            </w:r>
          </w:p>
        </w:tc>
        <w:tc>
          <w:tcPr>
            <w:tcW w:w="420" w:type="dxa"/>
            <w:vAlign w:val="bottom"/>
            <w:tcBorders>
              <w:bottom w:val="single" w:sz="8" w:color="auto"/>
            </w:tcBorders>
          </w:tcPr>
          <w:p>
            <w:pPr>
              <w:jc w:val="right"/>
              <w:ind w:right="199"/>
              <w:spacing w:after="0" w:line="176" w:lineRule="exact"/>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tcPr>
          <w:p>
            <w:pPr>
              <w:jc w:val="right"/>
              <w:ind w:right="259"/>
              <w:spacing w:after="0" w:line="176" w:lineRule="exact"/>
              <w:rPr>
                <w:sz w:val="20"/>
                <w:szCs w:val="20"/>
                <w:color w:val="auto"/>
              </w:rPr>
            </w:pPr>
            <w:r>
              <w:rPr>
                <w:rFonts w:ascii="Arial" w:cs="Arial" w:eastAsia="Arial" w:hAnsi="Arial"/>
                <w:sz w:val="16"/>
                <w:szCs w:val="16"/>
                <w:color w:val="auto"/>
              </w:rPr>
              <w:t>215</w:t>
            </w:r>
          </w:p>
        </w:tc>
        <w:tc>
          <w:tcPr>
            <w:tcW w:w="500" w:type="dxa"/>
            <w:vAlign w:val="bottom"/>
            <w:tcBorders>
              <w:bottom w:val="single" w:sz="8" w:color="auto"/>
            </w:tcBorders>
          </w:tcPr>
          <w:p>
            <w:pPr>
              <w:jc w:val="right"/>
              <w:ind w:right="39"/>
              <w:spacing w:after="0" w:line="176" w:lineRule="exact"/>
              <w:rPr>
                <w:sz w:val="20"/>
                <w:szCs w:val="20"/>
                <w:color w:val="auto"/>
              </w:rPr>
            </w:pPr>
            <w:r>
              <w:rPr>
                <w:rFonts w:ascii="Arial" w:cs="Arial" w:eastAsia="Arial" w:hAnsi="Arial"/>
                <w:sz w:val="16"/>
                <w:szCs w:val="16"/>
                <w:color w:val="auto"/>
              </w:rPr>
              <w:t>100</w:t>
            </w:r>
          </w:p>
        </w:tc>
        <w:tc>
          <w:tcPr>
            <w:tcW w:w="320" w:type="dxa"/>
            <w:vAlign w:val="bottom"/>
            <w:tcBorders>
              <w:bottom w:val="single" w:sz="8" w:color="auto"/>
            </w:tcBorders>
          </w:tcPr>
          <w:p>
            <w:pPr>
              <w:jc w:val="right"/>
              <w:ind w:right="19"/>
              <w:spacing w:after="0" w:line="176" w:lineRule="exact"/>
              <w:rPr>
                <w:sz w:val="20"/>
                <w:szCs w:val="20"/>
                <w:color w:val="auto"/>
              </w:rPr>
            </w:pPr>
            <w:r>
              <w:rPr>
                <w:rFonts w:ascii="Arial" w:cs="Arial" w:eastAsia="Arial" w:hAnsi="Arial"/>
                <w:sz w:val="16"/>
                <w:szCs w:val="16"/>
                <w:color w:val="auto"/>
              </w:rPr>
              <w:t>%</w:t>
            </w:r>
          </w:p>
        </w:tc>
        <w:tc>
          <w:tcPr>
            <w:tcW w:w="420" w:type="dxa"/>
            <w:vAlign w:val="bottom"/>
            <w:tcBorders>
              <w:bottom w:val="single" w:sz="8" w:color="auto"/>
            </w:tcBorders>
          </w:tcPr>
          <w:p>
            <w:pPr>
              <w:jc w:val="right"/>
              <w:ind w:right="179"/>
              <w:spacing w:after="0" w:line="176" w:lineRule="exact"/>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tcPr>
          <w:p>
            <w:pPr>
              <w:jc w:val="right"/>
              <w:ind w:right="80"/>
              <w:spacing w:after="0" w:line="176" w:lineRule="exact"/>
              <w:rPr>
                <w:sz w:val="20"/>
                <w:szCs w:val="20"/>
                <w:color w:val="auto"/>
              </w:rPr>
            </w:pPr>
            <w:r>
              <w:rPr>
                <w:rFonts w:ascii="Arial" w:cs="Arial" w:eastAsia="Arial" w:hAnsi="Arial"/>
                <w:sz w:val="16"/>
                <w:szCs w:val="16"/>
                <w:color w:val="auto"/>
              </w:rPr>
              <w:t>479</w:t>
            </w:r>
          </w:p>
        </w:tc>
        <w:tc>
          <w:tcPr>
            <w:tcW w:w="520" w:type="dxa"/>
            <w:vAlign w:val="bottom"/>
            <w:tcBorders>
              <w:bottom w:val="single" w:sz="8" w:color="auto"/>
            </w:tcBorders>
          </w:tcPr>
          <w:p>
            <w:pPr>
              <w:jc w:val="right"/>
              <w:ind w:right="20"/>
              <w:spacing w:after="0" w:line="176" w:lineRule="exact"/>
              <w:rPr>
                <w:sz w:val="20"/>
                <w:szCs w:val="20"/>
                <w:color w:val="auto"/>
              </w:rPr>
            </w:pPr>
            <w:r>
              <w:rPr>
                <w:rFonts w:ascii="Arial" w:cs="Arial" w:eastAsia="Arial" w:hAnsi="Arial"/>
                <w:sz w:val="16"/>
                <w:szCs w:val="16"/>
                <w:color w:val="auto"/>
              </w:rPr>
              <w:t>100</w:t>
            </w:r>
          </w:p>
        </w:tc>
        <w:tc>
          <w:tcPr>
            <w:tcW w:w="26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6"/>
                <w:szCs w:val="16"/>
                <w:color w:val="auto"/>
              </w:rPr>
              <w:t>%</w:t>
            </w:r>
          </w:p>
        </w:tc>
        <w:tc>
          <w:tcPr>
            <w:tcW w:w="400" w:type="dxa"/>
            <w:vAlign w:val="bottom"/>
            <w:tcBorders>
              <w:bottom w:val="single" w:sz="8" w:color="auto"/>
            </w:tcBorders>
          </w:tcPr>
          <w:p>
            <w:pPr>
              <w:jc w:val="right"/>
              <w:ind w:right="179"/>
              <w:spacing w:after="0" w:line="176" w:lineRule="exact"/>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tcPr>
          <w:p>
            <w:pPr>
              <w:jc w:val="right"/>
              <w:ind w:right="179"/>
              <w:spacing w:after="0" w:line="176" w:lineRule="exact"/>
              <w:rPr>
                <w:sz w:val="20"/>
                <w:szCs w:val="20"/>
                <w:color w:val="auto"/>
              </w:rPr>
            </w:pPr>
            <w:r>
              <w:rPr>
                <w:rFonts w:ascii="Arial" w:cs="Arial" w:eastAsia="Arial" w:hAnsi="Arial"/>
                <w:sz w:val="16"/>
                <w:szCs w:val="16"/>
                <w:color w:val="auto"/>
              </w:rPr>
              <w:t>425</w:t>
            </w:r>
          </w:p>
        </w:tc>
        <w:tc>
          <w:tcPr>
            <w:tcW w:w="480" w:type="dxa"/>
            <w:vAlign w:val="bottom"/>
            <w:tcBorders>
              <w:bottom w:val="single" w:sz="8" w:color="auto"/>
            </w:tcBorders>
          </w:tcPr>
          <w:p>
            <w:pPr>
              <w:jc w:val="right"/>
              <w:ind w:right="59"/>
              <w:spacing w:after="0" w:line="176" w:lineRule="exact"/>
              <w:rPr>
                <w:sz w:val="20"/>
                <w:szCs w:val="20"/>
                <w:color w:val="auto"/>
              </w:rPr>
            </w:pPr>
            <w:r>
              <w:rPr>
                <w:rFonts w:ascii="Arial" w:cs="Arial" w:eastAsia="Arial" w:hAnsi="Arial"/>
                <w:sz w:val="16"/>
                <w:szCs w:val="16"/>
                <w:color w:val="auto"/>
              </w:rPr>
              <w:t>100</w:t>
            </w:r>
          </w:p>
        </w:tc>
        <w:tc>
          <w:tcPr>
            <w:tcW w:w="400" w:type="dxa"/>
            <w:vAlign w:val="bottom"/>
            <w:tcBorders>
              <w:bottom w:val="single" w:sz="8" w:color="auto"/>
            </w:tcBorders>
          </w:tcPr>
          <w:p>
            <w:pPr>
              <w:jc w:val="right"/>
              <w:ind w:right="99"/>
              <w:spacing w:after="0" w:line="176" w:lineRule="exact"/>
              <w:rPr>
                <w:sz w:val="20"/>
                <w:szCs w:val="20"/>
                <w:color w:val="auto"/>
              </w:rPr>
            </w:pPr>
            <w:r>
              <w:rPr>
                <w:rFonts w:ascii="Arial" w:cs="Arial" w:eastAsia="Arial" w:hAnsi="Arial"/>
                <w:sz w:val="16"/>
                <w:szCs w:val="16"/>
                <w:color w:val="auto"/>
              </w:rPr>
              <w:t>%</w:t>
            </w:r>
          </w:p>
        </w:tc>
      </w:tr>
      <w:tr>
        <w:trPr>
          <w:trHeight w:val="164"/>
        </w:trPr>
        <w:tc>
          <w:tcPr>
            <w:tcW w:w="20" w:type="dxa"/>
            <w:vAlign w:val="bottom"/>
          </w:tcPr>
          <w:p>
            <w:pPr>
              <w:spacing w:after="0"/>
              <w:rPr>
                <w:sz w:val="14"/>
                <w:szCs w:val="14"/>
                <w:color w:val="auto"/>
              </w:rPr>
            </w:pPr>
          </w:p>
        </w:tc>
        <w:tc>
          <w:tcPr>
            <w:tcW w:w="2860" w:type="dxa"/>
            <w:vAlign w:val="bottom"/>
          </w:tcPr>
          <w:p>
            <w:pPr>
              <w:spacing w:after="0" w:line="164" w:lineRule="exact"/>
              <w:rPr>
                <w:sz w:val="20"/>
                <w:szCs w:val="20"/>
                <w:color w:val="auto"/>
              </w:rPr>
            </w:pPr>
            <w:r>
              <w:rPr>
                <w:rFonts w:ascii="Arial" w:cs="Arial" w:eastAsia="Arial" w:hAnsi="Arial"/>
                <w:sz w:val="16"/>
                <w:szCs w:val="16"/>
                <w:color w:val="auto"/>
              </w:rPr>
              <w:t>INCOME TAX EXPENSE (BENEFIT)</w:t>
            </w:r>
          </w:p>
        </w:tc>
        <w:tc>
          <w:tcPr>
            <w:tcW w:w="3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00" w:type="dxa"/>
            <w:vAlign w:val="bottom"/>
          </w:tcPr>
          <w:p>
            <w:pPr>
              <w:spacing w:after="0"/>
              <w:rPr>
                <w:sz w:val="14"/>
                <w:szCs w:val="14"/>
                <w:color w:val="auto"/>
              </w:rPr>
            </w:pPr>
          </w:p>
        </w:tc>
      </w:tr>
      <w:tr>
        <w:trPr>
          <w:trHeight w:val="176"/>
        </w:trPr>
        <w:tc>
          <w:tcPr>
            <w:tcW w:w="20" w:type="dxa"/>
            <w:vAlign w:val="bottom"/>
          </w:tcPr>
          <w:p>
            <w:pPr>
              <w:spacing w:after="0"/>
              <w:rPr>
                <w:sz w:val="15"/>
                <w:szCs w:val="15"/>
                <w:color w:val="auto"/>
              </w:rPr>
            </w:pPr>
          </w:p>
        </w:tc>
        <w:tc>
          <w:tcPr>
            <w:tcW w:w="2860" w:type="dxa"/>
            <w:vAlign w:val="bottom"/>
          </w:tcPr>
          <w:p>
            <w:pPr>
              <w:ind w:left="80"/>
              <w:spacing w:after="0" w:line="176" w:lineRule="exact"/>
              <w:rPr>
                <w:sz w:val="20"/>
                <w:szCs w:val="20"/>
                <w:color w:val="auto"/>
              </w:rPr>
            </w:pPr>
            <w:r>
              <w:rPr>
                <w:rFonts w:ascii="Arial" w:cs="Arial" w:eastAsia="Arial" w:hAnsi="Arial"/>
                <w:sz w:val="16"/>
                <w:szCs w:val="16"/>
                <w:color w:val="auto"/>
              </w:rPr>
              <w:t>SDG&amp;E</w:t>
            </w:r>
          </w:p>
        </w:tc>
        <w:tc>
          <w:tcPr>
            <w:tcW w:w="340" w:type="dxa"/>
            <w:vAlign w:val="bottom"/>
          </w:tcPr>
          <w:p>
            <w:pPr>
              <w:jc w:val="right"/>
              <w:ind w:right="184"/>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ind w:right="120"/>
              <w:spacing w:after="0" w:line="176" w:lineRule="exact"/>
              <w:rPr>
                <w:sz w:val="20"/>
                <w:szCs w:val="20"/>
                <w:color w:val="auto"/>
              </w:rPr>
            </w:pPr>
            <w:r>
              <w:rPr>
                <w:rFonts w:ascii="Arial" w:cs="Arial" w:eastAsia="Arial" w:hAnsi="Arial"/>
                <w:sz w:val="16"/>
                <w:szCs w:val="16"/>
                <w:color w:val="auto"/>
              </w:rPr>
              <w:t>42</w:t>
            </w:r>
          </w:p>
        </w:tc>
        <w:tc>
          <w:tcPr>
            <w:tcW w:w="6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20" w:type="dxa"/>
            <w:vAlign w:val="bottom"/>
          </w:tcPr>
          <w:p>
            <w:pPr>
              <w:jc w:val="right"/>
              <w:ind w:right="199"/>
              <w:spacing w:after="0" w:line="176" w:lineRule="exact"/>
              <w:rPr>
                <w:sz w:val="20"/>
                <w:szCs w:val="20"/>
                <w:color w:val="auto"/>
              </w:rPr>
            </w:pPr>
            <w:r>
              <w:rPr>
                <w:rFonts w:ascii="Arial" w:cs="Arial" w:eastAsia="Arial" w:hAnsi="Arial"/>
                <w:sz w:val="16"/>
                <w:szCs w:val="16"/>
                <w:color w:val="auto"/>
              </w:rPr>
              <w:t>$</w:t>
            </w:r>
          </w:p>
        </w:tc>
        <w:tc>
          <w:tcPr>
            <w:tcW w:w="1000" w:type="dxa"/>
            <w:vAlign w:val="bottom"/>
          </w:tcPr>
          <w:p>
            <w:pPr>
              <w:jc w:val="right"/>
              <w:ind w:right="259"/>
              <w:spacing w:after="0" w:line="176" w:lineRule="exact"/>
              <w:rPr>
                <w:sz w:val="20"/>
                <w:szCs w:val="20"/>
                <w:color w:val="auto"/>
              </w:rPr>
            </w:pPr>
            <w:r>
              <w:rPr>
                <w:rFonts w:ascii="Arial" w:cs="Arial" w:eastAsia="Arial" w:hAnsi="Arial"/>
                <w:sz w:val="16"/>
                <w:szCs w:val="16"/>
                <w:color w:val="auto"/>
              </w:rPr>
              <w:t>44</w:t>
            </w:r>
          </w:p>
        </w:tc>
        <w:tc>
          <w:tcPr>
            <w:tcW w:w="5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20" w:type="dxa"/>
            <w:vAlign w:val="bottom"/>
          </w:tcPr>
          <w:p>
            <w:pPr>
              <w:jc w:val="right"/>
              <w:ind w:right="179"/>
              <w:spacing w:after="0" w:line="176" w:lineRule="exact"/>
              <w:rPr>
                <w:sz w:val="20"/>
                <w:szCs w:val="20"/>
                <w:color w:val="auto"/>
              </w:rPr>
            </w:pPr>
            <w:r>
              <w:rPr>
                <w:rFonts w:ascii="Arial" w:cs="Arial" w:eastAsia="Arial" w:hAnsi="Arial"/>
                <w:sz w:val="16"/>
                <w:szCs w:val="16"/>
                <w:color w:val="auto"/>
              </w:rPr>
              <w:t>$</w:t>
            </w:r>
          </w:p>
        </w:tc>
        <w:tc>
          <w:tcPr>
            <w:tcW w:w="840" w:type="dxa"/>
            <w:vAlign w:val="bottom"/>
          </w:tcPr>
          <w:p>
            <w:pPr>
              <w:jc w:val="right"/>
              <w:ind w:right="80"/>
              <w:spacing w:after="0" w:line="176" w:lineRule="exact"/>
              <w:rPr>
                <w:sz w:val="20"/>
                <w:szCs w:val="20"/>
                <w:color w:val="auto"/>
              </w:rPr>
            </w:pPr>
            <w:r>
              <w:rPr>
                <w:rFonts w:ascii="Arial" w:cs="Arial" w:eastAsia="Arial" w:hAnsi="Arial"/>
                <w:sz w:val="16"/>
                <w:szCs w:val="16"/>
                <w:color w:val="auto"/>
              </w:rPr>
              <w:t>91</w:t>
            </w:r>
          </w:p>
        </w:tc>
        <w:tc>
          <w:tcPr>
            <w:tcW w:w="5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00" w:type="dxa"/>
            <w:vAlign w:val="bottom"/>
          </w:tcPr>
          <w:p>
            <w:pPr>
              <w:jc w:val="right"/>
              <w:ind w:right="179"/>
              <w:spacing w:after="0" w:line="176" w:lineRule="exact"/>
              <w:rPr>
                <w:sz w:val="20"/>
                <w:szCs w:val="20"/>
                <w:color w:val="auto"/>
              </w:rPr>
            </w:pPr>
            <w:r>
              <w:rPr>
                <w:rFonts w:ascii="Arial" w:cs="Arial" w:eastAsia="Arial" w:hAnsi="Arial"/>
                <w:sz w:val="16"/>
                <w:szCs w:val="16"/>
                <w:color w:val="auto"/>
              </w:rPr>
              <w:t>$</w:t>
            </w:r>
          </w:p>
        </w:tc>
        <w:tc>
          <w:tcPr>
            <w:tcW w:w="940" w:type="dxa"/>
            <w:vAlign w:val="bottom"/>
          </w:tcPr>
          <w:p>
            <w:pPr>
              <w:jc w:val="right"/>
              <w:ind w:right="179"/>
              <w:spacing w:after="0" w:line="176" w:lineRule="exact"/>
              <w:rPr>
                <w:sz w:val="20"/>
                <w:szCs w:val="20"/>
                <w:color w:val="auto"/>
              </w:rPr>
            </w:pPr>
            <w:r>
              <w:rPr>
                <w:rFonts w:ascii="Arial" w:cs="Arial" w:eastAsia="Arial" w:hAnsi="Arial"/>
                <w:sz w:val="16"/>
                <w:szCs w:val="16"/>
                <w:color w:val="auto"/>
              </w:rPr>
              <w:t>75</w:t>
            </w:r>
          </w:p>
        </w:tc>
        <w:tc>
          <w:tcPr>
            <w:tcW w:w="480" w:type="dxa"/>
            <w:vAlign w:val="bottom"/>
          </w:tcPr>
          <w:p>
            <w:pPr>
              <w:spacing w:after="0"/>
              <w:rPr>
                <w:sz w:val="15"/>
                <w:szCs w:val="15"/>
                <w:color w:val="auto"/>
              </w:rPr>
            </w:pPr>
          </w:p>
        </w:tc>
        <w:tc>
          <w:tcPr>
            <w:tcW w:w="400" w:type="dxa"/>
            <w:vAlign w:val="bottom"/>
          </w:tcPr>
          <w:p>
            <w:pPr>
              <w:spacing w:after="0"/>
              <w:rPr>
                <w:sz w:val="15"/>
                <w:szCs w:val="15"/>
                <w:color w:val="auto"/>
              </w:rPr>
            </w:pPr>
          </w:p>
        </w:tc>
      </w:tr>
      <w:tr>
        <w:trPr>
          <w:trHeight w:val="176"/>
        </w:trPr>
        <w:tc>
          <w:tcPr>
            <w:tcW w:w="20" w:type="dxa"/>
            <w:vAlign w:val="bottom"/>
          </w:tcPr>
          <w:p>
            <w:pPr>
              <w:spacing w:after="0"/>
              <w:rPr>
                <w:sz w:val="15"/>
                <w:szCs w:val="15"/>
                <w:color w:val="auto"/>
              </w:rPr>
            </w:pPr>
          </w:p>
        </w:tc>
        <w:tc>
          <w:tcPr>
            <w:tcW w:w="2860" w:type="dxa"/>
            <w:vAlign w:val="bottom"/>
          </w:tcPr>
          <w:p>
            <w:pPr>
              <w:ind w:left="80"/>
              <w:spacing w:after="0" w:line="176" w:lineRule="exact"/>
              <w:rPr>
                <w:sz w:val="20"/>
                <w:szCs w:val="20"/>
                <w:color w:val="auto"/>
              </w:rPr>
            </w:pPr>
            <w:r>
              <w:rPr>
                <w:rFonts w:ascii="Arial" w:cs="Arial" w:eastAsia="Arial" w:hAnsi="Arial"/>
                <w:sz w:val="16"/>
                <w:szCs w:val="16"/>
                <w:color w:val="auto"/>
              </w:rPr>
              <w:t>SoCalGas</w:t>
            </w:r>
          </w:p>
        </w:tc>
        <w:tc>
          <w:tcPr>
            <w:tcW w:w="340" w:type="dxa"/>
            <w:vAlign w:val="bottom"/>
          </w:tcPr>
          <w:p>
            <w:pPr>
              <w:spacing w:after="0"/>
              <w:rPr>
                <w:sz w:val="15"/>
                <w:szCs w:val="15"/>
                <w:color w:val="auto"/>
              </w:rPr>
            </w:pPr>
          </w:p>
        </w:tc>
        <w:tc>
          <w:tcPr>
            <w:tcW w:w="860" w:type="dxa"/>
            <w:vAlign w:val="bottom"/>
          </w:tcPr>
          <w:p>
            <w:pPr>
              <w:jc w:val="right"/>
              <w:ind w:right="120"/>
              <w:spacing w:after="0" w:line="176" w:lineRule="exact"/>
              <w:rPr>
                <w:sz w:val="20"/>
                <w:szCs w:val="20"/>
                <w:color w:val="auto"/>
              </w:rPr>
            </w:pPr>
            <w:r>
              <w:rPr>
                <w:rFonts w:ascii="Arial" w:cs="Arial" w:eastAsia="Arial" w:hAnsi="Arial"/>
                <w:sz w:val="16"/>
                <w:szCs w:val="16"/>
                <w:color w:val="auto"/>
              </w:rPr>
              <w:t>28</w:t>
            </w:r>
          </w:p>
        </w:tc>
        <w:tc>
          <w:tcPr>
            <w:tcW w:w="6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00" w:type="dxa"/>
            <w:vAlign w:val="bottom"/>
          </w:tcPr>
          <w:p>
            <w:pPr>
              <w:jc w:val="right"/>
              <w:ind w:right="259"/>
              <w:spacing w:after="0" w:line="176" w:lineRule="exact"/>
              <w:rPr>
                <w:sz w:val="20"/>
                <w:szCs w:val="20"/>
                <w:color w:val="auto"/>
              </w:rPr>
            </w:pPr>
            <w:r>
              <w:rPr>
                <w:rFonts w:ascii="Arial" w:cs="Arial" w:eastAsia="Arial" w:hAnsi="Arial"/>
                <w:sz w:val="16"/>
                <w:szCs w:val="16"/>
                <w:color w:val="auto"/>
              </w:rPr>
              <w:t>34</w:t>
            </w:r>
          </w:p>
        </w:tc>
        <w:tc>
          <w:tcPr>
            <w:tcW w:w="5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40" w:type="dxa"/>
            <w:vAlign w:val="bottom"/>
          </w:tcPr>
          <w:p>
            <w:pPr>
              <w:jc w:val="right"/>
              <w:ind w:right="80"/>
              <w:spacing w:after="0" w:line="176" w:lineRule="exact"/>
              <w:rPr>
                <w:sz w:val="20"/>
                <w:szCs w:val="20"/>
                <w:color w:val="auto"/>
              </w:rPr>
            </w:pPr>
            <w:r>
              <w:rPr>
                <w:rFonts w:ascii="Arial" w:cs="Arial" w:eastAsia="Arial" w:hAnsi="Arial"/>
                <w:sz w:val="16"/>
                <w:szCs w:val="16"/>
                <w:color w:val="auto"/>
              </w:rPr>
              <w:t>65</w:t>
            </w:r>
          </w:p>
        </w:tc>
        <w:tc>
          <w:tcPr>
            <w:tcW w:w="5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40" w:type="dxa"/>
            <w:vAlign w:val="bottom"/>
          </w:tcPr>
          <w:p>
            <w:pPr>
              <w:jc w:val="right"/>
              <w:ind w:right="179"/>
              <w:spacing w:after="0" w:line="176" w:lineRule="exact"/>
              <w:rPr>
                <w:sz w:val="20"/>
                <w:szCs w:val="20"/>
                <w:color w:val="auto"/>
              </w:rPr>
            </w:pPr>
            <w:r>
              <w:rPr>
                <w:rFonts w:ascii="Arial" w:cs="Arial" w:eastAsia="Arial" w:hAnsi="Arial"/>
                <w:sz w:val="16"/>
                <w:szCs w:val="16"/>
                <w:color w:val="auto"/>
              </w:rPr>
              <w:t>90</w:t>
            </w:r>
          </w:p>
        </w:tc>
        <w:tc>
          <w:tcPr>
            <w:tcW w:w="480" w:type="dxa"/>
            <w:vAlign w:val="bottom"/>
          </w:tcPr>
          <w:p>
            <w:pPr>
              <w:spacing w:after="0"/>
              <w:rPr>
                <w:sz w:val="15"/>
                <w:szCs w:val="15"/>
                <w:color w:val="auto"/>
              </w:rPr>
            </w:pPr>
          </w:p>
        </w:tc>
        <w:tc>
          <w:tcPr>
            <w:tcW w:w="400" w:type="dxa"/>
            <w:vAlign w:val="bottom"/>
          </w:tcPr>
          <w:p>
            <w:pPr>
              <w:spacing w:after="0"/>
              <w:rPr>
                <w:sz w:val="15"/>
                <w:szCs w:val="15"/>
                <w:color w:val="auto"/>
              </w:rPr>
            </w:pPr>
          </w:p>
        </w:tc>
      </w:tr>
      <w:tr>
        <w:trPr>
          <w:trHeight w:val="176"/>
        </w:trPr>
        <w:tc>
          <w:tcPr>
            <w:tcW w:w="20" w:type="dxa"/>
            <w:vAlign w:val="bottom"/>
          </w:tcPr>
          <w:p>
            <w:pPr>
              <w:spacing w:after="0"/>
              <w:rPr>
                <w:sz w:val="15"/>
                <w:szCs w:val="15"/>
                <w:color w:val="auto"/>
              </w:rPr>
            </w:pPr>
          </w:p>
        </w:tc>
        <w:tc>
          <w:tcPr>
            <w:tcW w:w="2860" w:type="dxa"/>
            <w:vAlign w:val="bottom"/>
          </w:tcPr>
          <w:p>
            <w:pPr>
              <w:ind w:left="80"/>
              <w:spacing w:after="0" w:line="176" w:lineRule="exact"/>
              <w:rPr>
                <w:sz w:val="20"/>
                <w:szCs w:val="20"/>
                <w:color w:val="auto"/>
              </w:rPr>
            </w:pPr>
            <w:r>
              <w:rPr>
                <w:rFonts w:ascii="Arial" w:cs="Arial" w:eastAsia="Arial" w:hAnsi="Arial"/>
                <w:sz w:val="16"/>
                <w:szCs w:val="16"/>
                <w:color w:val="auto"/>
              </w:rPr>
              <w:t>Sempra Generation</w:t>
            </w:r>
          </w:p>
        </w:tc>
        <w:tc>
          <w:tcPr>
            <w:tcW w:w="340" w:type="dxa"/>
            <w:vAlign w:val="bottom"/>
          </w:tcPr>
          <w:p>
            <w:pPr>
              <w:spacing w:after="0"/>
              <w:rPr>
                <w:sz w:val="15"/>
                <w:szCs w:val="15"/>
                <w:color w:val="auto"/>
              </w:rPr>
            </w:pPr>
          </w:p>
        </w:tc>
        <w:tc>
          <w:tcPr>
            <w:tcW w:w="860" w:type="dxa"/>
            <w:vAlign w:val="bottom"/>
          </w:tcPr>
          <w:p>
            <w:pPr>
              <w:jc w:val="right"/>
              <w:ind w:right="120"/>
              <w:spacing w:after="0" w:line="176" w:lineRule="exact"/>
              <w:rPr>
                <w:sz w:val="20"/>
                <w:szCs w:val="20"/>
                <w:color w:val="auto"/>
              </w:rPr>
            </w:pPr>
            <w:r>
              <w:rPr>
                <w:rFonts w:ascii="Arial" w:cs="Arial" w:eastAsia="Arial" w:hAnsi="Arial"/>
                <w:sz w:val="16"/>
                <w:szCs w:val="16"/>
                <w:color w:val="auto"/>
              </w:rPr>
              <w:t>12</w:t>
            </w:r>
          </w:p>
        </w:tc>
        <w:tc>
          <w:tcPr>
            <w:tcW w:w="6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00" w:type="dxa"/>
            <w:vAlign w:val="bottom"/>
          </w:tcPr>
          <w:p>
            <w:pPr>
              <w:jc w:val="right"/>
              <w:ind w:right="259"/>
              <w:spacing w:after="0" w:line="176" w:lineRule="exact"/>
              <w:rPr>
                <w:sz w:val="20"/>
                <w:szCs w:val="20"/>
                <w:color w:val="auto"/>
              </w:rPr>
            </w:pPr>
            <w:r>
              <w:rPr>
                <w:rFonts w:ascii="Arial" w:cs="Arial" w:eastAsia="Arial" w:hAnsi="Arial"/>
                <w:sz w:val="16"/>
                <w:szCs w:val="16"/>
                <w:color w:val="auto"/>
              </w:rPr>
              <w:t>6</w:t>
            </w:r>
          </w:p>
        </w:tc>
        <w:tc>
          <w:tcPr>
            <w:tcW w:w="5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40" w:type="dxa"/>
            <w:vAlign w:val="bottom"/>
          </w:tcPr>
          <w:p>
            <w:pPr>
              <w:jc w:val="right"/>
              <w:ind w:right="80"/>
              <w:spacing w:after="0" w:line="176" w:lineRule="exact"/>
              <w:rPr>
                <w:sz w:val="20"/>
                <w:szCs w:val="20"/>
                <w:color w:val="auto"/>
              </w:rPr>
            </w:pPr>
            <w:r>
              <w:rPr>
                <w:rFonts w:ascii="Arial" w:cs="Arial" w:eastAsia="Arial" w:hAnsi="Arial"/>
                <w:sz w:val="16"/>
                <w:szCs w:val="16"/>
                <w:color w:val="auto"/>
              </w:rPr>
              <w:t>34</w:t>
            </w:r>
          </w:p>
        </w:tc>
        <w:tc>
          <w:tcPr>
            <w:tcW w:w="5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40" w:type="dxa"/>
            <w:vAlign w:val="bottom"/>
          </w:tcPr>
          <w:p>
            <w:pPr>
              <w:jc w:val="right"/>
              <w:ind w:right="139"/>
              <w:spacing w:after="0" w:line="176" w:lineRule="exact"/>
              <w:rPr>
                <w:sz w:val="20"/>
                <w:szCs w:val="20"/>
                <w:color w:val="auto"/>
              </w:rPr>
            </w:pPr>
            <w:r>
              <w:rPr>
                <w:rFonts w:ascii="Arial" w:cs="Arial" w:eastAsia="Arial" w:hAnsi="Arial"/>
                <w:sz w:val="16"/>
                <w:szCs w:val="16"/>
                <w:color w:val="auto"/>
              </w:rPr>
              <w:t>(32)</w:t>
            </w:r>
          </w:p>
        </w:tc>
        <w:tc>
          <w:tcPr>
            <w:tcW w:w="480" w:type="dxa"/>
            <w:vAlign w:val="bottom"/>
          </w:tcPr>
          <w:p>
            <w:pPr>
              <w:spacing w:after="0"/>
              <w:rPr>
                <w:sz w:val="15"/>
                <w:szCs w:val="15"/>
                <w:color w:val="auto"/>
              </w:rPr>
            </w:pPr>
          </w:p>
        </w:tc>
        <w:tc>
          <w:tcPr>
            <w:tcW w:w="400" w:type="dxa"/>
            <w:vAlign w:val="bottom"/>
          </w:tcPr>
          <w:p>
            <w:pPr>
              <w:spacing w:after="0"/>
              <w:rPr>
                <w:sz w:val="15"/>
                <w:szCs w:val="15"/>
                <w:color w:val="auto"/>
              </w:rPr>
            </w:pPr>
          </w:p>
        </w:tc>
      </w:tr>
      <w:tr>
        <w:trPr>
          <w:trHeight w:val="176"/>
        </w:trPr>
        <w:tc>
          <w:tcPr>
            <w:tcW w:w="20" w:type="dxa"/>
            <w:vAlign w:val="bottom"/>
          </w:tcPr>
          <w:p>
            <w:pPr>
              <w:spacing w:after="0"/>
              <w:rPr>
                <w:sz w:val="15"/>
                <w:szCs w:val="15"/>
                <w:color w:val="auto"/>
              </w:rPr>
            </w:pPr>
          </w:p>
        </w:tc>
        <w:tc>
          <w:tcPr>
            <w:tcW w:w="2860" w:type="dxa"/>
            <w:vAlign w:val="bottom"/>
          </w:tcPr>
          <w:p>
            <w:pPr>
              <w:ind w:left="80"/>
              <w:spacing w:after="0" w:line="176" w:lineRule="exact"/>
              <w:rPr>
                <w:sz w:val="20"/>
                <w:szCs w:val="20"/>
                <w:color w:val="auto"/>
              </w:rPr>
            </w:pPr>
            <w:r>
              <w:rPr>
                <w:rFonts w:ascii="Arial" w:cs="Arial" w:eastAsia="Arial" w:hAnsi="Arial"/>
                <w:sz w:val="16"/>
                <w:szCs w:val="16"/>
                <w:color w:val="auto"/>
              </w:rPr>
              <w:t>Sempra Pipelines &amp; Storage</w:t>
            </w:r>
          </w:p>
        </w:tc>
        <w:tc>
          <w:tcPr>
            <w:tcW w:w="340" w:type="dxa"/>
            <w:vAlign w:val="bottom"/>
          </w:tcPr>
          <w:p>
            <w:pPr>
              <w:spacing w:after="0"/>
              <w:rPr>
                <w:sz w:val="15"/>
                <w:szCs w:val="15"/>
                <w:color w:val="auto"/>
              </w:rPr>
            </w:pPr>
          </w:p>
        </w:tc>
        <w:tc>
          <w:tcPr>
            <w:tcW w:w="860" w:type="dxa"/>
            <w:vAlign w:val="bottom"/>
          </w:tcPr>
          <w:p>
            <w:pPr>
              <w:jc w:val="right"/>
              <w:ind w:right="120"/>
              <w:spacing w:after="0" w:line="176" w:lineRule="exact"/>
              <w:rPr>
                <w:sz w:val="20"/>
                <w:szCs w:val="20"/>
                <w:color w:val="auto"/>
              </w:rPr>
            </w:pPr>
            <w:r>
              <w:rPr>
                <w:rFonts w:ascii="Arial" w:cs="Arial" w:eastAsia="Arial" w:hAnsi="Arial"/>
                <w:sz w:val="16"/>
                <w:szCs w:val="16"/>
                <w:color w:val="auto"/>
              </w:rPr>
              <w:t>22</w:t>
            </w:r>
          </w:p>
        </w:tc>
        <w:tc>
          <w:tcPr>
            <w:tcW w:w="6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00" w:type="dxa"/>
            <w:vAlign w:val="bottom"/>
          </w:tcPr>
          <w:p>
            <w:pPr>
              <w:jc w:val="right"/>
              <w:ind w:right="259"/>
              <w:spacing w:after="0" w:line="176" w:lineRule="exact"/>
              <w:rPr>
                <w:sz w:val="20"/>
                <w:szCs w:val="20"/>
                <w:color w:val="auto"/>
              </w:rPr>
            </w:pPr>
            <w:r>
              <w:rPr>
                <w:rFonts w:ascii="Arial" w:cs="Arial" w:eastAsia="Arial" w:hAnsi="Arial"/>
                <w:sz w:val="16"/>
                <w:szCs w:val="16"/>
                <w:color w:val="auto"/>
              </w:rPr>
              <w:t>7</w:t>
            </w:r>
          </w:p>
        </w:tc>
        <w:tc>
          <w:tcPr>
            <w:tcW w:w="5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40" w:type="dxa"/>
            <w:vAlign w:val="bottom"/>
          </w:tcPr>
          <w:p>
            <w:pPr>
              <w:jc w:val="right"/>
              <w:ind w:right="80"/>
              <w:spacing w:after="0" w:line="176" w:lineRule="exact"/>
              <w:rPr>
                <w:sz w:val="20"/>
                <w:szCs w:val="20"/>
                <w:color w:val="auto"/>
              </w:rPr>
            </w:pPr>
            <w:r>
              <w:rPr>
                <w:rFonts w:ascii="Arial" w:cs="Arial" w:eastAsia="Arial" w:hAnsi="Arial"/>
                <w:sz w:val="16"/>
                <w:szCs w:val="16"/>
                <w:color w:val="auto"/>
              </w:rPr>
              <w:t>29</w:t>
            </w:r>
          </w:p>
        </w:tc>
        <w:tc>
          <w:tcPr>
            <w:tcW w:w="5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40" w:type="dxa"/>
            <w:vAlign w:val="bottom"/>
          </w:tcPr>
          <w:p>
            <w:pPr>
              <w:jc w:val="right"/>
              <w:ind w:right="179"/>
              <w:spacing w:after="0" w:line="176" w:lineRule="exact"/>
              <w:rPr>
                <w:sz w:val="20"/>
                <w:szCs w:val="20"/>
                <w:color w:val="auto"/>
              </w:rPr>
            </w:pPr>
            <w:r>
              <w:rPr>
                <w:rFonts w:ascii="Arial" w:cs="Arial" w:eastAsia="Arial" w:hAnsi="Arial"/>
                <w:sz w:val="16"/>
                <w:szCs w:val="16"/>
                <w:color w:val="auto"/>
              </w:rPr>
              <w:t>13</w:t>
            </w:r>
          </w:p>
        </w:tc>
        <w:tc>
          <w:tcPr>
            <w:tcW w:w="480" w:type="dxa"/>
            <w:vAlign w:val="bottom"/>
          </w:tcPr>
          <w:p>
            <w:pPr>
              <w:spacing w:after="0"/>
              <w:rPr>
                <w:sz w:val="15"/>
                <w:szCs w:val="15"/>
                <w:color w:val="auto"/>
              </w:rPr>
            </w:pPr>
          </w:p>
        </w:tc>
        <w:tc>
          <w:tcPr>
            <w:tcW w:w="400" w:type="dxa"/>
            <w:vAlign w:val="bottom"/>
          </w:tcPr>
          <w:p>
            <w:pPr>
              <w:spacing w:after="0"/>
              <w:rPr>
                <w:sz w:val="15"/>
                <w:szCs w:val="15"/>
                <w:color w:val="auto"/>
              </w:rPr>
            </w:pPr>
          </w:p>
        </w:tc>
      </w:tr>
      <w:tr>
        <w:trPr>
          <w:trHeight w:val="176"/>
        </w:trPr>
        <w:tc>
          <w:tcPr>
            <w:tcW w:w="20" w:type="dxa"/>
            <w:vAlign w:val="bottom"/>
          </w:tcPr>
          <w:p>
            <w:pPr>
              <w:spacing w:after="0"/>
              <w:rPr>
                <w:sz w:val="15"/>
                <w:szCs w:val="15"/>
                <w:color w:val="auto"/>
              </w:rPr>
            </w:pPr>
          </w:p>
        </w:tc>
        <w:tc>
          <w:tcPr>
            <w:tcW w:w="2860" w:type="dxa"/>
            <w:vAlign w:val="bottom"/>
          </w:tcPr>
          <w:p>
            <w:pPr>
              <w:ind w:left="80"/>
              <w:spacing w:after="0" w:line="176" w:lineRule="exact"/>
              <w:rPr>
                <w:sz w:val="20"/>
                <w:szCs w:val="20"/>
                <w:color w:val="auto"/>
              </w:rPr>
            </w:pPr>
            <w:r>
              <w:rPr>
                <w:rFonts w:ascii="Arial" w:cs="Arial" w:eastAsia="Arial" w:hAnsi="Arial"/>
                <w:sz w:val="16"/>
                <w:szCs w:val="16"/>
                <w:color w:val="auto"/>
              </w:rPr>
              <w:t>Sempra LNG</w:t>
            </w:r>
          </w:p>
        </w:tc>
        <w:tc>
          <w:tcPr>
            <w:tcW w:w="340" w:type="dxa"/>
            <w:vAlign w:val="bottom"/>
          </w:tcPr>
          <w:p>
            <w:pPr>
              <w:spacing w:after="0"/>
              <w:rPr>
                <w:sz w:val="15"/>
                <w:szCs w:val="15"/>
                <w:color w:val="auto"/>
              </w:rPr>
            </w:pPr>
          </w:p>
        </w:tc>
        <w:tc>
          <w:tcPr>
            <w:tcW w:w="860" w:type="dxa"/>
            <w:vAlign w:val="bottom"/>
          </w:tcPr>
          <w:p>
            <w:pPr>
              <w:jc w:val="right"/>
              <w:ind w:right="120"/>
              <w:spacing w:after="0" w:line="176" w:lineRule="exact"/>
              <w:rPr>
                <w:sz w:val="20"/>
                <w:szCs w:val="20"/>
                <w:color w:val="auto"/>
              </w:rPr>
            </w:pPr>
            <w:r>
              <w:rPr>
                <w:rFonts w:ascii="Arial" w:cs="Arial" w:eastAsia="Arial" w:hAnsi="Arial"/>
                <w:sz w:val="16"/>
                <w:szCs w:val="16"/>
                <w:color w:val="auto"/>
              </w:rPr>
              <w:t>12</w:t>
            </w:r>
          </w:p>
        </w:tc>
        <w:tc>
          <w:tcPr>
            <w:tcW w:w="6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00" w:type="dxa"/>
            <w:vAlign w:val="bottom"/>
          </w:tcPr>
          <w:p>
            <w:pPr>
              <w:jc w:val="right"/>
              <w:ind w:right="259"/>
              <w:spacing w:after="0" w:line="176" w:lineRule="exact"/>
              <w:rPr>
                <w:sz w:val="20"/>
                <w:szCs w:val="20"/>
                <w:color w:val="auto"/>
              </w:rPr>
            </w:pPr>
            <w:r>
              <w:rPr>
                <w:rFonts w:ascii="Arial" w:cs="Arial" w:eastAsia="Arial" w:hAnsi="Arial"/>
                <w:sz w:val="16"/>
                <w:szCs w:val="16"/>
                <w:color w:val="auto"/>
              </w:rPr>
              <w:t>4</w:t>
            </w:r>
          </w:p>
        </w:tc>
        <w:tc>
          <w:tcPr>
            <w:tcW w:w="5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40" w:type="dxa"/>
            <w:vAlign w:val="bottom"/>
          </w:tcPr>
          <w:p>
            <w:pPr>
              <w:jc w:val="right"/>
              <w:ind w:right="80"/>
              <w:spacing w:after="0" w:line="176" w:lineRule="exact"/>
              <w:rPr>
                <w:sz w:val="20"/>
                <w:szCs w:val="20"/>
                <w:color w:val="auto"/>
              </w:rPr>
            </w:pPr>
            <w:r>
              <w:rPr>
                <w:rFonts w:ascii="Arial" w:cs="Arial" w:eastAsia="Arial" w:hAnsi="Arial"/>
                <w:sz w:val="16"/>
                <w:szCs w:val="16"/>
                <w:color w:val="auto"/>
              </w:rPr>
              <w:t>23</w:t>
            </w:r>
          </w:p>
        </w:tc>
        <w:tc>
          <w:tcPr>
            <w:tcW w:w="5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40" w:type="dxa"/>
            <w:vAlign w:val="bottom"/>
          </w:tcPr>
          <w:p>
            <w:pPr>
              <w:jc w:val="right"/>
              <w:ind w:right="179"/>
              <w:spacing w:after="0" w:line="176" w:lineRule="exact"/>
              <w:rPr>
                <w:sz w:val="20"/>
                <w:szCs w:val="20"/>
                <w:color w:val="auto"/>
              </w:rPr>
            </w:pPr>
            <w:r>
              <w:rPr>
                <w:rFonts w:ascii="Arial" w:cs="Arial" w:eastAsia="Arial" w:hAnsi="Arial"/>
                <w:sz w:val="16"/>
                <w:szCs w:val="16"/>
                <w:color w:val="auto"/>
              </w:rPr>
              <w:t>16</w:t>
            </w:r>
          </w:p>
        </w:tc>
        <w:tc>
          <w:tcPr>
            <w:tcW w:w="480" w:type="dxa"/>
            <w:vAlign w:val="bottom"/>
          </w:tcPr>
          <w:p>
            <w:pPr>
              <w:spacing w:after="0"/>
              <w:rPr>
                <w:sz w:val="15"/>
                <w:szCs w:val="15"/>
                <w:color w:val="auto"/>
              </w:rPr>
            </w:pPr>
          </w:p>
        </w:tc>
        <w:tc>
          <w:tcPr>
            <w:tcW w:w="400" w:type="dxa"/>
            <w:vAlign w:val="bottom"/>
          </w:tcPr>
          <w:p>
            <w:pPr>
              <w:spacing w:after="0"/>
              <w:rPr>
                <w:sz w:val="15"/>
                <w:szCs w:val="15"/>
                <w:color w:val="auto"/>
              </w:rPr>
            </w:pPr>
          </w:p>
        </w:tc>
      </w:tr>
      <w:tr>
        <w:trPr>
          <w:trHeight w:val="194"/>
        </w:trPr>
        <w:tc>
          <w:tcPr>
            <w:tcW w:w="20" w:type="dxa"/>
            <w:vAlign w:val="bottom"/>
          </w:tcPr>
          <w:p>
            <w:pPr>
              <w:spacing w:after="0"/>
              <w:rPr>
                <w:sz w:val="16"/>
                <w:szCs w:val="16"/>
                <w:color w:val="auto"/>
              </w:rPr>
            </w:pPr>
          </w:p>
        </w:tc>
        <w:tc>
          <w:tcPr>
            <w:tcW w:w="2860" w:type="dxa"/>
            <w:vAlign w:val="bottom"/>
          </w:tcPr>
          <w:p>
            <w:pPr>
              <w:ind w:left="60"/>
              <w:spacing w:after="0"/>
              <w:rPr>
                <w:sz w:val="20"/>
                <w:szCs w:val="20"/>
                <w:color w:val="auto"/>
              </w:rPr>
            </w:pPr>
            <w:r>
              <w:rPr>
                <w:rFonts w:ascii="Arial" w:cs="Arial" w:eastAsia="Arial" w:hAnsi="Arial"/>
                <w:sz w:val="16"/>
                <w:szCs w:val="16"/>
                <w:color w:val="auto"/>
              </w:rPr>
              <w:t>All other</w:t>
            </w:r>
          </w:p>
        </w:tc>
        <w:tc>
          <w:tcPr>
            <w:tcW w:w="3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color w:val="auto"/>
              </w:rPr>
              <w:t>(24)</w:t>
            </w:r>
          </w:p>
        </w:tc>
        <w:tc>
          <w:tcPr>
            <w:tcW w:w="6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rPr>
              <w:t>(36)</w:t>
            </w:r>
          </w:p>
        </w:tc>
        <w:tc>
          <w:tcPr>
            <w:tcW w:w="50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(41)</w:t>
            </w:r>
          </w:p>
        </w:tc>
        <w:tc>
          <w:tcPr>
            <w:tcW w:w="5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(45)</w:t>
            </w:r>
          </w:p>
        </w:tc>
        <w:tc>
          <w:tcPr>
            <w:tcW w:w="48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r>
      <w:tr>
        <w:trPr>
          <w:trHeight w:val="183"/>
        </w:trPr>
        <w:tc>
          <w:tcPr>
            <w:tcW w:w="20" w:type="dxa"/>
            <w:vAlign w:val="bottom"/>
          </w:tcPr>
          <w:p>
            <w:pPr>
              <w:spacing w:after="0"/>
              <w:rPr>
                <w:sz w:val="15"/>
                <w:szCs w:val="15"/>
                <w:color w:val="auto"/>
              </w:rPr>
            </w:pPr>
          </w:p>
        </w:tc>
        <w:tc>
          <w:tcPr>
            <w:tcW w:w="2860" w:type="dxa"/>
            <w:vAlign w:val="bottom"/>
            <w:tcBorders>
              <w:bottom w:val="single" w:sz="8" w:color="auto"/>
            </w:tcBorders>
          </w:tcPr>
          <w:p>
            <w:pPr>
              <w:ind w:left="260"/>
              <w:spacing w:after="0" w:line="176" w:lineRule="exact"/>
              <w:rPr>
                <w:sz w:val="20"/>
                <w:szCs w:val="20"/>
                <w:color w:val="auto"/>
              </w:rPr>
            </w:pPr>
            <w:r>
              <w:rPr>
                <w:rFonts w:ascii="Arial" w:cs="Arial" w:eastAsia="Arial" w:hAnsi="Arial"/>
                <w:sz w:val="16"/>
                <w:szCs w:val="16"/>
                <w:color w:val="auto"/>
              </w:rPr>
              <w:t>Total</w:t>
            </w:r>
          </w:p>
        </w:tc>
        <w:tc>
          <w:tcPr>
            <w:tcW w:w="340" w:type="dxa"/>
            <w:vAlign w:val="bottom"/>
            <w:tcBorders>
              <w:bottom w:val="single" w:sz="8" w:color="auto"/>
            </w:tcBorders>
          </w:tcPr>
          <w:p>
            <w:pPr>
              <w:jc w:val="right"/>
              <w:ind w:right="184"/>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tcPr>
          <w:p>
            <w:pPr>
              <w:jc w:val="right"/>
              <w:ind w:right="120"/>
              <w:spacing w:after="0" w:line="176" w:lineRule="exact"/>
              <w:rPr>
                <w:sz w:val="20"/>
                <w:szCs w:val="20"/>
                <w:color w:val="auto"/>
              </w:rPr>
            </w:pPr>
            <w:r>
              <w:rPr>
                <w:rFonts w:ascii="Arial" w:cs="Arial" w:eastAsia="Arial" w:hAnsi="Arial"/>
                <w:sz w:val="16"/>
                <w:szCs w:val="16"/>
                <w:color w:val="auto"/>
              </w:rPr>
              <w:t>92</w:t>
            </w:r>
          </w:p>
        </w:tc>
        <w:tc>
          <w:tcPr>
            <w:tcW w:w="60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jc w:val="right"/>
              <w:ind w:right="199"/>
              <w:spacing w:after="0" w:line="176" w:lineRule="exact"/>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tcPr>
          <w:p>
            <w:pPr>
              <w:jc w:val="right"/>
              <w:ind w:right="259"/>
              <w:spacing w:after="0" w:line="176" w:lineRule="exact"/>
              <w:rPr>
                <w:sz w:val="20"/>
                <w:szCs w:val="20"/>
                <w:color w:val="auto"/>
              </w:rPr>
            </w:pPr>
            <w:r>
              <w:rPr>
                <w:rFonts w:ascii="Arial" w:cs="Arial" w:eastAsia="Arial" w:hAnsi="Arial"/>
                <w:sz w:val="16"/>
                <w:szCs w:val="16"/>
                <w:color w:val="auto"/>
              </w:rPr>
              <w:t>59</w:t>
            </w:r>
          </w:p>
        </w:tc>
        <w:tc>
          <w:tcPr>
            <w:tcW w:w="50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jc w:val="right"/>
              <w:ind w:right="179"/>
              <w:spacing w:after="0" w:line="176" w:lineRule="exact"/>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tcPr>
          <w:p>
            <w:pPr>
              <w:jc w:val="right"/>
              <w:ind w:right="80"/>
              <w:spacing w:after="0" w:line="176" w:lineRule="exact"/>
              <w:rPr>
                <w:sz w:val="20"/>
                <w:szCs w:val="20"/>
                <w:color w:val="auto"/>
              </w:rPr>
            </w:pPr>
            <w:r>
              <w:rPr>
                <w:rFonts w:ascii="Arial" w:cs="Arial" w:eastAsia="Arial" w:hAnsi="Arial"/>
                <w:sz w:val="16"/>
                <w:szCs w:val="16"/>
                <w:color w:val="auto"/>
              </w:rPr>
              <w:t>201</w:t>
            </w:r>
          </w:p>
        </w:tc>
        <w:tc>
          <w:tcPr>
            <w:tcW w:w="52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jc w:val="right"/>
              <w:ind w:right="179"/>
              <w:spacing w:after="0" w:line="176" w:lineRule="exact"/>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tcPr>
          <w:p>
            <w:pPr>
              <w:jc w:val="right"/>
              <w:ind w:right="179"/>
              <w:spacing w:after="0" w:line="176" w:lineRule="exact"/>
              <w:rPr>
                <w:sz w:val="20"/>
                <w:szCs w:val="20"/>
                <w:color w:val="auto"/>
              </w:rPr>
            </w:pPr>
            <w:r>
              <w:rPr>
                <w:rFonts w:ascii="Arial" w:cs="Arial" w:eastAsia="Arial" w:hAnsi="Arial"/>
                <w:sz w:val="16"/>
                <w:szCs w:val="16"/>
                <w:color w:val="auto"/>
              </w:rPr>
              <w:t>117</w:t>
            </w:r>
          </w:p>
        </w:tc>
        <w:tc>
          <w:tcPr>
            <w:tcW w:w="48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r>
      <w:tr>
        <w:trPr>
          <w:trHeight w:val="486"/>
        </w:trPr>
        <w:tc>
          <w:tcPr>
            <w:tcW w:w="20" w:type="dxa"/>
            <w:vAlign w:val="bottom"/>
          </w:tcPr>
          <w:p>
            <w:pPr>
              <w:spacing w:after="0"/>
              <w:rPr>
                <w:sz w:val="24"/>
                <w:szCs w:val="24"/>
                <w:color w:val="auto"/>
              </w:rPr>
            </w:pPr>
          </w:p>
        </w:tc>
        <w:tc>
          <w:tcPr>
            <w:tcW w:w="3200" w:type="dxa"/>
            <w:vAlign w:val="bottom"/>
            <w:tcBorders>
              <w:bottom w:val="single" w:sz="8" w:color="auto"/>
            </w:tcBorders>
            <w:gridSpan w:val="2"/>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r>
      <w:tr>
        <w:trPr>
          <w:trHeight w:val="160"/>
        </w:trPr>
        <w:tc>
          <w:tcPr>
            <w:tcW w:w="20" w:type="dxa"/>
            <w:vAlign w:val="bottom"/>
          </w:tcPr>
          <w:p>
            <w:pPr>
              <w:spacing w:after="0"/>
              <w:rPr>
                <w:sz w:val="13"/>
                <w:szCs w:val="13"/>
                <w:color w:val="auto"/>
              </w:rPr>
            </w:pPr>
          </w:p>
        </w:tc>
        <w:tc>
          <w:tcPr>
            <w:tcW w:w="3200" w:type="dxa"/>
            <w:vAlign w:val="bottom"/>
            <w:gridSpan w:val="2"/>
            <w:shd w:val="clear" w:color="auto" w:fill="C0C0C0"/>
          </w:tcPr>
          <w:p>
            <w:pPr>
              <w:spacing w:after="0" w:line="160" w:lineRule="exact"/>
              <w:rPr>
                <w:sz w:val="20"/>
                <w:szCs w:val="20"/>
                <w:color w:val="auto"/>
              </w:rPr>
            </w:pPr>
            <w:r>
              <w:rPr>
                <w:rFonts w:ascii="Arial" w:cs="Arial" w:eastAsia="Arial" w:hAnsi="Arial"/>
                <w:sz w:val="16"/>
                <w:szCs w:val="16"/>
                <w:b w:val="1"/>
                <w:bCs w:val="1"/>
                <w:color w:val="auto"/>
              </w:rPr>
              <w:t>SEGMENT INFORMATION (Continued)</w:t>
            </w:r>
          </w:p>
        </w:tc>
        <w:tc>
          <w:tcPr>
            <w:tcW w:w="860" w:type="dxa"/>
            <w:vAlign w:val="bottom"/>
            <w:shd w:val="clear" w:color="auto" w:fill="C0C0C0"/>
          </w:tcPr>
          <w:p>
            <w:pPr>
              <w:spacing w:after="0"/>
              <w:rPr>
                <w:sz w:val="13"/>
                <w:szCs w:val="13"/>
                <w:color w:val="auto"/>
              </w:rPr>
            </w:pPr>
          </w:p>
        </w:tc>
        <w:tc>
          <w:tcPr>
            <w:tcW w:w="600" w:type="dxa"/>
            <w:vAlign w:val="bottom"/>
            <w:shd w:val="clear" w:color="auto" w:fill="C0C0C0"/>
          </w:tcPr>
          <w:p>
            <w:pPr>
              <w:spacing w:after="0"/>
              <w:rPr>
                <w:sz w:val="13"/>
                <w:szCs w:val="13"/>
                <w:color w:val="auto"/>
              </w:rPr>
            </w:pPr>
          </w:p>
        </w:tc>
        <w:tc>
          <w:tcPr>
            <w:tcW w:w="240" w:type="dxa"/>
            <w:vAlign w:val="bottom"/>
            <w:shd w:val="clear" w:color="auto" w:fill="C0C0C0"/>
          </w:tcPr>
          <w:p>
            <w:pPr>
              <w:spacing w:after="0"/>
              <w:rPr>
                <w:sz w:val="13"/>
                <w:szCs w:val="13"/>
                <w:color w:val="auto"/>
              </w:rPr>
            </w:pPr>
          </w:p>
        </w:tc>
        <w:tc>
          <w:tcPr>
            <w:tcW w:w="420" w:type="dxa"/>
            <w:vAlign w:val="bottom"/>
            <w:shd w:val="clear" w:color="auto" w:fill="C0C0C0"/>
          </w:tcPr>
          <w:p>
            <w:pPr>
              <w:spacing w:after="0"/>
              <w:rPr>
                <w:sz w:val="13"/>
                <w:szCs w:val="13"/>
                <w:color w:val="auto"/>
              </w:rPr>
            </w:pPr>
          </w:p>
        </w:tc>
        <w:tc>
          <w:tcPr>
            <w:tcW w:w="1000" w:type="dxa"/>
            <w:vAlign w:val="bottom"/>
            <w:shd w:val="clear" w:color="auto" w:fill="C0C0C0"/>
          </w:tcPr>
          <w:p>
            <w:pPr>
              <w:spacing w:after="0"/>
              <w:rPr>
                <w:sz w:val="13"/>
                <w:szCs w:val="13"/>
                <w:color w:val="auto"/>
              </w:rPr>
            </w:pPr>
          </w:p>
        </w:tc>
        <w:tc>
          <w:tcPr>
            <w:tcW w:w="500" w:type="dxa"/>
            <w:vAlign w:val="bottom"/>
            <w:shd w:val="clear" w:color="auto" w:fill="C0C0C0"/>
          </w:tcPr>
          <w:p>
            <w:pPr>
              <w:spacing w:after="0"/>
              <w:rPr>
                <w:sz w:val="13"/>
                <w:szCs w:val="13"/>
                <w:color w:val="auto"/>
              </w:rPr>
            </w:pPr>
          </w:p>
        </w:tc>
        <w:tc>
          <w:tcPr>
            <w:tcW w:w="320" w:type="dxa"/>
            <w:vAlign w:val="bottom"/>
            <w:shd w:val="clear" w:color="auto" w:fill="C0C0C0"/>
          </w:tcPr>
          <w:p>
            <w:pPr>
              <w:spacing w:after="0"/>
              <w:rPr>
                <w:sz w:val="13"/>
                <w:szCs w:val="13"/>
                <w:color w:val="auto"/>
              </w:rPr>
            </w:pPr>
          </w:p>
        </w:tc>
        <w:tc>
          <w:tcPr>
            <w:tcW w:w="420" w:type="dxa"/>
            <w:vAlign w:val="bottom"/>
            <w:shd w:val="clear" w:color="auto" w:fill="C0C0C0"/>
          </w:tcPr>
          <w:p>
            <w:pPr>
              <w:spacing w:after="0"/>
              <w:rPr>
                <w:sz w:val="13"/>
                <w:szCs w:val="13"/>
                <w:color w:val="auto"/>
              </w:rPr>
            </w:pPr>
          </w:p>
        </w:tc>
        <w:tc>
          <w:tcPr>
            <w:tcW w:w="840" w:type="dxa"/>
            <w:vAlign w:val="bottom"/>
            <w:shd w:val="clear" w:color="auto" w:fill="C0C0C0"/>
          </w:tcPr>
          <w:p>
            <w:pPr>
              <w:spacing w:after="0"/>
              <w:rPr>
                <w:sz w:val="13"/>
                <w:szCs w:val="13"/>
                <w:color w:val="auto"/>
              </w:rPr>
            </w:pPr>
          </w:p>
        </w:tc>
        <w:tc>
          <w:tcPr>
            <w:tcW w:w="520" w:type="dxa"/>
            <w:vAlign w:val="bottom"/>
            <w:shd w:val="clear" w:color="auto" w:fill="C0C0C0"/>
          </w:tcPr>
          <w:p>
            <w:pPr>
              <w:spacing w:after="0"/>
              <w:rPr>
                <w:sz w:val="13"/>
                <w:szCs w:val="13"/>
                <w:color w:val="auto"/>
              </w:rPr>
            </w:pPr>
          </w:p>
        </w:tc>
        <w:tc>
          <w:tcPr>
            <w:tcW w:w="260" w:type="dxa"/>
            <w:vAlign w:val="bottom"/>
            <w:shd w:val="clear" w:color="auto" w:fill="C0C0C0"/>
          </w:tcPr>
          <w:p>
            <w:pPr>
              <w:spacing w:after="0"/>
              <w:rPr>
                <w:sz w:val="13"/>
                <w:szCs w:val="13"/>
                <w:color w:val="auto"/>
              </w:rPr>
            </w:pPr>
          </w:p>
        </w:tc>
        <w:tc>
          <w:tcPr>
            <w:tcW w:w="400" w:type="dxa"/>
            <w:vAlign w:val="bottom"/>
            <w:shd w:val="clear" w:color="auto" w:fill="C0C0C0"/>
          </w:tcPr>
          <w:p>
            <w:pPr>
              <w:spacing w:after="0"/>
              <w:rPr>
                <w:sz w:val="13"/>
                <w:szCs w:val="13"/>
                <w:color w:val="auto"/>
              </w:rPr>
            </w:pPr>
          </w:p>
        </w:tc>
        <w:tc>
          <w:tcPr>
            <w:tcW w:w="940" w:type="dxa"/>
            <w:vAlign w:val="bottom"/>
            <w:shd w:val="clear" w:color="auto" w:fill="C0C0C0"/>
          </w:tcPr>
          <w:p>
            <w:pPr>
              <w:spacing w:after="0"/>
              <w:rPr>
                <w:sz w:val="13"/>
                <w:szCs w:val="13"/>
                <w:color w:val="auto"/>
              </w:rPr>
            </w:pPr>
          </w:p>
        </w:tc>
        <w:tc>
          <w:tcPr>
            <w:tcW w:w="480" w:type="dxa"/>
            <w:vAlign w:val="bottom"/>
            <w:shd w:val="clear" w:color="auto" w:fill="C0C0C0"/>
          </w:tcPr>
          <w:p>
            <w:pPr>
              <w:spacing w:after="0"/>
              <w:rPr>
                <w:sz w:val="13"/>
                <w:szCs w:val="13"/>
                <w:color w:val="auto"/>
              </w:rPr>
            </w:pPr>
          </w:p>
        </w:tc>
        <w:tc>
          <w:tcPr>
            <w:tcW w:w="400" w:type="dxa"/>
            <w:vAlign w:val="bottom"/>
            <w:shd w:val="clear" w:color="auto" w:fill="C0C0C0"/>
          </w:tcPr>
          <w:p>
            <w:pPr>
              <w:spacing w:after="0"/>
              <w:rPr>
                <w:sz w:val="13"/>
                <w:szCs w:val="13"/>
                <w:color w:val="auto"/>
              </w:rPr>
            </w:pPr>
          </w:p>
        </w:tc>
      </w:tr>
      <w:tr>
        <w:trPr>
          <w:trHeight w:val="171"/>
        </w:trPr>
        <w:tc>
          <w:tcPr>
            <w:tcW w:w="20" w:type="dxa"/>
            <w:vAlign w:val="bottom"/>
          </w:tcPr>
          <w:p>
            <w:pPr>
              <w:spacing w:after="0"/>
              <w:rPr>
                <w:sz w:val="14"/>
                <w:szCs w:val="14"/>
                <w:color w:val="auto"/>
              </w:rPr>
            </w:pPr>
          </w:p>
        </w:tc>
        <w:tc>
          <w:tcPr>
            <w:tcW w:w="2860" w:type="dxa"/>
            <w:vAlign w:val="bottom"/>
            <w:shd w:val="clear" w:color="auto" w:fill="C0C0C0"/>
          </w:tcPr>
          <w:p>
            <w:pPr>
              <w:spacing w:after="0"/>
              <w:rPr>
                <w:sz w:val="20"/>
                <w:szCs w:val="20"/>
                <w:color w:val="auto"/>
              </w:rPr>
            </w:pPr>
            <w:r>
              <w:rPr>
                <w:rFonts w:ascii="Arial" w:cs="Arial" w:eastAsia="Arial" w:hAnsi="Arial"/>
                <w:sz w:val="14"/>
                <w:szCs w:val="14"/>
                <w:i w:val="1"/>
                <w:iCs w:val="1"/>
                <w:color w:val="auto"/>
              </w:rPr>
              <w:t>(Dollars in millions)</w:t>
            </w:r>
          </w:p>
        </w:tc>
        <w:tc>
          <w:tcPr>
            <w:tcW w:w="340" w:type="dxa"/>
            <w:vAlign w:val="bottom"/>
            <w:shd w:val="clear" w:color="auto" w:fill="C0C0C0"/>
          </w:tcPr>
          <w:p>
            <w:pPr>
              <w:spacing w:after="0"/>
              <w:rPr>
                <w:sz w:val="14"/>
                <w:szCs w:val="14"/>
                <w:color w:val="auto"/>
              </w:rPr>
            </w:pPr>
          </w:p>
        </w:tc>
        <w:tc>
          <w:tcPr>
            <w:tcW w:w="860" w:type="dxa"/>
            <w:vAlign w:val="bottom"/>
            <w:shd w:val="clear" w:color="auto" w:fill="C0C0C0"/>
          </w:tcPr>
          <w:p>
            <w:pPr>
              <w:spacing w:after="0"/>
              <w:rPr>
                <w:sz w:val="14"/>
                <w:szCs w:val="14"/>
                <w:color w:val="auto"/>
              </w:rPr>
            </w:pPr>
          </w:p>
        </w:tc>
        <w:tc>
          <w:tcPr>
            <w:tcW w:w="600" w:type="dxa"/>
            <w:vAlign w:val="bottom"/>
            <w:shd w:val="clear" w:color="auto" w:fill="C0C0C0"/>
          </w:tcPr>
          <w:p>
            <w:pPr>
              <w:spacing w:after="0"/>
              <w:rPr>
                <w:sz w:val="14"/>
                <w:szCs w:val="14"/>
                <w:color w:val="auto"/>
              </w:rPr>
            </w:pPr>
          </w:p>
        </w:tc>
        <w:tc>
          <w:tcPr>
            <w:tcW w:w="240" w:type="dxa"/>
            <w:vAlign w:val="bottom"/>
            <w:shd w:val="clear" w:color="auto" w:fill="C0C0C0"/>
          </w:tcPr>
          <w:p>
            <w:pPr>
              <w:spacing w:after="0"/>
              <w:rPr>
                <w:sz w:val="14"/>
                <w:szCs w:val="14"/>
                <w:color w:val="auto"/>
              </w:rPr>
            </w:pPr>
          </w:p>
        </w:tc>
        <w:tc>
          <w:tcPr>
            <w:tcW w:w="420" w:type="dxa"/>
            <w:vAlign w:val="bottom"/>
            <w:shd w:val="clear" w:color="auto" w:fill="C0C0C0"/>
          </w:tcPr>
          <w:p>
            <w:pPr>
              <w:spacing w:after="0"/>
              <w:rPr>
                <w:sz w:val="14"/>
                <w:szCs w:val="14"/>
                <w:color w:val="auto"/>
              </w:rPr>
            </w:pPr>
          </w:p>
        </w:tc>
        <w:tc>
          <w:tcPr>
            <w:tcW w:w="1000" w:type="dxa"/>
            <w:vAlign w:val="bottom"/>
            <w:shd w:val="clear" w:color="auto" w:fill="C0C0C0"/>
          </w:tcPr>
          <w:p>
            <w:pPr>
              <w:spacing w:after="0"/>
              <w:rPr>
                <w:sz w:val="14"/>
                <w:szCs w:val="14"/>
                <w:color w:val="auto"/>
              </w:rPr>
            </w:pPr>
          </w:p>
        </w:tc>
        <w:tc>
          <w:tcPr>
            <w:tcW w:w="500" w:type="dxa"/>
            <w:vAlign w:val="bottom"/>
            <w:shd w:val="clear" w:color="auto" w:fill="C0C0C0"/>
          </w:tcPr>
          <w:p>
            <w:pPr>
              <w:spacing w:after="0"/>
              <w:rPr>
                <w:sz w:val="14"/>
                <w:szCs w:val="14"/>
                <w:color w:val="auto"/>
              </w:rPr>
            </w:pPr>
          </w:p>
        </w:tc>
        <w:tc>
          <w:tcPr>
            <w:tcW w:w="320" w:type="dxa"/>
            <w:vAlign w:val="bottom"/>
            <w:shd w:val="clear" w:color="auto" w:fill="C0C0C0"/>
          </w:tcPr>
          <w:p>
            <w:pPr>
              <w:spacing w:after="0"/>
              <w:rPr>
                <w:sz w:val="14"/>
                <w:szCs w:val="14"/>
                <w:color w:val="auto"/>
              </w:rPr>
            </w:pPr>
          </w:p>
        </w:tc>
        <w:tc>
          <w:tcPr>
            <w:tcW w:w="420" w:type="dxa"/>
            <w:vAlign w:val="bottom"/>
            <w:shd w:val="clear" w:color="auto" w:fill="C0C0C0"/>
          </w:tcPr>
          <w:p>
            <w:pPr>
              <w:spacing w:after="0"/>
              <w:rPr>
                <w:sz w:val="14"/>
                <w:szCs w:val="14"/>
                <w:color w:val="auto"/>
              </w:rPr>
            </w:pPr>
          </w:p>
        </w:tc>
        <w:tc>
          <w:tcPr>
            <w:tcW w:w="840" w:type="dxa"/>
            <w:vAlign w:val="bottom"/>
            <w:shd w:val="clear" w:color="auto" w:fill="C0C0C0"/>
          </w:tcPr>
          <w:p>
            <w:pPr>
              <w:spacing w:after="0"/>
              <w:rPr>
                <w:sz w:val="14"/>
                <w:szCs w:val="14"/>
                <w:color w:val="auto"/>
              </w:rPr>
            </w:pPr>
          </w:p>
        </w:tc>
        <w:tc>
          <w:tcPr>
            <w:tcW w:w="520" w:type="dxa"/>
            <w:vAlign w:val="bottom"/>
            <w:shd w:val="clear" w:color="auto" w:fill="C0C0C0"/>
          </w:tcPr>
          <w:p>
            <w:pPr>
              <w:spacing w:after="0"/>
              <w:rPr>
                <w:sz w:val="14"/>
                <w:szCs w:val="14"/>
                <w:color w:val="auto"/>
              </w:rPr>
            </w:pPr>
          </w:p>
        </w:tc>
        <w:tc>
          <w:tcPr>
            <w:tcW w:w="260" w:type="dxa"/>
            <w:vAlign w:val="bottom"/>
            <w:shd w:val="clear" w:color="auto" w:fill="C0C0C0"/>
          </w:tcPr>
          <w:p>
            <w:pPr>
              <w:spacing w:after="0"/>
              <w:rPr>
                <w:sz w:val="14"/>
                <w:szCs w:val="14"/>
                <w:color w:val="auto"/>
              </w:rPr>
            </w:pPr>
          </w:p>
        </w:tc>
        <w:tc>
          <w:tcPr>
            <w:tcW w:w="400" w:type="dxa"/>
            <w:vAlign w:val="bottom"/>
            <w:shd w:val="clear" w:color="auto" w:fill="C0C0C0"/>
          </w:tcPr>
          <w:p>
            <w:pPr>
              <w:spacing w:after="0"/>
              <w:rPr>
                <w:sz w:val="14"/>
                <w:szCs w:val="14"/>
                <w:color w:val="auto"/>
              </w:rPr>
            </w:pPr>
          </w:p>
        </w:tc>
        <w:tc>
          <w:tcPr>
            <w:tcW w:w="940" w:type="dxa"/>
            <w:vAlign w:val="bottom"/>
            <w:shd w:val="clear" w:color="auto" w:fill="C0C0C0"/>
          </w:tcPr>
          <w:p>
            <w:pPr>
              <w:spacing w:after="0"/>
              <w:rPr>
                <w:sz w:val="14"/>
                <w:szCs w:val="14"/>
                <w:color w:val="auto"/>
              </w:rPr>
            </w:pPr>
          </w:p>
        </w:tc>
        <w:tc>
          <w:tcPr>
            <w:tcW w:w="480" w:type="dxa"/>
            <w:vAlign w:val="bottom"/>
            <w:shd w:val="clear" w:color="auto" w:fill="C0C0C0"/>
          </w:tcPr>
          <w:p>
            <w:pPr>
              <w:spacing w:after="0"/>
              <w:rPr>
                <w:sz w:val="14"/>
                <w:szCs w:val="14"/>
                <w:color w:val="auto"/>
              </w:rPr>
            </w:pPr>
          </w:p>
        </w:tc>
        <w:tc>
          <w:tcPr>
            <w:tcW w:w="400" w:type="dxa"/>
            <w:vAlign w:val="bottom"/>
            <w:shd w:val="clear" w:color="auto" w:fill="C0C0C0"/>
          </w:tcPr>
          <w:p>
            <w:pPr>
              <w:spacing w:after="0"/>
              <w:rPr>
                <w:sz w:val="14"/>
                <w:szCs w:val="14"/>
                <w:color w:val="auto"/>
              </w:rPr>
            </w:pPr>
          </w:p>
        </w:tc>
      </w:tr>
      <w:tr>
        <w:trPr>
          <w:trHeight w:val="169"/>
        </w:trPr>
        <w:tc>
          <w:tcPr>
            <w:tcW w:w="20" w:type="dxa"/>
            <w:vAlign w:val="bottom"/>
          </w:tcPr>
          <w:p>
            <w:pPr>
              <w:spacing w:after="0"/>
              <w:rPr>
                <w:sz w:val="14"/>
                <w:szCs w:val="14"/>
                <w:color w:val="auto"/>
              </w:rPr>
            </w:pPr>
          </w:p>
        </w:tc>
        <w:tc>
          <w:tcPr>
            <w:tcW w:w="286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3120" w:type="dxa"/>
            <w:vAlign w:val="bottom"/>
            <w:tcBorders>
              <w:bottom w:val="single" w:sz="8" w:color="auto"/>
            </w:tcBorders>
            <w:gridSpan w:val="5"/>
          </w:tcPr>
          <w:p>
            <w:pPr>
              <w:jc w:val="right"/>
              <w:ind w:right="359"/>
              <w:spacing w:after="0"/>
              <w:rPr>
                <w:sz w:val="20"/>
                <w:szCs w:val="20"/>
                <w:color w:val="auto"/>
              </w:rPr>
            </w:pPr>
            <w:r>
              <w:rPr>
                <w:rFonts w:ascii="Arial" w:cs="Arial" w:eastAsia="Arial" w:hAnsi="Arial"/>
                <w:sz w:val="14"/>
                <w:szCs w:val="14"/>
                <w:color w:val="auto"/>
              </w:rPr>
              <w:t>Three months ended June 30,</w:t>
            </w:r>
          </w:p>
        </w:tc>
        <w:tc>
          <w:tcPr>
            <w:tcW w:w="50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2960" w:type="dxa"/>
            <w:vAlign w:val="bottom"/>
            <w:tcBorders>
              <w:bottom w:val="single" w:sz="8" w:color="auto"/>
            </w:tcBorders>
            <w:gridSpan w:val="5"/>
          </w:tcPr>
          <w:p>
            <w:pPr>
              <w:jc w:val="right"/>
              <w:ind w:right="379"/>
              <w:spacing w:after="0"/>
              <w:rPr>
                <w:sz w:val="20"/>
                <w:szCs w:val="20"/>
                <w:color w:val="auto"/>
              </w:rPr>
            </w:pPr>
            <w:r>
              <w:rPr>
                <w:rFonts w:ascii="Arial" w:cs="Arial" w:eastAsia="Arial" w:hAnsi="Arial"/>
                <w:sz w:val="14"/>
                <w:szCs w:val="14"/>
                <w:color w:val="auto"/>
              </w:rPr>
              <w:t>Six months ended June 30,</w:t>
            </w:r>
          </w:p>
        </w:tc>
        <w:tc>
          <w:tcPr>
            <w:tcW w:w="48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r>
      <w:tr>
        <w:trPr>
          <w:trHeight w:val="183"/>
        </w:trPr>
        <w:tc>
          <w:tcPr>
            <w:tcW w:w="20" w:type="dxa"/>
            <w:vAlign w:val="bottom"/>
          </w:tcPr>
          <w:p>
            <w:pPr>
              <w:spacing w:after="0"/>
              <w:rPr>
                <w:sz w:val="15"/>
                <w:szCs w:val="15"/>
                <w:color w:val="auto"/>
              </w:rPr>
            </w:pPr>
          </w:p>
        </w:tc>
        <w:tc>
          <w:tcPr>
            <w:tcW w:w="286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2011</w:t>
            </w:r>
          </w:p>
        </w:tc>
        <w:tc>
          <w:tcPr>
            <w:tcW w:w="60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179"/>
              <w:spacing w:after="0"/>
              <w:rPr>
                <w:sz w:val="20"/>
                <w:szCs w:val="20"/>
                <w:color w:val="auto"/>
              </w:rPr>
            </w:pPr>
            <w:r>
              <w:rPr>
                <w:rFonts w:ascii="Arial" w:cs="Arial" w:eastAsia="Arial" w:hAnsi="Arial"/>
                <w:sz w:val="14"/>
                <w:szCs w:val="14"/>
                <w:color w:val="auto"/>
              </w:rPr>
              <w:t>2010</w:t>
            </w:r>
          </w:p>
        </w:tc>
        <w:tc>
          <w:tcPr>
            <w:tcW w:w="50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140"/>
              <w:spacing w:after="0"/>
              <w:rPr>
                <w:sz w:val="20"/>
                <w:szCs w:val="20"/>
                <w:color w:val="auto"/>
              </w:rPr>
            </w:pPr>
            <w:r>
              <w:rPr>
                <w:rFonts w:ascii="Arial" w:cs="Arial" w:eastAsia="Arial" w:hAnsi="Arial"/>
                <w:sz w:val="14"/>
                <w:szCs w:val="14"/>
                <w:color w:val="auto"/>
              </w:rPr>
              <w:t>2011</w:t>
            </w:r>
          </w:p>
        </w:tc>
        <w:tc>
          <w:tcPr>
            <w:tcW w:w="52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39"/>
              <w:spacing w:after="0"/>
              <w:rPr>
                <w:sz w:val="20"/>
                <w:szCs w:val="20"/>
                <w:color w:val="auto"/>
              </w:rPr>
            </w:pPr>
            <w:r>
              <w:rPr>
                <w:rFonts w:ascii="Arial" w:cs="Arial" w:eastAsia="Arial" w:hAnsi="Arial"/>
                <w:sz w:val="14"/>
                <w:szCs w:val="14"/>
                <w:color w:val="auto"/>
              </w:rPr>
              <w:t>2010</w:t>
            </w:r>
          </w:p>
        </w:tc>
        <w:tc>
          <w:tcPr>
            <w:tcW w:w="48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r>
    </w:tbl>
    <w:p>
      <w:pPr>
        <w:sectPr>
          <w:pgSz w:w="11900" w:h="16838" w:orient="portrait"/>
          <w:cols w:equalWidth="0" w:num="1">
            <w:col w:w="11420"/>
          </w:cols>
          <w:pgMar w:left="240" w:top="125" w:right="239" w:bottom="0" w:gutter="0" w:footer="0" w:header="0"/>
        </w:sectPr>
      </w:pPr>
    </w:p>
    <w:bookmarkStart w:id="49" w:name="page50"/>
    <w:bookmarkEnd w:id="4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880" w:type="dxa"/>
            <w:vAlign w:val="bottom"/>
            <w:gridSpan w:val="2"/>
          </w:tcPr>
          <w:p>
            <w:pPr>
              <w:spacing w:after="0"/>
              <w:rPr>
                <w:sz w:val="20"/>
                <w:szCs w:val="20"/>
                <w:color w:val="auto"/>
              </w:rPr>
            </w:pPr>
            <w:r>
              <w:rPr>
                <w:rFonts w:ascii="Arial" w:cs="Arial" w:eastAsia="Arial" w:hAnsi="Arial"/>
                <w:sz w:val="16"/>
                <w:szCs w:val="16"/>
                <w:color w:val="auto"/>
              </w:rPr>
              <w:t>EQUITY EARNINGS (LOSSES)</w:t>
            </w:r>
          </w:p>
        </w:tc>
        <w:tc>
          <w:tcPr>
            <w:tcW w:w="4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00" w:type="dxa"/>
            <w:vAlign w:val="bottom"/>
          </w:tcPr>
          <w:p>
            <w:pPr>
              <w:spacing w:after="0"/>
              <w:rPr>
                <w:sz w:val="16"/>
                <w:szCs w:val="16"/>
                <w:color w:val="auto"/>
              </w:rPr>
            </w:pPr>
          </w:p>
        </w:tc>
      </w:tr>
      <w:tr>
        <w:trPr>
          <w:trHeight w:val="176"/>
        </w:trPr>
        <w:tc>
          <w:tcPr>
            <w:tcW w:w="20" w:type="dxa"/>
            <w:vAlign w:val="bottom"/>
          </w:tcPr>
          <w:p>
            <w:pPr>
              <w:spacing w:after="0"/>
              <w:rPr>
                <w:sz w:val="15"/>
                <w:szCs w:val="15"/>
                <w:color w:val="auto"/>
              </w:rPr>
            </w:pPr>
          </w:p>
        </w:tc>
        <w:tc>
          <w:tcPr>
            <w:tcW w:w="2860" w:type="dxa"/>
            <w:vAlign w:val="bottom"/>
          </w:tcPr>
          <w:p>
            <w:pPr>
              <w:ind w:left="40"/>
              <w:spacing w:after="0" w:line="176" w:lineRule="exact"/>
              <w:rPr>
                <w:sz w:val="20"/>
                <w:szCs w:val="20"/>
                <w:color w:val="auto"/>
              </w:rPr>
            </w:pPr>
            <w:r>
              <w:rPr>
                <w:rFonts w:ascii="Arial" w:cs="Arial" w:eastAsia="Arial" w:hAnsi="Arial"/>
                <w:sz w:val="16"/>
                <w:szCs w:val="16"/>
                <w:color w:val="auto"/>
              </w:rPr>
              <w:t>Earnings (losses) recorded</w:t>
            </w:r>
          </w:p>
        </w:tc>
        <w:tc>
          <w:tcPr>
            <w:tcW w:w="4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00" w:type="dxa"/>
            <w:vAlign w:val="bottom"/>
          </w:tcPr>
          <w:p>
            <w:pPr>
              <w:spacing w:after="0"/>
              <w:rPr>
                <w:sz w:val="15"/>
                <w:szCs w:val="15"/>
                <w:color w:val="auto"/>
              </w:rPr>
            </w:pPr>
          </w:p>
        </w:tc>
      </w:tr>
      <w:tr>
        <w:trPr>
          <w:trHeight w:val="176"/>
        </w:trPr>
        <w:tc>
          <w:tcPr>
            <w:tcW w:w="20" w:type="dxa"/>
            <w:vAlign w:val="bottom"/>
          </w:tcPr>
          <w:p>
            <w:pPr>
              <w:spacing w:after="0"/>
              <w:rPr>
                <w:sz w:val="15"/>
                <w:szCs w:val="15"/>
                <w:color w:val="auto"/>
              </w:rPr>
            </w:pPr>
          </w:p>
        </w:tc>
        <w:tc>
          <w:tcPr>
            <w:tcW w:w="2860" w:type="dxa"/>
            <w:vAlign w:val="bottom"/>
          </w:tcPr>
          <w:p>
            <w:pPr>
              <w:ind w:left="40"/>
              <w:spacing w:after="0" w:line="176" w:lineRule="exact"/>
              <w:rPr>
                <w:sz w:val="20"/>
                <w:szCs w:val="20"/>
                <w:color w:val="auto"/>
              </w:rPr>
            </w:pPr>
            <w:r>
              <w:rPr>
                <w:rFonts w:ascii="Arial" w:cs="Arial" w:eastAsia="Arial" w:hAnsi="Arial"/>
                <w:sz w:val="16"/>
                <w:szCs w:val="16"/>
                <w:color w:val="auto"/>
              </w:rPr>
              <w:t>before tax:</w:t>
            </w:r>
          </w:p>
        </w:tc>
        <w:tc>
          <w:tcPr>
            <w:tcW w:w="4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00" w:type="dxa"/>
            <w:vAlign w:val="bottom"/>
          </w:tcPr>
          <w:p>
            <w:pPr>
              <w:spacing w:after="0"/>
              <w:rPr>
                <w:sz w:val="15"/>
                <w:szCs w:val="15"/>
                <w:color w:val="auto"/>
              </w:rPr>
            </w:pPr>
          </w:p>
        </w:tc>
      </w:tr>
      <w:tr>
        <w:trPr>
          <w:trHeight w:val="176"/>
        </w:trPr>
        <w:tc>
          <w:tcPr>
            <w:tcW w:w="20" w:type="dxa"/>
            <w:vAlign w:val="bottom"/>
          </w:tcPr>
          <w:p>
            <w:pPr>
              <w:spacing w:after="0"/>
              <w:rPr>
                <w:sz w:val="15"/>
                <w:szCs w:val="15"/>
                <w:color w:val="auto"/>
              </w:rPr>
            </w:pPr>
          </w:p>
        </w:tc>
        <w:tc>
          <w:tcPr>
            <w:tcW w:w="2860" w:type="dxa"/>
            <w:vAlign w:val="bottom"/>
          </w:tcPr>
          <w:p>
            <w:pPr>
              <w:ind w:left="120"/>
              <w:spacing w:after="0" w:line="176" w:lineRule="exact"/>
              <w:rPr>
                <w:sz w:val="20"/>
                <w:szCs w:val="20"/>
                <w:color w:val="auto"/>
              </w:rPr>
            </w:pPr>
            <w:r>
              <w:rPr>
                <w:rFonts w:ascii="Arial" w:cs="Arial" w:eastAsia="Arial" w:hAnsi="Arial"/>
                <w:sz w:val="16"/>
                <w:szCs w:val="16"/>
                <w:color w:val="auto"/>
              </w:rPr>
              <w:t>Sempra Generation</w:t>
            </w:r>
          </w:p>
        </w:tc>
        <w:tc>
          <w:tcPr>
            <w:tcW w:w="400" w:type="dxa"/>
            <w:vAlign w:val="bottom"/>
          </w:tcPr>
          <w:p>
            <w:pPr>
              <w:jc w:val="right"/>
              <w:ind w:right="244"/>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ind w:right="59"/>
              <w:spacing w:after="0" w:line="176" w:lineRule="exact"/>
              <w:rPr>
                <w:sz w:val="20"/>
                <w:szCs w:val="20"/>
                <w:color w:val="auto"/>
              </w:rPr>
            </w:pPr>
            <w:r>
              <w:rPr>
                <w:rFonts w:ascii="Arial" w:cs="Arial" w:eastAsia="Arial" w:hAnsi="Arial"/>
                <w:sz w:val="16"/>
                <w:szCs w:val="16"/>
                <w:color w:val="auto"/>
              </w:rPr>
              <w:t>(1)</w:t>
            </w:r>
          </w:p>
        </w:tc>
        <w:tc>
          <w:tcPr>
            <w:tcW w:w="520" w:type="dxa"/>
            <w:vAlign w:val="bottom"/>
          </w:tcPr>
          <w:p>
            <w:pPr>
              <w:spacing w:after="0"/>
              <w:rPr>
                <w:sz w:val="15"/>
                <w:szCs w:val="15"/>
                <w:color w:val="auto"/>
              </w:rPr>
            </w:pPr>
          </w:p>
        </w:tc>
        <w:tc>
          <w:tcPr>
            <w:tcW w:w="700" w:type="dxa"/>
            <w:vAlign w:val="bottom"/>
          </w:tcPr>
          <w:p>
            <w:pPr>
              <w:jc w:val="right"/>
              <w:ind w:right="239"/>
              <w:spacing w:after="0" w:line="176" w:lineRule="exact"/>
              <w:rPr>
                <w:sz w:val="20"/>
                <w:szCs w:val="20"/>
                <w:color w:val="auto"/>
              </w:rPr>
            </w:pPr>
            <w:r>
              <w:rPr>
                <w:rFonts w:ascii="Arial" w:cs="Arial" w:eastAsia="Arial" w:hAnsi="Arial"/>
                <w:sz w:val="16"/>
                <w:szCs w:val="16"/>
                <w:color w:val="auto"/>
              </w:rPr>
              <w:t>$</w:t>
            </w:r>
          </w:p>
        </w:tc>
        <w:tc>
          <w:tcPr>
            <w:tcW w:w="840" w:type="dxa"/>
            <w:vAlign w:val="bottom"/>
          </w:tcPr>
          <w:p>
            <w:pPr>
              <w:jc w:val="right"/>
              <w:ind w:right="119"/>
              <w:spacing w:after="0" w:line="176" w:lineRule="exact"/>
              <w:rPr>
                <w:sz w:val="20"/>
                <w:szCs w:val="20"/>
                <w:color w:val="auto"/>
              </w:rPr>
            </w:pPr>
            <w:r>
              <w:rPr>
                <w:rFonts w:ascii="Arial" w:cs="Arial" w:eastAsia="Arial" w:hAnsi="Arial"/>
                <w:sz w:val="16"/>
                <w:szCs w:val="16"/>
                <w:color w:val="auto"/>
              </w:rPr>
              <w:t>(1)</w:t>
            </w:r>
          </w:p>
        </w:tc>
        <w:tc>
          <w:tcPr>
            <w:tcW w:w="580" w:type="dxa"/>
            <w:vAlign w:val="bottom"/>
          </w:tcPr>
          <w:p>
            <w:pPr>
              <w:spacing w:after="0"/>
              <w:rPr>
                <w:sz w:val="15"/>
                <w:szCs w:val="15"/>
                <w:color w:val="auto"/>
              </w:rPr>
            </w:pPr>
          </w:p>
        </w:tc>
        <w:tc>
          <w:tcPr>
            <w:tcW w:w="640" w:type="dxa"/>
            <w:vAlign w:val="bottom"/>
            <w:gridSpan w:val="2"/>
          </w:tcPr>
          <w:p>
            <w:pPr>
              <w:jc w:val="right"/>
              <w:ind w:right="184"/>
              <w:spacing w:after="0" w:line="176" w:lineRule="exact"/>
              <w:rPr>
                <w:sz w:val="20"/>
                <w:szCs w:val="20"/>
                <w:color w:val="auto"/>
              </w:rPr>
            </w:pPr>
            <w:r>
              <w:rPr>
                <w:rFonts w:ascii="Arial" w:cs="Arial" w:eastAsia="Arial" w:hAnsi="Arial"/>
                <w:sz w:val="16"/>
                <w:szCs w:val="16"/>
                <w:color w:val="auto"/>
              </w:rPr>
              <w:t>$</w:t>
            </w:r>
          </w:p>
        </w:tc>
        <w:tc>
          <w:tcPr>
            <w:tcW w:w="920" w:type="dxa"/>
            <w:vAlign w:val="bottom"/>
          </w:tcPr>
          <w:p>
            <w:pPr>
              <w:jc w:val="right"/>
              <w:ind w:right="40"/>
              <w:spacing w:after="0" w:line="176" w:lineRule="exact"/>
              <w:rPr>
                <w:sz w:val="20"/>
                <w:szCs w:val="20"/>
                <w:color w:val="auto"/>
              </w:rPr>
            </w:pPr>
            <w:r>
              <w:rPr>
                <w:rFonts w:ascii="Arial" w:cs="Arial" w:eastAsia="Arial" w:hAnsi="Arial"/>
                <w:sz w:val="16"/>
                <w:szCs w:val="16"/>
                <w:color w:val="auto"/>
              </w:rPr>
              <w:t>―</w:t>
            </w:r>
          </w:p>
        </w:tc>
        <w:tc>
          <w:tcPr>
            <w:tcW w:w="5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40" w:type="dxa"/>
            <w:vAlign w:val="bottom"/>
          </w:tcPr>
          <w:p>
            <w:pPr>
              <w:jc w:val="right"/>
              <w:ind w:right="119"/>
              <w:spacing w:after="0" w:line="176" w:lineRule="exact"/>
              <w:rPr>
                <w:sz w:val="20"/>
                <w:szCs w:val="20"/>
                <w:color w:val="auto"/>
              </w:rPr>
            </w:pPr>
            <w:r>
              <w:rPr>
                <w:rFonts w:ascii="Arial" w:cs="Arial" w:eastAsia="Arial" w:hAnsi="Arial"/>
                <w:sz w:val="16"/>
                <w:szCs w:val="16"/>
                <w:color w:val="auto"/>
              </w:rPr>
              <w:t>$</w:t>
            </w:r>
          </w:p>
        </w:tc>
        <w:tc>
          <w:tcPr>
            <w:tcW w:w="1120" w:type="dxa"/>
            <w:vAlign w:val="bottom"/>
          </w:tcPr>
          <w:p>
            <w:pPr>
              <w:jc w:val="right"/>
              <w:ind w:right="140"/>
              <w:spacing w:after="0" w:line="176" w:lineRule="exact"/>
              <w:rPr>
                <w:sz w:val="20"/>
                <w:szCs w:val="20"/>
                <w:color w:val="auto"/>
              </w:rPr>
            </w:pPr>
            <w:r>
              <w:rPr>
                <w:rFonts w:ascii="Arial" w:cs="Arial" w:eastAsia="Arial" w:hAnsi="Arial"/>
                <w:sz w:val="16"/>
                <w:szCs w:val="16"/>
                <w:color w:val="auto"/>
              </w:rPr>
              <w:t>(1)</w:t>
            </w:r>
          </w:p>
        </w:tc>
        <w:tc>
          <w:tcPr>
            <w:tcW w:w="580" w:type="dxa"/>
            <w:vAlign w:val="bottom"/>
          </w:tcPr>
          <w:p>
            <w:pPr>
              <w:spacing w:after="0"/>
              <w:rPr>
                <w:sz w:val="15"/>
                <w:szCs w:val="15"/>
                <w:color w:val="auto"/>
              </w:rPr>
            </w:pPr>
          </w:p>
        </w:tc>
        <w:tc>
          <w:tcPr>
            <w:tcW w:w="300" w:type="dxa"/>
            <w:vAlign w:val="bottom"/>
          </w:tcPr>
          <w:p>
            <w:pPr>
              <w:spacing w:after="0"/>
              <w:rPr>
                <w:sz w:val="15"/>
                <w:szCs w:val="15"/>
                <w:color w:val="auto"/>
              </w:rPr>
            </w:pPr>
          </w:p>
        </w:tc>
      </w:tr>
      <w:tr>
        <w:trPr>
          <w:trHeight w:val="176"/>
        </w:trPr>
        <w:tc>
          <w:tcPr>
            <w:tcW w:w="20" w:type="dxa"/>
            <w:vAlign w:val="bottom"/>
          </w:tcPr>
          <w:p>
            <w:pPr>
              <w:spacing w:after="0"/>
              <w:rPr>
                <w:sz w:val="15"/>
                <w:szCs w:val="15"/>
                <w:color w:val="auto"/>
              </w:rPr>
            </w:pPr>
          </w:p>
        </w:tc>
        <w:tc>
          <w:tcPr>
            <w:tcW w:w="2860" w:type="dxa"/>
            <w:vAlign w:val="bottom"/>
          </w:tcPr>
          <w:p>
            <w:pPr>
              <w:ind w:left="120"/>
              <w:spacing w:after="0" w:line="176" w:lineRule="exact"/>
              <w:rPr>
                <w:sz w:val="20"/>
                <w:szCs w:val="20"/>
                <w:color w:val="auto"/>
              </w:rPr>
            </w:pPr>
            <w:r>
              <w:rPr>
                <w:rFonts w:ascii="Arial" w:cs="Arial" w:eastAsia="Arial" w:hAnsi="Arial"/>
                <w:sz w:val="16"/>
                <w:szCs w:val="16"/>
                <w:color w:val="auto"/>
              </w:rPr>
              <w:t>Sempra Pipelines &amp; Storage</w:t>
            </w:r>
          </w:p>
        </w:tc>
        <w:tc>
          <w:tcPr>
            <w:tcW w:w="400" w:type="dxa"/>
            <w:vAlign w:val="bottom"/>
          </w:tcPr>
          <w:p>
            <w:pPr>
              <w:spacing w:after="0"/>
              <w:rPr>
                <w:sz w:val="15"/>
                <w:szCs w:val="15"/>
                <w:color w:val="auto"/>
              </w:rPr>
            </w:pPr>
          </w:p>
        </w:tc>
        <w:tc>
          <w:tcPr>
            <w:tcW w:w="780" w:type="dxa"/>
            <w:vAlign w:val="bottom"/>
          </w:tcPr>
          <w:p>
            <w:pPr>
              <w:jc w:val="right"/>
              <w:ind w:right="99"/>
              <w:spacing w:after="0" w:line="176" w:lineRule="exact"/>
              <w:rPr>
                <w:sz w:val="20"/>
                <w:szCs w:val="20"/>
                <w:color w:val="auto"/>
              </w:rPr>
            </w:pPr>
            <w:r>
              <w:rPr>
                <w:rFonts w:ascii="Arial" w:cs="Arial" w:eastAsia="Arial" w:hAnsi="Arial"/>
                <w:sz w:val="16"/>
                <w:szCs w:val="16"/>
                <w:color w:val="auto"/>
              </w:rPr>
              <w:t>10</w:t>
            </w:r>
          </w:p>
        </w:tc>
        <w:tc>
          <w:tcPr>
            <w:tcW w:w="5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40" w:type="dxa"/>
            <w:vAlign w:val="bottom"/>
          </w:tcPr>
          <w:p>
            <w:pPr>
              <w:jc w:val="right"/>
              <w:ind w:right="159"/>
              <w:spacing w:after="0" w:line="176" w:lineRule="exact"/>
              <w:rPr>
                <w:sz w:val="20"/>
                <w:szCs w:val="20"/>
                <w:color w:val="auto"/>
              </w:rPr>
            </w:pPr>
            <w:r>
              <w:rPr>
                <w:rFonts w:ascii="Arial" w:cs="Arial" w:eastAsia="Arial" w:hAnsi="Arial"/>
                <w:sz w:val="16"/>
                <w:szCs w:val="16"/>
                <w:color w:val="auto"/>
              </w:rPr>
              <w:t>12</w:t>
            </w:r>
          </w:p>
        </w:tc>
        <w:tc>
          <w:tcPr>
            <w:tcW w:w="5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20" w:type="dxa"/>
            <w:vAlign w:val="bottom"/>
          </w:tcPr>
          <w:p>
            <w:pPr>
              <w:jc w:val="right"/>
              <w:ind w:right="40"/>
              <w:spacing w:after="0" w:line="176" w:lineRule="exact"/>
              <w:rPr>
                <w:sz w:val="20"/>
                <w:szCs w:val="20"/>
                <w:color w:val="auto"/>
              </w:rPr>
            </w:pPr>
            <w:r>
              <w:rPr>
                <w:rFonts w:ascii="Arial" w:cs="Arial" w:eastAsia="Arial" w:hAnsi="Arial"/>
                <w:sz w:val="16"/>
                <w:szCs w:val="16"/>
                <w:color w:val="auto"/>
              </w:rPr>
              <w:t>19</w:t>
            </w:r>
          </w:p>
        </w:tc>
        <w:tc>
          <w:tcPr>
            <w:tcW w:w="5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20" w:type="dxa"/>
            <w:vAlign w:val="bottom"/>
          </w:tcPr>
          <w:p>
            <w:pPr>
              <w:jc w:val="right"/>
              <w:ind w:right="180"/>
              <w:spacing w:after="0" w:line="176" w:lineRule="exact"/>
              <w:rPr>
                <w:sz w:val="20"/>
                <w:szCs w:val="20"/>
                <w:color w:val="auto"/>
              </w:rPr>
            </w:pPr>
            <w:r>
              <w:rPr>
                <w:rFonts w:ascii="Arial" w:cs="Arial" w:eastAsia="Arial" w:hAnsi="Arial"/>
                <w:sz w:val="16"/>
                <w:szCs w:val="16"/>
                <w:color w:val="auto"/>
              </w:rPr>
              <w:t>22</w:t>
            </w:r>
          </w:p>
        </w:tc>
        <w:tc>
          <w:tcPr>
            <w:tcW w:w="580" w:type="dxa"/>
            <w:vAlign w:val="bottom"/>
          </w:tcPr>
          <w:p>
            <w:pPr>
              <w:spacing w:after="0"/>
              <w:rPr>
                <w:sz w:val="15"/>
                <w:szCs w:val="15"/>
                <w:color w:val="auto"/>
              </w:rPr>
            </w:pPr>
          </w:p>
        </w:tc>
        <w:tc>
          <w:tcPr>
            <w:tcW w:w="300" w:type="dxa"/>
            <w:vAlign w:val="bottom"/>
          </w:tcPr>
          <w:p>
            <w:pPr>
              <w:spacing w:after="0"/>
              <w:rPr>
                <w:sz w:val="15"/>
                <w:szCs w:val="15"/>
                <w:color w:val="auto"/>
              </w:rPr>
            </w:pPr>
          </w:p>
        </w:tc>
      </w:tr>
      <w:tr>
        <w:trPr>
          <w:trHeight w:val="194"/>
        </w:trPr>
        <w:tc>
          <w:tcPr>
            <w:tcW w:w="20" w:type="dxa"/>
            <w:vAlign w:val="bottom"/>
          </w:tcPr>
          <w:p>
            <w:pPr>
              <w:spacing w:after="0"/>
              <w:rPr>
                <w:sz w:val="16"/>
                <w:szCs w:val="16"/>
                <w:color w:val="auto"/>
              </w:rPr>
            </w:pPr>
          </w:p>
        </w:tc>
        <w:tc>
          <w:tcPr>
            <w:tcW w:w="2860" w:type="dxa"/>
            <w:vAlign w:val="bottom"/>
          </w:tcPr>
          <w:p>
            <w:pPr>
              <w:ind w:left="120"/>
              <w:spacing w:after="0"/>
              <w:rPr>
                <w:sz w:val="20"/>
                <w:szCs w:val="20"/>
                <w:color w:val="auto"/>
              </w:rPr>
            </w:pPr>
            <w:r>
              <w:rPr>
                <w:rFonts w:ascii="Arial" w:cs="Arial" w:eastAsia="Arial" w:hAnsi="Arial"/>
                <w:sz w:val="16"/>
                <w:szCs w:val="16"/>
                <w:color w:val="auto"/>
              </w:rPr>
              <w:t>All other</w:t>
            </w:r>
          </w:p>
        </w:tc>
        <w:tc>
          <w:tcPr>
            <w:tcW w:w="40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(2)</w:t>
            </w:r>
          </w:p>
        </w:tc>
        <w:tc>
          <w:tcPr>
            <w:tcW w:w="52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(19)</w:t>
            </w:r>
          </w:p>
        </w:tc>
        <w:tc>
          <w:tcPr>
            <w:tcW w:w="58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w:t>
            </w:r>
          </w:p>
        </w:tc>
        <w:tc>
          <w:tcPr>
            <w:tcW w:w="56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140"/>
              <w:spacing w:after="0"/>
              <w:rPr>
                <w:sz w:val="20"/>
                <w:szCs w:val="20"/>
                <w:color w:val="auto"/>
              </w:rPr>
            </w:pPr>
            <w:r>
              <w:rPr>
                <w:rFonts w:ascii="Arial" w:cs="Arial" w:eastAsia="Arial" w:hAnsi="Arial"/>
                <w:sz w:val="16"/>
                <w:szCs w:val="16"/>
                <w:color w:val="auto"/>
              </w:rPr>
              <w:t>(14)</w:t>
            </w:r>
          </w:p>
        </w:tc>
        <w:tc>
          <w:tcPr>
            <w:tcW w:w="58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r>
      <w:tr>
        <w:trPr>
          <w:trHeight w:val="183"/>
        </w:trPr>
        <w:tc>
          <w:tcPr>
            <w:tcW w:w="20" w:type="dxa"/>
            <w:vAlign w:val="bottom"/>
          </w:tcPr>
          <w:p>
            <w:pPr>
              <w:spacing w:after="0"/>
              <w:rPr>
                <w:sz w:val="15"/>
                <w:szCs w:val="15"/>
                <w:color w:val="auto"/>
              </w:rPr>
            </w:pPr>
          </w:p>
        </w:tc>
        <w:tc>
          <w:tcPr>
            <w:tcW w:w="2860" w:type="dxa"/>
            <w:vAlign w:val="bottom"/>
          </w:tcPr>
          <w:p>
            <w:pPr>
              <w:ind w:left="300"/>
              <w:spacing w:after="0" w:line="176" w:lineRule="exact"/>
              <w:rPr>
                <w:sz w:val="20"/>
                <w:szCs w:val="20"/>
                <w:color w:val="auto"/>
              </w:rPr>
            </w:pPr>
            <w:r>
              <w:rPr>
                <w:rFonts w:ascii="Arial" w:cs="Arial" w:eastAsia="Arial" w:hAnsi="Arial"/>
                <w:sz w:val="16"/>
                <w:szCs w:val="16"/>
                <w:color w:val="auto"/>
              </w:rPr>
              <w:t>Total</w:t>
            </w:r>
          </w:p>
        </w:tc>
        <w:tc>
          <w:tcPr>
            <w:tcW w:w="400" w:type="dxa"/>
            <w:vAlign w:val="bottom"/>
            <w:tcBorders>
              <w:bottom w:val="single" w:sz="8" w:color="auto"/>
            </w:tcBorders>
          </w:tcPr>
          <w:p>
            <w:pPr>
              <w:jc w:val="right"/>
              <w:ind w:right="244"/>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tcPr>
          <w:p>
            <w:pPr>
              <w:jc w:val="right"/>
              <w:ind w:right="99"/>
              <w:spacing w:after="0" w:line="176" w:lineRule="exact"/>
              <w:rPr>
                <w:sz w:val="20"/>
                <w:szCs w:val="20"/>
                <w:color w:val="auto"/>
              </w:rPr>
            </w:pPr>
            <w:r>
              <w:rPr>
                <w:rFonts w:ascii="Arial" w:cs="Arial" w:eastAsia="Arial" w:hAnsi="Arial"/>
                <w:sz w:val="16"/>
                <w:szCs w:val="16"/>
                <w:color w:val="auto"/>
              </w:rPr>
              <w:t>7</w:t>
            </w:r>
          </w:p>
        </w:tc>
        <w:tc>
          <w:tcPr>
            <w:tcW w:w="52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239"/>
              <w:spacing w:after="0" w:line="176" w:lineRule="exact"/>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tcPr>
          <w:p>
            <w:pPr>
              <w:jc w:val="right"/>
              <w:ind w:right="119"/>
              <w:spacing w:after="0" w:line="176" w:lineRule="exact"/>
              <w:rPr>
                <w:sz w:val="20"/>
                <w:szCs w:val="20"/>
                <w:color w:val="auto"/>
              </w:rPr>
            </w:pPr>
            <w:r>
              <w:rPr>
                <w:rFonts w:ascii="Arial" w:cs="Arial" w:eastAsia="Arial" w:hAnsi="Arial"/>
                <w:sz w:val="16"/>
                <w:szCs w:val="16"/>
                <w:color w:val="auto"/>
              </w:rPr>
              <w:t>(8)</w:t>
            </w:r>
          </w:p>
        </w:tc>
        <w:tc>
          <w:tcPr>
            <w:tcW w:w="58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gridSpan w:val="2"/>
          </w:tcPr>
          <w:p>
            <w:pPr>
              <w:jc w:val="right"/>
              <w:ind w:right="184"/>
              <w:spacing w:after="0" w:line="176" w:lineRule="exact"/>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ind w:right="40"/>
              <w:spacing w:after="0" w:line="176" w:lineRule="exact"/>
              <w:rPr>
                <w:sz w:val="20"/>
                <w:szCs w:val="20"/>
                <w:color w:val="auto"/>
              </w:rPr>
            </w:pPr>
            <w:r>
              <w:rPr>
                <w:rFonts w:ascii="Arial" w:cs="Arial" w:eastAsia="Arial" w:hAnsi="Arial"/>
                <w:sz w:val="16"/>
                <w:szCs w:val="16"/>
                <w:color w:val="auto"/>
              </w:rPr>
              <w:t>8</w:t>
            </w:r>
          </w:p>
        </w:tc>
        <w:tc>
          <w:tcPr>
            <w:tcW w:w="56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jc w:val="right"/>
              <w:ind w:right="119"/>
              <w:spacing w:after="0" w:line="176" w:lineRule="exact"/>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tcPr>
          <w:p>
            <w:pPr>
              <w:jc w:val="right"/>
              <w:ind w:right="180"/>
              <w:spacing w:after="0" w:line="176" w:lineRule="exact"/>
              <w:rPr>
                <w:sz w:val="20"/>
                <w:szCs w:val="20"/>
                <w:color w:val="auto"/>
              </w:rPr>
            </w:pPr>
            <w:r>
              <w:rPr>
                <w:rFonts w:ascii="Arial" w:cs="Arial" w:eastAsia="Arial" w:hAnsi="Arial"/>
                <w:sz w:val="16"/>
                <w:szCs w:val="16"/>
                <w:color w:val="auto"/>
              </w:rPr>
              <w:t>7</w:t>
            </w:r>
          </w:p>
        </w:tc>
        <w:tc>
          <w:tcPr>
            <w:tcW w:w="58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r>
      <w:tr>
        <w:trPr>
          <w:trHeight w:val="164"/>
        </w:trPr>
        <w:tc>
          <w:tcPr>
            <w:tcW w:w="20" w:type="dxa"/>
            <w:vAlign w:val="bottom"/>
          </w:tcPr>
          <w:p>
            <w:pPr>
              <w:spacing w:after="0"/>
              <w:rPr>
                <w:sz w:val="14"/>
                <w:szCs w:val="14"/>
                <w:color w:val="auto"/>
              </w:rPr>
            </w:pPr>
          </w:p>
        </w:tc>
        <w:tc>
          <w:tcPr>
            <w:tcW w:w="2860" w:type="dxa"/>
            <w:vAlign w:val="bottom"/>
          </w:tcPr>
          <w:p>
            <w:pPr>
              <w:ind w:left="40"/>
              <w:spacing w:after="0" w:line="164" w:lineRule="exact"/>
              <w:rPr>
                <w:sz w:val="20"/>
                <w:szCs w:val="20"/>
                <w:color w:val="auto"/>
              </w:rPr>
            </w:pPr>
            <w:r>
              <w:rPr>
                <w:rFonts w:ascii="Arial" w:cs="Arial" w:eastAsia="Arial" w:hAnsi="Arial"/>
                <w:sz w:val="16"/>
                <w:szCs w:val="16"/>
                <w:color w:val="auto"/>
              </w:rPr>
              <w:t>Earnings recorded net of tax:</w:t>
            </w:r>
          </w:p>
        </w:tc>
        <w:tc>
          <w:tcPr>
            <w:tcW w:w="4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r>
      <w:tr>
        <w:trPr>
          <w:trHeight w:val="194"/>
        </w:trPr>
        <w:tc>
          <w:tcPr>
            <w:tcW w:w="20" w:type="dxa"/>
            <w:vAlign w:val="bottom"/>
          </w:tcPr>
          <w:p>
            <w:pPr>
              <w:spacing w:after="0"/>
              <w:rPr>
                <w:sz w:val="16"/>
                <w:szCs w:val="16"/>
                <w:color w:val="auto"/>
              </w:rPr>
            </w:pPr>
          </w:p>
        </w:tc>
        <w:tc>
          <w:tcPr>
            <w:tcW w:w="2860" w:type="dxa"/>
            <w:vAlign w:val="bottom"/>
            <w:tcBorders>
              <w:bottom w:val="single" w:sz="8" w:color="auto"/>
            </w:tcBorders>
          </w:tcPr>
          <w:p>
            <w:pPr>
              <w:ind w:left="120"/>
              <w:spacing w:after="0"/>
              <w:rPr>
                <w:sz w:val="20"/>
                <w:szCs w:val="20"/>
                <w:color w:val="auto"/>
              </w:rPr>
            </w:pPr>
            <w:r>
              <w:rPr>
                <w:rFonts w:ascii="Arial" w:cs="Arial" w:eastAsia="Arial" w:hAnsi="Arial"/>
                <w:sz w:val="16"/>
                <w:szCs w:val="16"/>
                <w:color w:val="auto"/>
              </w:rPr>
              <w:t>Sempra Pipelines &amp; Storage</w:t>
            </w:r>
          </w:p>
        </w:tc>
        <w:tc>
          <w:tcPr>
            <w:tcW w:w="400" w:type="dxa"/>
            <w:vAlign w:val="bottom"/>
            <w:tcBorders>
              <w:bottom w:val="single" w:sz="8" w:color="auto"/>
            </w:tcBorders>
          </w:tcPr>
          <w:p>
            <w:pPr>
              <w:jc w:val="right"/>
              <w:ind w:right="244"/>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8</w:t>
            </w:r>
          </w:p>
        </w:tc>
        <w:tc>
          <w:tcPr>
            <w:tcW w:w="52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27</w:t>
            </w:r>
          </w:p>
        </w:tc>
        <w:tc>
          <w:tcPr>
            <w:tcW w:w="58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gridSpan w:val="2"/>
          </w:tcPr>
          <w:p>
            <w:pPr>
              <w:jc w:val="right"/>
              <w:ind w:right="184"/>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39</w:t>
            </w:r>
          </w:p>
        </w:tc>
        <w:tc>
          <w:tcPr>
            <w:tcW w:w="56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tcPr>
          <w:p>
            <w:pPr>
              <w:jc w:val="right"/>
              <w:ind w:right="180"/>
              <w:spacing w:after="0"/>
              <w:rPr>
                <w:sz w:val="20"/>
                <w:szCs w:val="20"/>
                <w:color w:val="auto"/>
              </w:rPr>
            </w:pPr>
            <w:r>
              <w:rPr>
                <w:rFonts w:ascii="Arial" w:cs="Arial" w:eastAsia="Arial" w:hAnsi="Arial"/>
                <w:sz w:val="16"/>
                <w:szCs w:val="16"/>
                <w:color w:val="auto"/>
              </w:rPr>
              <w:t>46</w:t>
            </w:r>
          </w:p>
        </w:tc>
        <w:tc>
          <w:tcPr>
            <w:tcW w:w="58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r>
      <w:tr>
        <w:trPr>
          <w:trHeight w:val="164"/>
        </w:trPr>
        <w:tc>
          <w:tcPr>
            <w:tcW w:w="20" w:type="dxa"/>
            <w:vAlign w:val="bottom"/>
          </w:tcPr>
          <w:p>
            <w:pPr>
              <w:spacing w:after="0"/>
              <w:rPr>
                <w:sz w:val="14"/>
                <w:szCs w:val="14"/>
                <w:color w:val="auto"/>
              </w:rPr>
            </w:pPr>
          </w:p>
        </w:tc>
        <w:tc>
          <w:tcPr>
            <w:tcW w:w="2860" w:type="dxa"/>
            <w:vAlign w:val="bottom"/>
          </w:tcPr>
          <w:p>
            <w:pPr>
              <w:spacing w:after="0" w:line="164" w:lineRule="exact"/>
              <w:rPr>
                <w:sz w:val="20"/>
                <w:szCs w:val="20"/>
                <w:color w:val="auto"/>
              </w:rPr>
            </w:pPr>
            <w:r>
              <w:rPr>
                <w:rFonts w:ascii="Arial" w:cs="Arial" w:eastAsia="Arial" w:hAnsi="Arial"/>
                <w:sz w:val="16"/>
                <w:szCs w:val="16"/>
                <w:color w:val="auto"/>
              </w:rPr>
              <w:t>EARNINGS (LOSSES)</w:t>
            </w:r>
          </w:p>
        </w:tc>
        <w:tc>
          <w:tcPr>
            <w:tcW w:w="4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r>
      <w:tr>
        <w:trPr>
          <w:trHeight w:val="176"/>
        </w:trPr>
        <w:tc>
          <w:tcPr>
            <w:tcW w:w="20" w:type="dxa"/>
            <w:vAlign w:val="bottom"/>
          </w:tcPr>
          <w:p>
            <w:pPr>
              <w:spacing w:after="0"/>
              <w:rPr>
                <w:sz w:val="15"/>
                <w:szCs w:val="15"/>
                <w:color w:val="auto"/>
              </w:rPr>
            </w:pPr>
          </w:p>
        </w:tc>
        <w:tc>
          <w:tcPr>
            <w:tcW w:w="2860" w:type="dxa"/>
            <w:vAlign w:val="bottom"/>
          </w:tcPr>
          <w:p>
            <w:pPr>
              <w:ind w:left="120"/>
              <w:spacing w:after="0" w:line="176" w:lineRule="exact"/>
              <w:rPr>
                <w:sz w:val="20"/>
                <w:szCs w:val="20"/>
                <w:color w:val="auto"/>
              </w:rPr>
            </w:pPr>
            <w:r>
              <w:rPr>
                <w:rFonts w:ascii="Arial" w:cs="Arial" w:eastAsia="Arial" w:hAnsi="Arial"/>
                <w:sz w:val="16"/>
                <w:szCs w:val="16"/>
                <w:color w:val="auto"/>
              </w:rPr>
              <w:t>SDG&amp;E(3)</w:t>
            </w:r>
          </w:p>
        </w:tc>
        <w:tc>
          <w:tcPr>
            <w:tcW w:w="400" w:type="dxa"/>
            <w:vAlign w:val="bottom"/>
          </w:tcPr>
          <w:p>
            <w:pPr>
              <w:jc w:val="right"/>
              <w:ind w:right="244"/>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ind w:right="99"/>
              <w:spacing w:after="0" w:line="176" w:lineRule="exact"/>
              <w:rPr>
                <w:sz w:val="20"/>
                <w:szCs w:val="20"/>
                <w:color w:val="auto"/>
              </w:rPr>
            </w:pPr>
            <w:r>
              <w:rPr>
                <w:rFonts w:ascii="Arial" w:cs="Arial" w:eastAsia="Arial" w:hAnsi="Arial"/>
                <w:sz w:val="16"/>
                <w:szCs w:val="16"/>
                <w:color w:val="auto"/>
              </w:rPr>
              <w:t>71</w:t>
            </w:r>
          </w:p>
        </w:tc>
        <w:tc>
          <w:tcPr>
            <w:tcW w:w="520" w:type="dxa"/>
            <w:vAlign w:val="bottom"/>
          </w:tcPr>
          <w:p>
            <w:pPr>
              <w:jc w:val="right"/>
              <w:ind w:right="19"/>
              <w:spacing w:after="0" w:line="176" w:lineRule="exact"/>
              <w:rPr>
                <w:sz w:val="20"/>
                <w:szCs w:val="20"/>
                <w:color w:val="auto"/>
              </w:rPr>
            </w:pPr>
            <w:r>
              <w:rPr>
                <w:rFonts w:ascii="Arial" w:cs="Arial" w:eastAsia="Arial" w:hAnsi="Arial"/>
                <w:sz w:val="16"/>
                <w:szCs w:val="16"/>
                <w:color w:val="auto"/>
              </w:rPr>
              <w:t>14</w:t>
            </w:r>
          </w:p>
        </w:tc>
        <w:tc>
          <w:tcPr>
            <w:tcW w:w="700" w:type="dxa"/>
            <w:vAlign w:val="bottom"/>
          </w:tcPr>
          <w:p>
            <w:pPr>
              <w:jc w:val="right"/>
              <w:ind w:right="239"/>
              <w:spacing w:after="0" w:line="176" w:lineRule="exact"/>
              <w:rPr>
                <w:sz w:val="20"/>
                <w:szCs w:val="20"/>
                <w:color w:val="auto"/>
              </w:rPr>
            </w:pPr>
            <w:r>
              <w:rPr>
                <w:rFonts w:ascii="Arial" w:cs="Arial" w:eastAsia="Arial" w:hAnsi="Arial"/>
                <w:sz w:val="16"/>
                <w:szCs w:val="16"/>
                <w:color w:val="auto"/>
              </w:rPr>
              <w:t>% $</w:t>
            </w:r>
          </w:p>
        </w:tc>
        <w:tc>
          <w:tcPr>
            <w:tcW w:w="840" w:type="dxa"/>
            <w:vAlign w:val="bottom"/>
          </w:tcPr>
          <w:p>
            <w:pPr>
              <w:jc w:val="right"/>
              <w:ind w:right="159"/>
              <w:spacing w:after="0" w:line="176" w:lineRule="exact"/>
              <w:rPr>
                <w:sz w:val="20"/>
                <w:szCs w:val="20"/>
                <w:color w:val="auto"/>
              </w:rPr>
            </w:pPr>
            <w:r>
              <w:rPr>
                <w:rFonts w:ascii="Arial" w:cs="Arial" w:eastAsia="Arial" w:hAnsi="Arial"/>
                <w:sz w:val="16"/>
                <w:szCs w:val="16"/>
                <w:color w:val="auto"/>
              </w:rPr>
              <w:t>75</w:t>
            </w:r>
          </w:p>
        </w:tc>
        <w:tc>
          <w:tcPr>
            <w:tcW w:w="580" w:type="dxa"/>
            <w:vAlign w:val="bottom"/>
          </w:tcPr>
          <w:p>
            <w:pPr>
              <w:jc w:val="right"/>
              <w:ind w:right="19"/>
              <w:spacing w:after="0" w:line="176" w:lineRule="exact"/>
              <w:rPr>
                <w:sz w:val="20"/>
                <w:szCs w:val="20"/>
                <w:color w:val="auto"/>
              </w:rPr>
            </w:pPr>
            <w:r>
              <w:rPr>
                <w:rFonts w:ascii="Arial" w:cs="Arial" w:eastAsia="Arial" w:hAnsi="Arial"/>
                <w:sz w:val="16"/>
                <w:szCs w:val="16"/>
                <w:color w:val="auto"/>
              </w:rPr>
              <w:t>34</w:t>
            </w:r>
          </w:p>
        </w:tc>
        <w:tc>
          <w:tcPr>
            <w:tcW w:w="640" w:type="dxa"/>
            <w:vAlign w:val="bottom"/>
            <w:gridSpan w:val="2"/>
          </w:tcPr>
          <w:p>
            <w:pPr>
              <w:jc w:val="right"/>
              <w:ind w:right="184"/>
              <w:spacing w:after="0" w:line="176" w:lineRule="exact"/>
              <w:rPr>
                <w:sz w:val="20"/>
                <w:szCs w:val="20"/>
                <w:color w:val="auto"/>
              </w:rPr>
            </w:pPr>
            <w:r>
              <w:rPr>
                <w:rFonts w:ascii="Arial" w:cs="Arial" w:eastAsia="Arial" w:hAnsi="Arial"/>
                <w:sz w:val="16"/>
                <w:szCs w:val="16"/>
                <w:color w:val="auto"/>
              </w:rPr>
              <w:t>% $</w:t>
            </w:r>
          </w:p>
        </w:tc>
        <w:tc>
          <w:tcPr>
            <w:tcW w:w="920" w:type="dxa"/>
            <w:vAlign w:val="bottom"/>
          </w:tcPr>
          <w:p>
            <w:pPr>
              <w:jc w:val="right"/>
              <w:ind w:right="40"/>
              <w:spacing w:after="0" w:line="176" w:lineRule="exact"/>
              <w:rPr>
                <w:sz w:val="20"/>
                <w:szCs w:val="20"/>
                <w:color w:val="auto"/>
              </w:rPr>
            </w:pPr>
            <w:r>
              <w:rPr>
                <w:rFonts w:ascii="Arial" w:cs="Arial" w:eastAsia="Arial" w:hAnsi="Arial"/>
                <w:sz w:val="16"/>
                <w:szCs w:val="16"/>
                <w:color w:val="auto"/>
              </w:rPr>
              <w:t>160</w:t>
            </w:r>
          </w:p>
        </w:tc>
        <w:tc>
          <w:tcPr>
            <w:tcW w:w="560" w:type="dxa"/>
            <w:vAlign w:val="bottom"/>
          </w:tcPr>
          <w:p>
            <w:pPr>
              <w:jc w:val="right"/>
              <w:ind w:right="19"/>
              <w:spacing w:after="0" w:line="176" w:lineRule="exact"/>
              <w:rPr>
                <w:sz w:val="20"/>
                <w:szCs w:val="20"/>
                <w:color w:val="auto"/>
              </w:rPr>
            </w:pPr>
            <w:r>
              <w:rPr>
                <w:rFonts w:ascii="Arial" w:cs="Arial" w:eastAsia="Arial" w:hAnsi="Arial"/>
                <w:sz w:val="16"/>
                <w:szCs w:val="16"/>
                <w:color w:val="auto"/>
              </w:rPr>
              <w:t>21</w:t>
            </w:r>
          </w:p>
        </w:tc>
        <w:tc>
          <w:tcPr>
            <w:tcW w:w="600" w:type="dxa"/>
            <w:vAlign w:val="bottom"/>
            <w:gridSpan w:val="2"/>
          </w:tcPr>
          <w:p>
            <w:pPr>
              <w:jc w:val="right"/>
              <w:ind w:right="119"/>
              <w:spacing w:after="0" w:line="176" w:lineRule="exact"/>
              <w:rPr>
                <w:sz w:val="20"/>
                <w:szCs w:val="20"/>
                <w:color w:val="auto"/>
              </w:rPr>
            </w:pPr>
            <w:r>
              <w:rPr>
                <w:rFonts w:ascii="Arial" w:cs="Arial" w:eastAsia="Arial" w:hAnsi="Arial"/>
                <w:sz w:val="16"/>
                <w:szCs w:val="16"/>
                <w:color w:val="auto"/>
              </w:rPr>
              <w:t>% $</w:t>
            </w:r>
          </w:p>
        </w:tc>
        <w:tc>
          <w:tcPr>
            <w:tcW w:w="1120" w:type="dxa"/>
            <w:vAlign w:val="bottom"/>
          </w:tcPr>
          <w:p>
            <w:pPr>
              <w:jc w:val="right"/>
              <w:ind w:right="180"/>
              <w:spacing w:after="0" w:line="176" w:lineRule="exact"/>
              <w:rPr>
                <w:sz w:val="20"/>
                <w:szCs w:val="20"/>
                <w:color w:val="auto"/>
              </w:rPr>
            </w:pPr>
            <w:r>
              <w:rPr>
                <w:rFonts w:ascii="Arial" w:cs="Arial" w:eastAsia="Arial" w:hAnsi="Arial"/>
                <w:sz w:val="16"/>
                <w:szCs w:val="16"/>
                <w:color w:val="auto"/>
              </w:rPr>
              <w:t>158</w:t>
            </w:r>
          </w:p>
        </w:tc>
        <w:tc>
          <w:tcPr>
            <w:tcW w:w="580" w:type="dxa"/>
            <w:vAlign w:val="bottom"/>
          </w:tcPr>
          <w:p>
            <w:pPr>
              <w:jc w:val="right"/>
              <w:ind w:right="19"/>
              <w:spacing w:after="0" w:line="176" w:lineRule="exact"/>
              <w:rPr>
                <w:sz w:val="20"/>
                <w:szCs w:val="20"/>
                <w:color w:val="auto"/>
              </w:rPr>
            </w:pPr>
            <w:r>
              <w:rPr>
                <w:rFonts w:ascii="Arial" w:cs="Arial" w:eastAsia="Arial" w:hAnsi="Arial"/>
                <w:sz w:val="16"/>
                <w:szCs w:val="16"/>
                <w:color w:val="auto"/>
              </w:rPr>
              <w:t>48</w:t>
            </w:r>
          </w:p>
        </w:tc>
        <w:tc>
          <w:tcPr>
            <w:tcW w:w="300" w:type="dxa"/>
            <w:vAlign w:val="bottom"/>
          </w:tcPr>
          <w:p>
            <w:pPr>
              <w:jc w:val="right"/>
              <w:ind w:right="39"/>
              <w:spacing w:after="0" w:line="176" w:lineRule="exact"/>
              <w:rPr>
                <w:sz w:val="20"/>
                <w:szCs w:val="20"/>
                <w:color w:val="auto"/>
              </w:rPr>
            </w:pPr>
            <w:r>
              <w:rPr>
                <w:rFonts w:ascii="Arial" w:cs="Arial" w:eastAsia="Arial" w:hAnsi="Arial"/>
                <w:sz w:val="16"/>
                <w:szCs w:val="16"/>
                <w:color w:val="auto"/>
              </w:rPr>
              <w:t>%</w:t>
            </w:r>
          </w:p>
        </w:tc>
      </w:tr>
      <w:tr>
        <w:trPr>
          <w:trHeight w:val="176"/>
        </w:trPr>
        <w:tc>
          <w:tcPr>
            <w:tcW w:w="20" w:type="dxa"/>
            <w:vAlign w:val="bottom"/>
          </w:tcPr>
          <w:p>
            <w:pPr>
              <w:spacing w:after="0"/>
              <w:rPr>
                <w:sz w:val="15"/>
                <w:szCs w:val="15"/>
                <w:color w:val="auto"/>
              </w:rPr>
            </w:pPr>
          </w:p>
        </w:tc>
        <w:tc>
          <w:tcPr>
            <w:tcW w:w="2860" w:type="dxa"/>
            <w:vAlign w:val="bottom"/>
          </w:tcPr>
          <w:p>
            <w:pPr>
              <w:ind w:left="120"/>
              <w:spacing w:after="0" w:line="176" w:lineRule="exact"/>
              <w:rPr>
                <w:sz w:val="20"/>
                <w:szCs w:val="20"/>
                <w:color w:val="auto"/>
              </w:rPr>
            </w:pPr>
            <w:r>
              <w:rPr>
                <w:rFonts w:ascii="Arial" w:cs="Arial" w:eastAsia="Arial" w:hAnsi="Arial"/>
                <w:sz w:val="16"/>
                <w:szCs w:val="16"/>
                <w:color w:val="auto"/>
              </w:rPr>
              <w:t>SoCalGas(3)</w:t>
            </w:r>
          </w:p>
        </w:tc>
        <w:tc>
          <w:tcPr>
            <w:tcW w:w="400" w:type="dxa"/>
            <w:vAlign w:val="bottom"/>
          </w:tcPr>
          <w:p>
            <w:pPr>
              <w:spacing w:after="0"/>
              <w:rPr>
                <w:sz w:val="15"/>
                <w:szCs w:val="15"/>
                <w:color w:val="auto"/>
              </w:rPr>
            </w:pPr>
          </w:p>
        </w:tc>
        <w:tc>
          <w:tcPr>
            <w:tcW w:w="780" w:type="dxa"/>
            <w:vAlign w:val="bottom"/>
          </w:tcPr>
          <w:p>
            <w:pPr>
              <w:jc w:val="right"/>
              <w:ind w:right="99"/>
              <w:spacing w:after="0" w:line="176" w:lineRule="exact"/>
              <w:rPr>
                <w:sz w:val="20"/>
                <w:szCs w:val="20"/>
                <w:color w:val="auto"/>
              </w:rPr>
            </w:pPr>
            <w:r>
              <w:rPr>
                <w:rFonts w:ascii="Arial" w:cs="Arial" w:eastAsia="Arial" w:hAnsi="Arial"/>
                <w:sz w:val="16"/>
                <w:szCs w:val="16"/>
                <w:color w:val="auto"/>
              </w:rPr>
              <w:t>59</w:t>
            </w:r>
          </w:p>
        </w:tc>
        <w:tc>
          <w:tcPr>
            <w:tcW w:w="520" w:type="dxa"/>
            <w:vAlign w:val="bottom"/>
          </w:tcPr>
          <w:p>
            <w:pPr>
              <w:jc w:val="right"/>
              <w:ind w:right="19"/>
              <w:spacing w:after="0" w:line="176" w:lineRule="exact"/>
              <w:rPr>
                <w:sz w:val="20"/>
                <w:szCs w:val="20"/>
                <w:color w:val="auto"/>
              </w:rPr>
            </w:pPr>
            <w:r>
              <w:rPr>
                <w:rFonts w:ascii="Arial" w:cs="Arial" w:eastAsia="Arial" w:hAnsi="Arial"/>
                <w:sz w:val="16"/>
                <w:szCs w:val="16"/>
                <w:color w:val="auto"/>
              </w:rPr>
              <w:t>12</w:t>
            </w:r>
          </w:p>
        </w:tc>
        <w:tc>
          <w:tcPr>
            <w:tcW w:w="700" w:type="dxa"/>
            <w:vAlign w:val="bottom"/>
          </w:tcPr>
          <w:p>
            <w:pPr>
              <w:spacing w:after="0"/>
              <w:rPr>
                <w:sz w:val="15"/>
                <w:szCs w:val="15"/>
                <w:color w:val="auto"/>
              </w:rPr>
            </w:pPr>
          </w:p>
        </w:tc>
        <w:tc>
          <w:tcPr>
            <w:tcW w:w="840" w:type="dxa"/>
            <w:vAlign w:val="bottom"/>
          </w:tcPr>
          <w:p>
            <w:pPr>
              <w:jc w:val="right"/>
              <w:ind w:right="159"/>
              <w:spacing w:after="0" w:line="176" w:lineRule="exact"/>
              <w:rPr>
                <w:sz w:val="20"/>
                <w:szCs w:val="20"/>
                <w:color w:val="auto"/>
              </w:rPr>
            </w:pPr>
            <w:r>
              <w:rPr>
                <w:rFonts w:ascii="Arial" w:cs="Arial" w:eastAsia="Arial" w:hAnsi="Arial"/>
                <w:sz w:val="16"/>
                <w:szCs w:val="16"/>
                <w:color w:val="auto"/>
              </w:rPr>
              <w:t>69</w:t>
            </w:r>
          </w:p>
        </w:tc>
        <w:tc>
          <w:tcPr>
            <w:tcW w:w="580" w:type="dxa"/>
            <w:vAlign w:val="bottom"/>
          </w:tcPr>
          <w:p>
            <w:pPr>
              <w:jc w:val="right"/>
              <w:ind w:right="19"/>
              <w:spacing w:after="0" w:line="176" w:lineRule="exact"/>
              <w:rPr>
                <w:sz w:val="20"/>
                <w:szCs w:val="20"/>
                <w:color w:val="auto"/>
              </w:rPr>
            </w:pPr>
            <w:r>
              <w:rPr>
                <w:rFonts w:ascii="Arial" w:cs="Arial" w:eastAsia="Arial" w:hAnsi="Arial"/>
                <w:sz w:val="16"/>
                <w:szCs w:val="16"/>
                <w:color w:val="auto"/>
              </w:rPr>
              <w:t>31</w:t>
            </w:r>
          </w:p>
        </w:tc>
        <w:tc>
          <w:tcPr>
            <w:tcW w:w="3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20" w:type="dxa"/>
            <w:vAlign w:val="bottom"/>
          </w:tcPr>
          <w:p>
            <w:pPr>
              <w:jc w:val="right"/>
              <w:ind w:right="40"/>
              <w:spacing w:after="0" w:line="176" w:lineRule="exact"/>
              <w:rPr>
                <w:sz w:val="20"/>
                <w:szCs w:val="20"/>
                <w:color w:val="auto"/>
              </w:rPr>
            </w:pPr>
            <w:r>
              <w:rPr>
                <w:rFonts w:ascii="Arial" w:cs="Arial" w:eastAsia="Arial" w:hAnsi="Arial"/>
                <w:sz w:val="16"/>
                <w:szCs w:val="16"/>
                <w:color w:val="auto"/>
              </w:rPr>
              <w:t>127</w:t>
            </w:r>
          </w:p>
        </w:tc>
        <w:tc>
          <w:tcPr>
            <w:tcW w:w="560" w:type="dxa"/>
            <w:vAlign w:val="bottom"/>
          </w:tcPr>
          <w:p>
            <w:pPr>
              <w:jc w:val="right"/>
              <w:ind w:right="19"/>
              <w:spacing w:after="0" w:line="176" w:lineRule="exact"/>
              <w:rPr>
                <w:sz w:val="20"/>
                <w:szCs w:val="20"/>
                <w:color w:val="auto"/>
              </w:rPr>
            </w:pPr>
            <w:r>
              <w:rPr>
                <w:rFonts w:ascii="Arial" w:cs="Arial" w:eastAsia="Arial" w:hAnsi="Arial"/>
                <w:sz w:val="16"/>
                <w:szCs w:val="16"/>
                <w:color w:val="auto"/>
              </w:rPr>
              <w:t>16</w:t>
            </w:r>
          </w:p>
        </w:tc>
        <w:tc>
          <w:tcPr>
            <w:tcW w:w="2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20" w:type="dxa"/>
            <w:vAlign w:val="bottom"/>
          </w:tcPr>
          <w:p>
            <w:pPr>
              <w:jc w:val="right"/>
              <w:ind w:right="180"/>
              <w:spacing w:after="0" w:line="176" w:lineRule="exact"/>
              <w:rPr>
                <w:sz w:val="20"/>
                <w:szCs w:val="20"/>
                <w:color w:val="auto"/>
              </w:rPr>
            </w:pPr>
            <w:r>
              <w:rPr>
                <w:rFonts w:ascii="Arial" w:cs="Arial" w:eastAsia="Arial" w:hAnsi="Arial"/>
                <w:sz w:val="16"/>
                <w:szCs w:val="16"/>
                <w:color w:val="auto"/>
              </w:rPr>
              <w:t>134</w:t>
            </w:r>
          </w:p>
        </w:tc>
        <w:tc>
          <w:tcPr>
            <w:tcW w:w="580" w:type="dxa"/>
            <w:vAlign w:val="bottom"/>
          </w:tcPr>
          <w:p>
            <w:pPr>
              <w:jc w:val="right"/>
              <w:ind w:right="19"/>
              <w:spacing w:after="0" w:line="176" w:lineRule="exact"/>
              <w:rPr>
                <w:sz w:val="20"/>
                <w:szCs w:val="20"/>
                <w:color w:val="auto"/>
              </w:rPr>
            </w:pPr>
            <w:r>
              <w:rPr>
                <w:rFonts w:ascii="Arial" w:cs="Arial" w:eastAsia="Arial" w:hAnsi="Arial"/>
                <w:sz w:val="16"/>
                <w:szCs w:val="16"/>
                <w:color w:val="auto"/>
              </w:rPr>
              <w:t>41</w:t>
            </w:r>
          </w:p>
        </w:tc>
        <w:tc>
          <w:tcPr>
            <w:tcW w:w="300" w:type="dxa"/>
            <w:vAlign w:val="bottom"/>
          </w:tcPr>
          <w:p>
            <w:pPr>
              <w:spacing w:after="0"/>
              <w:rPr>
                <w:sz w:val="15"/>
                <w:szCs w:val="15"/>
                <w:color w:val="auto"/>
              </w:rPr>
            </w:pPr>
          </w:p>
        </w:tc>
      </w:tr>
      <w:tr>
        <w:trPr>
          <w:trHeight w:val="176"/>
        </w:trPr>
        <w:tc>
          <w:tcPr>
            <w:tcW w:w="20" w:type="dxa"/>
            <w:vAlign w:val="bottom"/>
          </w:tcPr>
          <w:p>
            <w:pPr>
              <w:spacing w:after="0"/>
              <w:rPr>
                <w:sz w:val="15"/>
                <w:szCs w:val="15"/>
                <w:color w:val="auto"/>
              </w:rPr>
            </w:pPr>
          </w:p>
        </w:tc>
        <w:tc>
          <w:tcPr>
            <w:tcW w:w="2860" w:type="dxa"/>
            <w:vAlign w:val="bottom"/>
          </w:tcPr>
          <w:p>
            <w:pPr>
              <w:ind w:left="120"/>
              <w:spacing w:after="0" w:line="176" w:lineRule="exact"/>
              <w:rPr>
                <w:sz w:val="20"/>
                <w:szCs w:val="20"/>
                <w:color w:val="auto"/>
              </w:rPr>
            </w:pPr>
            <w:r>
              <w:rPr>
                <w:rFonts w:ascii="Arial" w:cs="Arial" w:eastAsia="Arial" w:hAnsi="Arial"/>
                <w:sz w:val="16"/>
                <w:szCs w:val="16"/>
                <w:color w:val="auto"/>
              </w:rPr>
              <w:t>Sempra Generation</w:t>
            </w:r>
          </w:p>
        </w:tc>
        <w:tc>
          <w:tcPr>
            <w:tcW w:w="400" w:type="dxa"/>
            <w:vAlign w:val="bottom"/>
          </w:tcPr>
          <w:p>
            <w:pPr>
              <w:spacing w:after="0"/>
              <w:rPr>
                <w:sz w:val="15"/>
                <w:szCs w:val="15"/>
                <w:color w:val="auto"/>
              </w:rPr>
            </w:pPr>
          </w:p>
        </w:tc>
        <w:tc>
          <w:tcPr>
            <w:tcW w:w="780" w:type="dxa"/>
            <w:vAlign w:val="bottom"/>
          </w:tcPr>
          <w:p>
            <w:pPr>
              <w:jc w:val="right"/>
              <w:ind w:right="99"/>
              <w:spacing w:after="0" w:line="176" w:lineRule="exact"/>
              <w:rPr>
                <w:sz w:val="20"/>
                <w:szCs w:val="20"/>
                <w:color w:val="auto"/>
              </w:rPr>
            </w:pPr>
            <w:r>
              <w:rPr>
                <w:rFonts w:ascii="Arial" w:cs="Arial" w:eastAsia="Arial" w:hAnsi="Arial"/>
                <w:sz w:val="16"/>
                <w:szCs w:val="16"/>
                <w:color w:val="auto"/>
              </w:rPr>
              <w:t>50</w:t>
            </w:r>
          </w:p>
        </w:tc>
        <w:tc>
          <w:tcPr>
            <w:tcW w:w="520" w:type="dxa"/>
            <w:vAlign w:val="bottom"/>
          </w:tcPr>
          <w:p>
            <w:pPr>
              <w:jc w:val="right"/>
              <w:ind w:right="19"/>
              <w:spacing w:after="0" w:line="176" w:lineRule="exact"/>
              <w:rPr>
                <w:sz w:val="20"/>
                <w:szCs w:val="20"/>
                <w:color w:val="auto"/>
              </w:rPr>
            </w:pPr>
            <w:r>
              <w:rPr>
                <w:rFonts w:ascii="Arial" w:cs="Arial" w:eastAsia="Arial" w:hAnsi="Arial"/>
                <w:sz w:val="16"/>
                <w:szCs w:val="16"/>
                <w:color w:val="auto"/>
              </w:rPr>
              <w:t>10</w:t>
            </w:r>
          </w:p>
        </w:tc>
        <w:tc>
          <w:tcPr>
            <w:tcW w:w="700" w:type="dxa"/>
            <w:vAlign w:val="bottom"/>
          </w:tcPr>
          <w:p>
            <w:pPr>
              <w:spacing w:after="0"/>
              <w:rPr>
                <w:sz w:val="15"/>
                <w:szCs w:val="15"/>
                <w:color w:val="auto"/>
              </w:rPr>
            </w:pPr>
          </w:p>
        </w:tc>
        <w:tc>
          <w:tcPr>
            <w:tcW w:w="840" w:type="dxa"/>
            <w:vAlign w:val="bottom"/>
          </w:tcPr>
          <w:p>
            <w:pPr>
              <w:jc w:val="right"/>
              <w:ind w:right="159"/>
              <w:spacing w:after="0" w:line="176" w:lineRule="exact"/>
              <w:rPr>
                <w:sz w:val="20"/>
                <w:szCs w:val="20"/>
                <w:color w:val="auto"/>
              </w:rPr>
            </w:pPr>
            <w:r>
              <w:rPr>
                <w:rFonts w:ascii="Arial" w:cs="Arial" w:eastAsia="Arial" w:hAnsi="Arial"/>
                <w:sz w:val="16"/>
                <w:szCs w:val="16"/>
                <w:color w:val="auto"/>
              </w:rPr>
              <w:t>52</w:t>
            </w:r>
          </w:p>
        </w:tc>
        <w:tc>
          <w:tcPr>
            <w:tcW w:w="580" w:type="dxa"/>
            <w:vAlign w:val="bottom"/>
          </w:tcPr>
          <w:p>
            <w:pPr>
              <w:jc w:val="right"/>
              <w:ind w:right="19"/>
              <w:spacing w:after="0" w:line="176" w:lineRule="exact"/>
              <w:rPr>
                <w:sz w:val="20"/>
                <w:szCs w:val="20"/>
                <w:color w:val="auto"/>
              </w:rPr>
            </w:pPr>
            <w:r>
              <w:rPr>
                <w:rFonts w:ascii="Arial" w:cs="Arial" w:eastAsia="Arial" w:hAnsi="Arial"/>
                <w:sz w:val="16"/>
                <w:szCs w:val="16"/>
                <w:color w:val="auto"/>
              </w:rPr>
              <w:t>23</w:t>
            </w:r>
          </w:p>
        </w:tc>
        <w:tc>
          <w:tcPr>
            <w:tcW w:w="3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20" w:type="dxa"/>
            <w:vAlign w:val="bottom"/>
          </w:tcPr>
          <w:p>
            <w:pPr>
              <w:jc w:val="right"/>
              <w:ind w:right="40"/>
              <w:spacing w:after="0" w:line="176" w:lineRule="exact"/>
              <w:rPr>
                <w:sz w:val="20"/>
                <w:szCs w:val="20"/>
                <w:color w:val="auto"/>
              </w:rPr>
            </w:pPr>
            <w:r>
              <w:rPr>
                <w:rFonts w:ascii="Arial" w:cs="Arial" w:eastAsia="Arial" w:hAnsi="Arial"/>
                <w:sz w:val="16"/>
                <w:szCs w:val="16"/>
                <w:color w:val="auto"/>
              </w:rPr>
              <w:t>94</w:t>
            </w:r>
          </w:p>
        </w:tc>
        <w:tc>
          <w:tcPr>
            <w:tcW w:w="560" w:type="dxa"/>
            <w:vAlign w:val="bottom"/>
          </w:tcPr>
          <w:p>
            <w:pPr>
              <w:jc w:val="right"/>
              <w:ind w:right="19"/>
              <w:spacing w:after="0" w:line="176" w:lineRule="exact"/>
              <w:rPr>
                <w:sz w:val="20"/>
                <w:szCs w:val="20"/>
                <w:color w:val="auto"/>
              </w:rPr>
            </w:pPr>
            <w:r>
              <w:rPr>
                <w:rFonts w:ascii="Arial" w:cs="Arial" w:eastAsia="Arial" w:hAnsi="Arial"/>
                <w:sz w:val="16"/>
                <w:szCs w:val="16"/>
                <w:color w:val="auto"/>
              </w:rPr>
              <w:t>12</w:t>
            </w:r>
          </w:p>
        </w:tc>
        <w:tc>
          <w:tcPr>
            <w:tcW w:w="2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20" w:type="dxa"/>
            <w:vAlign w:val="bottom"/>
          </w:tcPr>
          <w:p>
            <w:pPr>
              <w:jc w:val="right"/>
              <w:ind w:right="180"/>
              <w:spacing w:after="0" w:line="176" w:lineRule="exact"/>
              <w:rPr>
                <w:sz w:val="20"/>
                <w:szCs w:val="20"/>
                <w:color w:val="auto"/>
              </w:rPr>
            </w:pPr>
            <w:r>
              <w:rPr>
                <w:rFonts w:ascii="Arial" w:cs="Arial" w:eastAsia="Arial" w:hAnsi="Arial"/>
                <w:sz w:val="16"/>
                <w:szCs w:val="16"/>
                <w:color w:val="auto"/>
              </w:rPr>
              <w:t>1</w:t>
            </w:r>
          </w:p>
        </w:tc>
        <w:tc>
          <w:tcPr>
            <w:tcW w:w="580" w:type="dxa"/>
            <w:vAlign w:val="bottom"/>
          </w:tcPr>
          <w:p>
            <w:pPr>
              <w:jc w:val="right"/>
              <w:ind w:right="19"/>
              <w:spacing w:after="0" w:line="176" w:lineRule="exact"/>
              <w:rPr>
                <w:sz w:val="20"/>
                <w:szCs w:val="20"/>
                <w:color w:val="auto"/>
              </w:rPr>
            </w:pPr>
            <w:r>
              <w:rPr>
                <w:rFonts w:ascii="Arial" w:cs="Arial" w:eastAsia="Arial" w:hAnsi="Arial"/>
                <w:sz w:val="16"/>
                <w:szCs w:val="16"/>
                <w:color w:val="auto"/>
              </w:rPr>
              <w:t>―</w:t>
            </w:r>
          </w:p>
        </w:tc>
        <w:tc>
          <w:tcPr>
            <w:tcW w:w="300" w:type="dxa"/>
            <w:vAlign w:val="bottom"/>
          </w:tcPr>
          <w:p>
            <w:pPr>
              <w:spacing w:after="0"/>
              <w:rPr>
                <w:sz w:val="15"/>
                <w:szCs w:val="15"/>
                <w:color w:val="auto"/>
              </w:rPr>
            </w:pPr>
          </w:p>
        </w:tc>
      </w:tr>
      <w:tr>
        <w:trPr>
          <w:trHeight w:val="176"/>
        </w:trPr>
        <w:tc>
          <w:tcPr>
            <w:tcW w:w="20" w:type="dxa"/>
            <w:vAlign w:val="bottom"/>
          </w:tcPr>
          <w:p>
            <w:pPr>
              <w:spacing w:after="0"/>
              <w:rPr>
                <w:sz w:val="15"/>
                <w:szCs w:val="15"/>
                <w:color w:val="auto"/>
              </w:rPr>
            </w:pPr>
          </w:p>
        </w:tc>
        <w:tc>
          <w:tcPr>
            <w:tcW w:w="2860" w:type="dxa"/>
            <w:vAlign w:val="bottom"/>
          </w:tcPr>
          <w:p>
            <w:pPr>
              <w:ind w:left="120"/>
              <w:spacing w:after="0" w:line="176" w:lineRule="exact"/>
              <w:rPr>
                <w:sz w:val="20"/>
                <w:szCs w:val="20"/>
                <w:color w:val="auto"/>
              </w:rPr>
            </w:pPr>
            <w:r>
              <w:rPr>
                <w:rFonts w:ascii="Arial" w:cs="Arial" w:eastAsia="Arial" w:hAnsi="Arial"/>
                <w:sz w:val="16"/>
                <w:szCs w:val="16"/>
                <w:color w:val="auto"/>
              </w:rPr>
              <w:t>Sempra Pipelines &amp; Storage</w:t>
            </w:r>
          </w:p>
        </w:tc>
        <w:tc>
          <w:tcPr>
            <w:tcW w:w="400" w:type="dxa"/>
            <w:vAlign w:val="bottom"/>
          </w:tcPr>
          <w:p>
            <w:pPr>
              <w:spacing w:after="0"/>
              <w:rPr>
                <w:sz w:val="15"/>
                <w:szCs w:val="15"/>
                <w:color w:val="auto"/>
              </w:rPr>
            </w:pPr>
          </w:p>
        </w:tc>
        <w:tc>
          <w:tcPr>
            <w:tcW w:w="780" w:type="dxa"/>
            <w:vAlign w:val="bottom"/>
          </w:tcPr>
          <w:p>
            <w:pPr>
              <w:jc w:val="right"/>
              <w:ind w:right="99"/>
              <w:spacing w:after="0" w:line="176" w:lineRule="exact"/>
              <w:rPr>
                <w:sz w:val="20"/>
                <w:szCs w:val="20"/>
                <w:color w:val="auto"/>
              </w:rPr>
            </w:pPr>
            <w:r>
              <w:rPr>
                <w:rFonts w:ascii="Arial" w:cs="Arial" w:eastAsia="Arial" w:hAnsi="Arial"/>
                <w:sz w:val="16"/>
                <w:szCs w:val="16"/>
                <w:color w:val="auto"/>
              </w:rPr>
              <w:t>337</w:t>
            </w:r>
          </w:p>
        </w:tc>
        <w:tc>
          <w:tcPr>
            <w:tcW w:w="520" w:type="dxa"/>
            <w:vAlign w:val="bottom"/>
          </w:tcPr>
          <w:p>
            <w:pPr>
              <w:jc w:val="right"/>
              <w:ind w:right="19"/>
              <w:spacing w:after="0" w:line="176" w:lineRule="exact"/>
              <w:rPr>
                <w:sz w:val="20"/>
                <w:szCs w:val="20"/>
                <w:color w:val="auto"/>
              </w:rPr>
            </w:pPr>
            <w:r>
              <w:rPr>
                <w:rFonts w:ascii="Arial" w:cs="Arial" w:eastAsia="Arial" w:hAnsi="Arial"/>
                <w:sz w:val="16"/>
                <w:szCs w:val="16"/>
                <w:color w:val="auto"/>
              </w:rPr>
              <w:t>66</w:t>
            </w:r>
          </w:p>
        </w:tc>
        <w:tc>
          <w:tcPr>
            <w:tcW w:w="700" w:type="dxa"/>
            <w:vAlign w:val="bottom"/>
          </w:tcPr>
          <w:p>
            <w:pPr>
              <w:spacing w:after="0"/>
              <w:rPr>
                <w:sz w:val="15"/>
                <w:szCs w:val="15"/>
                <w:color w:val="auto"/>
              </w:rPr>
            </w:pPr>
          </w:p>
        </w:tc>
        <w:tc>
          <w:tcPr>
            <w:tcW w:w="840" w:type="dxa"/>
            <w:vAlign w:val="bottom"/>
          </w:tcPr>
          <w:p>
            <w:pPr>
              <w:jc w:val="right"/>
              <w:ind w:right="159"/>
              <w:spacing w:after="0" w:line="176" w:lineRule="exact"/>
              <w:rPr>
                <w:sz w:val="20"/>
                <w:szCs w:val="20"/>
                <w:color w:val="auto"/>
              </w:rPr>
            </w:pPr>
            <w:r>
              <w:rPr>
                <w:rFonts w:ascii="Arial" w:cs="Arial" w:eastAsia="Arial" w:hAnsi="Arial"/>
                <w:sz w:val="16"/>
                <w:szCs w:val="16"/>
                <w:color w:val="auto"/>
              </w:rPr>
              <w:t>39</w:t>
            </w:r>
          </w:p>
        </w:tc>
        <w:tc>
          <w:tcPr>
            <w:tcW w:w="580" w:type="dxa"/>
            <w:vAlign w:val="bottom"/>
          </w:tcPr>
          <w:p>
            <w:pPr>
              <w:jc w:val="right"/>
              <w:ind w:right="19"/>
              <w:spacing w:after="0" w:line="176" w:lineRule="exact"/>
              <w:rPr>
                <w:sz w:val="20"/>
                <w:szCs w:val="20"/>
                <w:color w:val="auto"/>
              </w:rPr>
            </w:pPr>
            <w:r>
              <w:rPr>
                <w:rFonts w:ascii="Arial" w:cs="Arial" w:eastAsia="Arial" w:hAnsi="Arial"/>
                <w:sz w:val="16"/>
                <w:szCs w:val="16"/>
                <w:color w:val="auto"/>
              </w:rPr>
              <w:t>17</w:t>
            </w:r>
          </w:p>
        </w:tc>
        <w:tc>
          <w:tcPr>
            <w:tcW w:w="3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20" w:type="dxa"/>
            <w:vAlign w:val="bottom"/>
          </w:tcPr>
          <w:p>
            <w:pPr>
              <w:jc w:val="right"/>
              <w:ind w:right="40"/>
              <w:spacing w:after="0" w:line="176" w:lineRule="exact"/>
              <w:rPr>
                <w:sz w:val="20"/>
                <w:szCs w:val="20"/>
                <w:color w:val="auto"/>
              </w:rPr>
            </w:pPr>
            <w:r>
              <w:rPr>
                <w:rFonts w:ascii="Arial" w:cs="Arial" w:eastAsia="Arial" w:hAnsi="Arial"/>
                <w:sz w:val="16"/>
                <w:szCs w:val="16"/>
                <w:color w:val="auto"/>
              </w:rPr>
              <w:t>391</w:t>
            </w:r>
          </w:p>
        </w:tc>
        <w:tc>
          <w:tcPr>
            <w:tcW w:w="560" w:type="dxa"/>
            <w:vAlign w:val="bottom"/>
          </w:tcPr>
          <w:p>
            <w:pPr>
              <w:jc w:val="right"/>
              <w:ind w:right="19"/>
              <w:spacing w:after="0" w:line="176" w:lineRule="exact"/>
              <w:rPr>
                <w:sz w:val="20"/>
                <w:szCs w:val="20"/>
                <w:color w:val="auto"/>
              </w:rPr>
            </w:pPr>
            <w:r>
              <w:rPr>
                <w:rFonts w:ascii="Arial" w:cs="Arial" w:eastAsia="Arial" w:hAnsi="Arial"/>
                <w:sz w:val="16"/>
                <w:szCs w:val="16"/>
                <w:color w:val="auto"/>
              </w:rPr>
              <w:t>51</w:t>
            </w:r>
          </w:p>
        </w:tc>
        <w:tc>
          <w:tcPr>
            <w:tcW w:w="2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20" w:type="dxa"/>
            <w:vAlign w:val="bottom"/>
          </w:tcPr>
          <w:p>
            <w:pPr>
              <w:jc w:val="right"/>
              <w:ind w:right="180"/>
              <w:spacing w:after="0" w:line="176" w:lineRule="exact"/>
              <w:rPr>
                <w:sz w:val="20"/>
                <w:szCs w:val="20"/>
                <w:color w:val="auto"/>
              </w:rPr>
            </w:pPr>
            <w:r>
              <w:rPr>
                <w:rFonts w:ascii="Arial" w:cs="Arial" w:eastAsia="Arial" w:hAnsi="Arial"/>
                <w:sz w:val="16"/>
                <w:szCs w:val="16"/>
                <w:color w:val="auto"/>
              </w:rPr>
              <w:t>77</w:t>
            </w:r>
          </w:p>
        </w:tc>
        <w:tc>
          <w:tcPr>
            <w:tcW w:w="580" w:type="dxa"/>
            <w:vAlign w:val="bottom"/>
          </w:tcPr>
          <w:p>
            <w:pPr>
              <w:jc w:val="right"/>
              <w:ind w:right="19"/>
              <w:spacing w:after="0" w:line="176" w:lineRule="exact"/>
              <w:rPr>
                <w:sz w:val="20"/>
                <w:szCs w:val="20"/>
                <w:color w:val="auto"/>
              </w:rPr>
            </w:pPr>
            <w:r>
              <w:rPr>
                <w:rFonts w:ascii="Arial" w:cs="Arial" w:eastAsia="Arial" w:hAnsi="Arial"/>
                <w:sz w:val="16"/>
                <w:szCs w:val="16"/>
                <w:color w:val="auto"/>
              </w:rPr>
              <w:t>24</w:t>
            </w:r>
          </w:p>
        </w:tc>
        <w:tc>
          <w:tcPr>
            <w:tcW w:w="300" w:type="dxa"/>
            <w:vAlign w:val="bottom"/>
          </w:tcPr>
          <w:p>
            <w:pPr>
              <w:spacing w:after="0"/>
              <w:rPr>
                <w:sz w:val="15"/>
                <w:szCs w:val="15"/>
                <w:color w:val="auto"/>
              </w:rPr>
            </w:pPr>
          </w:p>
        </w:tc>
      </w:tr>
      <w:tr>
        <w:trPr>
          <w:trHeight w:val="176"/>
        </w:trPr>
        <w:tc>
          <w:tcPr>
            <w:tcW w:w="20" w:type="dxa"/>
            <w:vAlign w:val="bottom"/>
          </w:tcPr>
          <w:p>
            <w:pPr>
              <w:spacing w:after="0"/>
              <w:rPr>
                <w:sz w:val="15"/>
                <w:szCs w:val="15"/>
                <w:color w:val="auto"/>
              </w:rPr>
            </w:pPr>
          </w:p>
        </w:tc>
        <w:tc>
          <w:tcPr>
            <w:tcW w:w="2860" w:type="dxa"/>
            <w:vAlign w:val="bottom"/>
          </w:tcPr>
          <w:p>
            <w:pPr>
              <w:ind w:left="120"/>
              <w:spacing w:after="0" w:line="176" w:lineRule="exact"/>
              <w:rPr>
                <w:sz w:val="20"/>
                <w:szCs w:val="20"/>
                <w:color w:val="auto"/>
              </w:rPr>
            </w:pPr>
            <w:r>
              <w:rPr>
                <w:rFonts w:ascii="Arial" w:cs="Arial" w:eastAsia="Arial" w:hAnsi="Arial"/>
                <w:sz w:val="16"/>
                <w:szCs w:val="16"/>
                <w:color w:val="auto"/>
              </w:rPr>
              <w:t>Sempra LNG</w:t>
            </w:r>
          </w:p>
        </w:tc>
        <w:tc>
          <w:tcPr>
            <w:tcW w:w="400" w:type="dxa"/>
            <w:vAlign w:val="bottom"/>
          </w:tcPr>
          <w:p>
            <w:pPr>
              <w:spacing w:after="0"/>
              <w:rPr>
                <w:sz w:val="15"/>
                <w:szCs w:val="15"/>
                <w:color w:val="auto"/>
              </w:rPr>
            </w:pPr>
          </w:p>
        </w:tc>
        <w:tc>
          <w:tcPr>
            <w:tcW w:w="780" w:type="dxa"/>
            <w:vAlign w:val="bottom"/>
          </w:tcPr>
          <w:p>
            <w:pPr>
              <w:jc w:val="right"/>
              <w:ind w:right="99"/>
              <w:spacing w:after="0" w:line="176" w:lineRule="exact"/>
              <w:rPr>
                <w:sz w:val="20"/>
                <w:szCs w:val="20"/>
                <w:color w:val="auto"/>
              </w:rPr>
            </w:pPr>
            <w:r>
              <w:rPr>
                <w:rFonts w:ascii="Arial" w:cs="Arial" w:eastAsia="Arial" w:hAnsi="Arial"/>
                <w:sz w:val="16"/>
                <w:szCs w:val="16"/>
                <w:color w:val="auto"/>
              </w:rPr>
              <w:t>18</w:t>
            </w:r>
          </w:p>
        </w:tc>
        <w:tc>
          <w:tcPr>
            <w:tcW w:w="520" w:type="dxa"/>
            <w:vAlign w:val="bottom"/>
          </w:tcPr>
          <w:p>
            <w:pPr>
              <w:jc w:val="right"/>
              <w:ind w:right="19"/>
              <w:spacing w:after="0" w:line="176" w:lineRule="exact"/>
              <w:rPr>
                <w:sz w:val="20"/>
                <w:szCs w:val="20"/>
                <w:color w:val="auto"/>
              </w:rPr>
            </w:pPr>
            <w:r>
              <w:rPr>
                <w:rFonts w:ascii="Arial" w:cs="Arial" w:eastAsia="Arial" w:hAnsi="Arial"/>
                <w:sz w:val="16"/>
                <w:szCs w:val="16"/>
                <w:color w:val="auto"/>
              </w:rPr>
              <w:t>3</w:t>
            </w:r>
          </w:p>
        </w:tc>
        <w:tc>
          <w:tcPr>
            <w:tcW w:w="700" w:type="dxa"/>
            <w:vAlign w:val="bottom"/>
          </w:tcPr>
          <w:p>
            <w:pPr>
              <w:spacing w:after="0"/>
              <w:rPr>
                <w:sz w:val="15"/>
                <w:szCs w:val="15"/>
                <w:color w:val="auto"/>
              </w:rPr>
            </w:pPr>
          </w:p>
        </w:tc>
        <w:tc>
          <w:tcPr>
            <w:tcW w:w="840" w:type="dxa"/>
            <w:vAlign w:val="bottom"/>
          </w:tcPr>
          <w:p>
            <w:pPr>
              <w:jc w:val="right"/>
              <w:ind w:right="159"/>
              <w:spacing w:after="0" w:line="176" w:lineRule="exact"/>
              <w:rPr>
                <w:sz w:val="20"/>
                <w:szCs w:val="20"/>
                <w:color w:val="auto"/>
              </w:rPr>
            </w:pPr>
            <w:r>
              <w:rPr>
                <w:rFonts w:ascii="Arial" w:cs="Arial" w:eastAsia="Arial" w:hAnsi="Arial"/>
                <w:sz w:val="16"/>
                <w:szCs w:val="16"/>
                <w:color w:val="auto"/>
              </w:rPr>
              <w:t>13</w:t>
            </w:r>
          </w:p>
        </w:tc>
        <w:tc>
          <w:tcPr>
            <w:tcW w:w="580" w:type="dxa"/>
            <w:vAlign w:val="bottom"/>
          </w:tcPr>
          <w:p>
            <w:pPr>
              <w:jc w:val="right"/>
              <w:ind w:right="19"/>
              <w:spacing w:after="0" w:line="176" w:lineRule="exact"/>
              <w:rPr>
                <w:sz w:val="20"/>
                <w:szCs w:val="20"/>
                <w:color w:val="auto"/>
              </w:rPr>
            </w:pPr>
            <w:r>
              <w:rPr>
                <w:rFonts w:ascii="Arial" w:cs="Arial" w:eastAsia="Arial" w:hAnsi="Arial"/>
                <w:sz w:val="16"/>
                <w:szCs w:val="16"/>
                <w:color w:val="auto"/>
              </w:rPr>
              <w:t>6</w:t>
            </w:r>
          </w:p>
        </w:tc>
        <w:tc>
          <w:tcPr>
            <w:tcW w:w="3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20" w:type="dxa"/>
            <w:vAlign w:val="bottom"/>
          </w:tcPr>
          <w:p>
            <w:pPr>
              <w:jc w:val="right"/>
              <w:ind w:right="40"/>
              <w:spacing w:after="0" w:line="176" w:lineRule="exact"/>
              <w:rPr>
                <w:sz w:val="20"/>
                <w:szCs w:val="20"/>
                <w:color w:val="auto"/>
              </w:rPr>
            </w:pPr>
            <w:r>
              <w:rPr>
                <w:rFonts w:ascii="Arial" w:cs="Arial" w:eastAsia="Arial" w:hAnsi="Arial"/>
                <w:sz w:val="16"/>
                <w:szCs w:val="16"/>
                <w:color w:val="auto"/>
              </w:rPr>
              <w:t>51</w:t>
            </w:r>
          </w:p>
        </w:tc>
        <w:tc>
          <w:tcPr>
            <w:tcW w:w="560" w:type="dxa"/>
            <w:vAlign w:val="bottom"/>
          </w:tcPr>
          <w:p>
            <w:pPr>
              <w:jc w:val="right"/>
              <w:ind w:right="19"/>
              <w:spacing w:after="0" w:line="176" w:lineRule="exact"/>
              <w:rPr>
                <w:sz w:val="20"/>
                <w:szCs w:val="20"/>
                <w:color w:val="auto"/>
              </w:rPr>
            </w:pPr>
            <w:r>
              <w:rPr>
                <w:rFonts w:ascii="Arial" w:cs="Arial" w:eastAsia="Arial" w:hAnsi="Arial"/>
                <w:sz w:val="16"/>
                <w:szCs w:val="16"/>
                <w:color w:val="auto"/>
              </w:rPr>
              <w:t>7</w:t>
            </w:r>
          </w:p>
        </w:tc>
        <w:tc>
          <w:tcPr>
            <w:tcW w:w="2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20" w:type="dxa"/>
            <w:vAlign w:val="bottom"/>
          </w:tcPr>
          <w:p>
            <w:pPr>
              <w:jc w:val="right"/>
              <w:ind w:right="180"/>
              <w:spacing w:after="0" w:line="176" w:lineRule="exact"/>
              <w:rPr>
                <w:sz w:val="20"/>
                <w:szCs w:val="20"/>
                <w:color w:val="auto"/>
              </w:rPr>
            </w:pPr>
            <w:r>
              <w:rPr>
                <w:rFonts w:ascii="Arial" w:cs="Arial" w:eastAsia="Arial" w:hAnsi="Arial"/>
                <w:sz w:val="16"/>
                <w:szCs w:val="16"/>
                <w:color w:val="auto"/>
              </w:rPr>
              <w:t>45</w:t>
            </w:r>
          </w:p>
        </w:tc>
        <w:tc>
          <w:tcPr>
            <w:tcW w:w="580" w:type="dxa"/>
            <w:vAlign w:val="bottom"/>
          </w:tcPr>
          <w:p>
            <w:pPr>
              <w:jc w:val="right"/>
              <w:ind w:right="19"/>
              <w:spacing w:after="0" w:line="176" w:lineRule="exact"/>
              <w:rPr>
                <w:sz w:val="20"/>
                <w:szCs w:val="20"/>
                <w:color w:val="auto"/>
              </w:rPr>
            </w:pPr>
            <w:r>
              <w:rPr>
                <w:rFonts w:ascii="Arial" w:cs="Arial" w:eastAsia="Arial" w:hAnsi="Arial"/>
                <w:sz w:val="16"/>
                <w:szCs w:val="16"/>
                <w:color w:val="auto"/>
              </w:rPr>
              <w:t>14</w:t>
            </w:r>
          </w:p>
        </w:tc>
        <w:tc>
          <w:tcPr>
            <w:tcW w:w="300" w:type="dxa"/>
            <w:vAlign w:val="bottom"/>
          </w:tcPr>
          <w:p>
            <w:pPr>
              <w:spacing w:after="0"/>
              <w:rPr>
                <w:sz w:val="15"/>
                <w:szCs w:val="15"/>
                <w:color w:val="auto"/>
              </w:rPr>
            </w:pPr>
          </w:p>
        </w:tc>
      </w:tr>
      <w:tr>
        <w:trPr>
          <w:trHeight w:val="194"/>
        </w:trPr>
        <w:tc>
          <w:tcPr>
            <w:tcW w:w="20" w:type="dxa"/>
            <w:vAlign w:val="bottom"/>
          </w:tcPr>
          <w:p>
            <w:pPr>
              <w:spacing w:after="0"/>
              <w:rPr>
                <w:sz w:val="16"/>
                <w:szCs w:val="16"/>
                <w:color w:val="auto"/>
              </w:rPr>
            </w:pPr>
          </w:p>
        </w:tc>
        <w:tc>
          <w:tcPr>
            <w:tcW w:w="2860" w:type="dxa"/>
            <w:vAlign w:val="bottom"/>
          </w:tcPr>
          <w:p>
            <w:pPr>
              <w:ind w:left="120"/>
              <w:spacing w:after="0"/>
              <w:rPr>
                <w:sz w:val="20"/>
                <w:szCs w:val="20"/>
                <w:color w:val="auto"/>
              </w:rPr>
            </w:pPr>
            <w:r>
              <w:rPr>
                <w:rFonts w:ascii="Arial" w:cs="Arial" w:eastAsia="Arial" w:hAnsi="Arial"/>
                <w:sz w:val="16"/>
                <w:szCs w:val="16"/>
                <w:color w:val="auto"/>
              </w:rPr>
              <w:t>All other</w:t>
            </w:r>
          </w:p>
        </w:tc>
        <w:tc>
          <w:tcPr>
            <w:tcW w:w="40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(24)</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w:t>
            </w:r>
          </w:p>
        </w:tc>
        <w:tc>
          <w:tcPr>
            <w:tcW w:w="7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(26)</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w:t>
            </w:r>
          </w:p>
        </w:tc>
        <w:tc>
          <w:tcPr>
            <w:tcW w:w="30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(54)</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w:t>
            </w:r>
          </w:p>
        </w:tc>
        <w:tc>
          <w:tcPr>
            <w:tcW w:w="26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140"/>
              <w:spacing w:after="0"/>
              <w:rPr>
                <w:sz w:val="20"/>
                <w:szCs w:val="20"/>
                <w:color w:val="auto"/>
              </w:rPr>
            </w:pPr>
            <w:r>
              <w:rPr>
                <w:rFonts w:ascii="Arial" w:cs="Arial" w:eastAsia="Arial" w:hAnsi="Arial"/>
                <w:sz w:val="16"/>
                <w:szCs w:val="16"/>
                <w:color w:val="auto"/>
              </w:rPr>
              <w:t>(87)</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w:t>
            </w:r>
          </w:p>
        </w:tc>
        <w:tc>
          <w:tcPr>
            <w:tcW w:w="300" w:type="dxa"/>
            <w:vAlign w:val="bottom"/>
            <w:tcBorders>
              <w:bottom w:val="single" w:sz="8" w:color="auto"/>
            </w:tcBorders>
          </w:tcPr>
          <w:p>
            <w:pPr>
              <w:spacing w:after="0"/>
              <w:rPr>
                <w:sz w:val="16"/>
                <w:szCs w:val="16"/>
                <w:color w:val="auto"/>
              </w:rPr>
            </w:pPr>
          </w:p>
        </w:tc>
      </w:tr>
      <w:tr>
        <w:trPr>
          <w:trHeight w:val="183"/>
        </w:trPr>
        <w:tc>
          <w:tcPr>
            <w:tcW w:w="20" w:type="dxa"/>
            <w:vAlign w:val="bottom"/>
          </w:tcPr>
          <w:p>
            <w:pPr>
              <w:spacing w:after="0"/>
              <w:rPr>
                <w:sz w:val="15"/>
                <w:szCs w:val="15"/>
                <w:color w:val="auto"/>
              </w:rPr>
            </w:pPr>
          </w:p>
        </w:tc>
        <w:tc>
          <w:tcPr>
            <w:tcW w:w="2860" w:type="dxa"/>
            <w:vAlign w:val="bottom"/>
            <w:tcBorders>
              <w:bottom w:val="single" w:sz="8" w:color="auto"/>
            </w:tcBorders>
          </w:tcPr>
          <w:p>
            <w:pPr>
              <w:ind w:left="300"/>
              <w:spacing w:after="0" w:line="176" w:lineRule="exact"/>
              <w:rPr>
                <w:sz w:val="20"/>
                <w:szCs w:val="20"/>
                <w:color w:val="auto"/>
              </w:rPr>
            </w:pPr>
            <w:r>
              <w:rPr>
                <w:rFonts w:ascii="Arial" w:cs="Arial" w:eastAsia="Arial" w:hAnsi="Arial"/>
                <w:sz w:val="16"/>
                <w:szCs w:val="16"/>
                <w:color w:val="auto"/>
              </w:rPr>
              <w:t>Total</w:t>
            </w:r>
          </w:p>
        </w:tc>
        <w:tc>
          <w:tcPr>
            <w:tcW w:w="400" w:type="dxa"/>
            <w:vAlign w:val="bottom"/>
            <w:tcBorders>
              <w:bottom w:val="single" w:sz="8" w:color="auto"/>
            </w:tcBorders>
          </w:tcPr>
          <w:p>
            <w:pPr>
              <w:jc w:val="right"/>
              <w:ind w:right="244"/>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tcPr>
          <w:p>
            <w:pPr>
              <w:jc w:val="right"/>
              <w:ind w:right="99"/>
              <w:spacing w:after="0" w:line="176" w:lineRule="exact"/>
              <w:rPr>
                <w:sz w:val="20"/>
                <w:szCs w:val="20"/>
                <w:color w:val="auto"/>
              </w:rPr>
            </w:pPr>
            <w:r>
              <w:rPr>
                <w:rFonts w:ascii="Arial" w:cs="Arial" w:eastAsia="Arial" w:hAnsi="Arial"/>
                <w:sz w:val="16"/>
                <w:szCs w:val="16"/>
                <w:color w:val="auto"/>
              </w:rPr>
              <w:t>511</w:t>
            </w:r>
          </w:p>
        </w:tc>
        <w:tc>
          <w:tcPr>
            <w:tcW w:w="520" w:type="dxa"/>
            <w:vAlign w:val="bottom"/>
            <w:tcBorders>
              <w:bottom w:val="single" w:sz="8" w:color="auto"/>
            </w:tcBorders>
          </w:tcPr>
          <w:p>
            <w:pPr>
              <w:jc w:val="right"/>
              <w:ind w:right="19"/>
              <w:spacing w:after="0" w:line="176" w:lineRule="exact"/>
              <w:rPr>
                <w:sz w:val="20"/>
                <w:szCs w:val="20"/>
                <w:color w:val="auto"/>
              </w:rPr>
            </w:pPr>
            <w:r>
              <w:rPr>
                <w:rFonts w:ascii="Arial" w:cs="Arial" w:eastAsia="Arial" w:hAnsi="Arial"/>
                <w:sz w:val="16"/>
                <w:szCs w:val="16"/>
                <w:color w:val="auto"/>
              </w:rPr>
              <w:t>100</w:t>
            </w:r>
          </w:p>
        </w:tc>
        <w:tc>
          <w:tcPr>
            <w:tcW w:w="700" w:type="dxa"/>
            <w:vAlign w:val="bottom"/>
            <w:tcBorders>
              <w:bottom w:val="single" w:sz="8" w:color="auto"/>
            </w:tcBorders>
          </w:tcPr>
          <w:p>
            <w:pPr>
              <w:jc w:val="right"/>
              <w:ind w:right="239"/>
              <w:spacing w:after="0" w:line="176" w:lineRule="exact"/>
              <w:rPr>
                <w:sz w:val="20"/>
                <w:szCs w:val="20"/>
                <w:color w:val="auto"/>
              </w:rPr>
            </w:pPr>
            <w:r>
              <w:rPr>
                <w:rFonts w:ascii="Arial" w:cs="Arial" w:eastAsia="Arial" w:hAnsi="Arial"/>
                <w:sz w:val="16"/>
                <w:szCs w:val="16"/>
                <w:color w:val="auto"/>
              </w:rPr>
              <w:t>% $</w:t>
            </w:r>
          </w:p>
        </w:tc>
        <w:tc>
          <w:tcPr>
            <w:tcW w:w="840" w:type="dxa"/>
            <w:vAlign w:val="bottom"/>
            <w:tcBorders>
              <w:bottom w:val="single" w:sz="8" w:color="auto"/>
            </w:tcBorders>
          </w:tcPr>
          <w:p>
            <w:pPr>
              <w:jc w:val="right"/>
              <w:ind w:right="159"/>
              <w:spacing w:after="0" w:line="176" w:lineRule="exact"/>
              <w:rPr>
                <w:sz w:val="20"/>
                <w:szCs w:val="20"/>
                <w:color w:val="auto"/>
              </w:rPr>
            </w:pPr>
            <w:r>
              <w:rPr>
                <w:rFonts w:ascii="Arial" w:cs="Arial" w:eastAsia="Arial" w:hAnsi="Arial"/>
                <w:sz w:val="16"/>
                <w:szCs w:val="16"/>
                <w:color w:val="auto"/>
              </w:rPr>
              <w:t>222</w:t>
            </w:r>
          </w:p>
        </w:tc>
        <w:tc>
          <w:tcPr>
            <w:tcW w:w="580" w:type="dxa"/>
            <w:vAlign w:val="bottom"/>
            <w:tcBorders>
              <w:bottom w:val="single" w:sz="8" w:color="auto"/>
            </w:tcBorders>
          </w:tcPr>
          <w:p>
            <w:pPr>
              <w:jc w:val="right"/>
              <w:ind w:right="19"/>
              <w:spacing w:after="0" w:line="176" w:lineRule="exact"/>
              <w:rPr>
                <w:sz w:val="20"/>
                <w:szCs w:val="20"/>
                <w:color w:val="auto"/>
              </w:rPr>
            </w:pPr>
            <w:r>
              <w:rPr>
                <w:rFonts w:ascii="Arial" w:cs="Arial" w:eastAsia="Arial" w:hAnsi="Arial"/>
                <w:sz w:val="16"/>
                <w:szCs w:val="16"/>
                <w:color w:val="auto"/>
              </w:rPr>
              <w:t>100</w:t>
            </w:r>
          </w:p>
        </w:tc>
        <w:tc>
          <w:tcPr>
            <w:tcW w:w="640" w:type="dxa"/>
            <w:vAlign w:val="bottom"/>
            <w:tcBorders>
              <w:bottom w:val="single" w:sz="8" w:color="auto"/>
            </w:tcBorders>
            <w:gridSpan w:val="2"/>
          </w:tcPr>
          <w:p>
            <w:pPr>
              <w:jc w:val="right"/>
              <w:ind w:right="184"/>
              <w:spacing w:after="0" w:line="176" w:lineRule="exact"/>
              <w:rPr>
                <w:sz w:val="20"/>
                <w:szCs w:val="20"/>
                <w:color w:val="auto"/>
              </w:rPr>
            </w:pPr>
            <w:r>
              <w:rPr>
                <w:rFonts w:ascii="Arial" w:cs="Arial" w:eastAsia="Arial" w:hAnsi="Arial"/>
                <w:sz w:val="16"/>
                <w:szCs w:val="16"/>
                <w:color w:val="auto"/>
              </w:rPr>
              <w:t>% $</w:t>
            </w:r>
          </w:p>
        </w:tc>
        <w:tc>
          <w:tcPr>
            <w:tcW w:w="920" w:type="dxa"/>
            <w:vAlign w:val="bottom"/>
            <w:tcBorders>
              <w:bottom w:val="single" w:sz="8" w:color="auto"/>
            </w:tcBorders>
          </w:tcPr>
          <w:p>
            <w:pPr>
              <w:jc w:val="right"/>
              <w:ind w:right="40"/>
              <w:spacing w:after="0" w:line="176" w:lineRule="exact"/>
              <w:rPr>
                <w:sz w:val="20"/>
                <w:szCs w:val="20"/>
                <w:color w:val="auto"/>
              </w:rPr>
            </w:pPr>
            <w:r>
              <w:rPr>
                <w:rFonts w:ascii="Arial" w:cs="Arial" w:eastAsia="Arial" w:hAnsi="Arial"/>
                <w:sz w:val="16"/>
                <w:szCs w:val="16"/>
                <w:color w:val="auto"/>
              </w:rPr>
              <w:t>769</w:t>
            </w:r>
          </w:p>
        </w:tc>
        <w:tc>
          <w:tcPr>
            <w:tcW w:w="560" w:type="dxa"/>
            <w:vAlign w:val="bottom"/>
            <w:tcBorders>
              <w:bottom w:val="single" w:sz="8" w:color="auto"/>
            </w:tcBorders>
          </w:tcPr>
          <w:p>
            <w:pPr>
              <w:jc w:val="right"/>
              <w:ind w:right="19"/>
              <w:spacing w:after="0" w:line="176" w:lineRule="exact"/>
              <w:rPr>
                <w:sz w:val="20"/>
                <w:szCs w:val="20"/>
                <w:color w:val="auto"/>
              </w:rPr>
            </w:pPr>
            <w:r>
              <w:rPr>
                <w:rFonts w:ascii="Arial" w:cs="Arial" w:eastAsia="Arial" w:hAnsi="Arial"/>
                <w:sz w:val="16"/>
                <w:szCs w:val="16"/>
                <w:color w:val="auto"/>
              </w:rPr>
              <w:t>100</w:t>
            </w:r>
          </w:p>
        </w:tc>
        <w:tc>
          <w:tcPr>
            <w:tcW w:w="26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6"/>
                <w:szCs w:val="16"/>
                <w:color w:val="auto"/>
              </w:rPr>
              <w:t>%</w:t>
            </w:r>
          </w:p>
        </w:tc>
        <w:tc>
          <w:tcPr>
            <w:tcW w:w="340" w:type="dxa"/>
            <w:vAlign w:val="bottom"/>
            <w:tcBorders>
              <w:bottom w:val="single" w:sz="8" w:color="auto"/>
            </w:tcBorders>
          </w:tcPr>
          <w:p>
            <w:pPr>
              <w:jc w:val="right"/>
              <w:ind w:right="119"/>
              <w:spacing w:after="0" w:line="176" w:lineRule="exact"/>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tcPr>
          <w:p>
            <w:pPr>
              <w:jc w:val="right"/>
              <w:ind w:right="180"/>
              <w:spacing w:after="0" w:line="176" w:lineRule="exact"/>
              <w:rPr>
                <w:sz w:val="20"/>
                <w:szCs w:val="20"/>
                <w:color w:val="auto"/>
              </w:rPr>
            </w:pPr>
            <w:r>
              <w:rPr>
                <w:rFonts w:ascii="Arial" w:cs="Arial" w:eastAsia="Arial" w:hAnsi="Arial"/>
                <w:sz w:val="16"/>
                <w:szCs w:val="16"/>
                <w:color w:val="auto"/>
              </w:rPr>
              <w:t>328</w:t>
            </w:r>
          </w:p>
        </w:tc>
        <w:tc>
          <w:tcPr>
            <w:tcW w:w="580" w:type="dxa"/>
            <w:vAlign w:val="bottom"/>
            <w:tcBorders>
              <w:bottom w:val="single" w:sz="8" w:color="auto"/>
            </w:tcBorders>
          </w:tcPr>
          <w:p>
            <w:pPr>
              <w:jc w:val="right"/>
              <w:ind w:right="19"/>
              <w:spacing w:after="0" w:line="176" w:lineRule="exact"/>
              <w:rPr>
                <w:sz w:val="20"/>
                <w:szCs w:val="20"/>
                <w:color w:val="auto"/>
              </w:rPr>
            </w:pPr>
            <w:r>
              <w:rPr>
                <w:rFonts w:ascii="Arial" w:cs="Arial" w:eastAsia="Arial" w:hAnsi="Arial"/>
                <w:sz w:val="16"/>
                <w:szCs w:val="16"/>
                <w:color w:val="auto"/>
              </w:rPr>
              <w:t>100</w:t>
            </w:r>
          </w:p>
        </w:tc>
        <w:tc>
          <w:tcPr>
            <w:tcW w:w="300" w:type="dxa"/>
            <w:vAlign w:val="bottom"/>
            <w:tcBorders>
              <w:bottom w:val="single" w:sz="8" w:color="auto"/>
            </w:tcBorders>
          </w:tcPr>
          <w:p>
            <w:pPr>
              <w:jc w:val="right"/>
              <w:ind w:right="39"/>
              <w:spacing w:after="0" w:line="176" w:lineRule="exact"/>
              <w:rPr>
                <w:sz w:val="20"/>
                <w:szCs w:val="20"/>
                <w:color w:val="auto"/>
              </w:rPr>
            </w:pPr>
            <w:r>
              <w:rPr>
                <w:rFonts w:ascii="Arial" w:cs="Arial" w:eastAsia="Arial" w:hAnsi="Arial"/>
                <w:sz w:val="16"/>
                <w:szCs w:val="16"/>
                <w:color w:val="auto"/>
              </w:rPr>
              <w:t>%</w:t>
            </w:r>
          </w:p>
        </w:tc>
      </w:tr>
      <w:tr>
        <w:trPr>
          <w:trHeight w:val="183"/>
        </w:trPr>
        <w:tc>
          <w:tcPr>
            <w:tcW w:w="20" w:type="dxa"/>
            <w:vAlign w:val="bottom"/>
          </w:tcPr>
          <w:p>
            <w:pPr>
              <w:spacing w:after="0"/>
              <w:rPr>
                <w:sz w:val="15"/>
                <w:szCs w:val="15"/>
                <w:color w:val="auto"/>
              </w:rPr>
            </w:pPr>
          </w:p>
        </w:tc>
        <w:tc>
          <w:tcPr>
            <w:tcW w:w="28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2280" w:type="dxa"/>
            <w:vAlign w:val="bottom"/>
            <w:tcBorders>
              <w:bottom w:val="single" w:sz="8" w:color="auto"/>
            </w:tcBorders>
            <w:gridSpan w:val="4"/>
          </w:tcPr>
          <w:p>
            <w:pPr>
              <w:jc w:val="right"/>
              <w:ind w:right="380"/>
              <w:spacing w:after="0"/>
              <w:rPr>
                <w:sz w:val="20"/>
                <w:szCs w:val="20"/>
                <w:color w:val="auto"/>
              </w:rPr>
            </w:pPr>
            <w:r>
              <w:rPr>
                <w:rFonts w:ascii="Arial" w:cs="Arial" w:eastAsia="Arial" w:hAnsi="Arial"/>
                <w:sz w:val="14"/>
                <w:szCs w:val="14"/>
                <w:color w:val="auto"/>
              </w:rPr>
              <w:t>Six months ended June 30,</w:t>
            </w:r>
          </w:p>
        </w:tc>
        <w:tc>
          <w:tcPr>
            <w:tcW w:w="58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r>
      <w:tr>
        <w:trPr>
          <w:trHeight w:val="210"/>
        </w:trPr>
        <w:tc>
          <w:tcPr>
            <w:tcW w:w="20" w:type="dxa"/>
            <w:vAlign w:val="bottom"/>
          </w:tcPr>
          <w:p>
            <w:pPr>
              <w:spacing w:after="0"/>
              <w:rPr>
                <w:sz w:val="18"/>
                <w:szCs w:val="18"/>
                <w:color w:val="auto"/>
              </w:rPr>
            </w:pPr>
          </w:p>
        </w:tc>
        <w:tc>
          <w:tcPr>
            <w:tcW w:w="286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40"/>
              <w:spacing w:after="0"/>
              <w:rPr>
                <w:sz w:val="20"/>
                <w:szCs w:val="20"/>
                <w:color w:val="auto"/>
              </w:rPr>
            </w:pPr>
            <w:r>
              <w:rPr>
                <w:rFonts w:ascii="Arial" w:cs="Arial" w:eastAsia="Arial" w:hAnsi="Arial"/>
                <w:sz w:val="14"/>
                <w:szCs w:val="14"/>
                <w:color w:val="auto"/>
              </w:rPr>
              <w:t>2011</w:t>
            </w:r>
          </w:p>
        </w:tc>
        <w:tc>
          <w:tcPr>
            <w:tcW w:w="56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120"/>
              <w:spacing w:after="0"/>
              <w:rPr>
                <w:sz w:val="20"/>
                <w:szCs w:val="20"/>
                <w:color w:val="auto"/>
              </w:rPr>
            </w:pPr>
            <w:r>
              <w:rPr>
                <w:rFonts w:ascii="Arial" w:cs="Arial" w:eastAsia="Arial" w:hAnsi="Arial"/>
                <w:sz w:val="14"/>
                <w:szCs w:val="14"/>
                <w:color w:val="auto"/>
              </w:rPr>
              <w:t>2010</w:t>
            </w:r>
          </w:p>
        </w:tc>
        <w:tc>
          <w:tcPr>
            <w:tcW w:w="58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r>
      <w:tr>
        <w:trPr>
          <w:trHeight w:val="164"/>
        </w:trPr>
        <w:tc>
          <w:tcPr>
            <w:tcW w:w="20" w:type="dxa"/>
            <w:vAlign w:val="bottom"/>
          </w:tcPr>
          <w:p>
            <w:pPr>
              <w:spacing w:after="0"/>
              <w:rPr>
                <w:sz w:val="14"/>
                <w:szCs w:val="14"/>
                <w:color w:val="auto"/>
              </w:rPr>
            </w:pPr>
          </w:p>
        </w:tc>
        <w:tc>
          <w:tcPr>
            <w:tcW w:w="4560" w:type="dxa"/>
            <w:vAlign w:val="bottom"/>
            <w:gridSpan w:val="4"/>
          </w:tcPr>
          <w:p>
            <w:pPr>
              <w:spacing w:after="0" w:line="164" w:lineRule="exact"/>
              <w:rPr>
                <w:sz w:val="20"/>
                <w:szCs w:val="20"/>
                <w:color w:val="auto"/>
              </w:rPr>
            </w:pPr>
            <w:r>
              <w:rPr>
                <w:rFonts w:ascii="Arial" w:cs="Arial" w:eastAsia="Arial" w:hAnsi="Arial"/>
                <w:sz w:val="16"/>
                <w:szCs w:val="16"/>
                <w:color w:val="auto"/>
              </w:rPr>
              <w:t>EXPENDITURES FOR PROPERTY PLANT &amp; EQUIPMENT</w:t>
            </w:r>
          </w:p>
        </w:tc>
        <w:tc>
          <w:tcPr>
            <w:tcW w:w="7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r>
      <w:tr>
        <w:trPr>
          <w:trHeight w:val="176"/>
        </w:trPr>
        <w:tc>
          <w:tcPr>
            <w:tcW w:w="20" w:type="dxa"/>
            <w:vAlign w:val="bottom"/>
          </w:tcPr>
          <w:p>
            <w:pPr>
              <w:spacing w:after="0"/>
              <w:rPr>
                <w:sz w:val="15"/>
                <w:szCs w:val="15"/>
                <w:color w:val="auto"/>
              </w:rPr>
            </w:pPr>
          </w:p>
        </w:tc>
        <w:tc>
          <w:tcPr>
            <w:tcW w:w="2860" w:type="dxa"/>
            <w:vAlign w:val="bottom"/>
          </w:tcPr>
          <w:p>
            <w:pPr>
              <w:ind w:left="120"/>
              <w:spacing w:after="0" w:line="176" w:lineRule="exact"/>
              <w:rPr>
                <w:sz w:val="20"/>
                <w:szCs w:val="20"/>
                <w:color w:val="auto"/>
              </w:rPr>
            </w:pPr>
            <w:r>
              <w:rPr>
                <w:rFonts w:ascii="Arial" w:cs="Arial" w:eastAsia="Arial" w:hAnsi="Arial"/>
                <w:sz w:val="16"/>
                <w:szCs w:val="16"/>
                <w:color w:val="auto"/>
              </w:rPr>
              <w:t>SDG&amp;E</w:t>
            </w:r>
          </w:p>
        </w:tc>
        <w:tc>
          <w:tcPr>
            <w:tcW w:w="4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40" w:type="dxa"/>
            <w:vAlign w:val="bottom"/>
            <w:gridSpan w:val="2"/>
          </w:tcPr>
          <w:p>
            <w:pPr>
              <w:jc w:val="right"/>
              <w:ind w:right="184"/>
              <w:spacing w:after="0" w:line="176" w:lineRule="exact"/>
              <w:rPr>
                <w:sz w:val="20"/>
                <w:szCs w:val="20"/>
                <w:color w:val="auto"/>
              </w:rPr>
            </w:pPr>
            <w:r>
              <w:rPr>
                <w:rFonts w:ascii="Arial" w:cs="Arial" w:eastAsia="Arial" w:hAnsi="Arial"/>
                <w:sz w:val="16"/>
                <w:szCs w:val="16"/>
                <w:color w:val="auto"/>
              </w:rPr>
              <w:t>$</w:t>
            </w:r>
          </w:p>
        </w:tc>
        <w:tc>
          <w:tcPr>
            <w:tcW w:w="920" w:type="dxa"/>
            <w:vAlign w:val="bottom"/>
          </w:tcPr>
          <w:p>
            <w:pPr>
              <w:jc w:val="right"/>
              <w:ind w:right="40"/>
              <w:spacing w:after="0" w:line="176" w:lineRule="exact"/>
              <w:rPr>
                <w:sz w:val="20"/>
                <w:szCs w:val="20"/>
                <w:color w:val="auto"/>
              </w:rPr>
            </w:pPr>
            <w:r>
              <w:rPr>
                <w:rFonts w:ascii="Arial" w:cs="Arial" w:eastAsia="Arial" w:hAnsi="Arial"/>
                <w:sz w:val="16"/>
                <w:szCs w:val="16"/>
                <w:color w:val="auto"/>
              </w:rPr>
              <w:t>714</w:t>
            </w:r>
          </w:p>
        </w:tc>
        <w:tc>
          <w:tcPr>
            <w:tcW w:w="560" w:type="dxa"/>
            <w:vAlign w:val="bottom"/>
          </w:tcPr>
          <w:p>
            <w:pPr>
              <w:jc w:val="right"/>
              <w:ind w:right="19"/>
              <w:spacing w:after="0" w:line="176" w:lineRule="exact"/>
              <w:rPr>
                <w:sz w:val="20"/>
                <w:szCs w:val="20"/>
                <w:color w:val="auto"/>
              </w:rPr>
            </w:pPr>
            <w:r>
              <w:rPr>
                <w:rFonts w:ascii="Arial" w:cs="Arial" w:eastAsia="Arial" w:hAnsi="Arial"/>
                <w:sz w:val="16"/>
                <w:szCs w:val="16"/>
                <w:color w:val="auto"/>
              </w:rPr>
              <w:t>58</w:t>
            </w:r>
          </w:p>
        </w:tc>
        <w:tc>
          <w:tcPr>
            <w:tcW w:w="600" w:type="dxa"/>
            <w:vAlign w:val="bottom"/>
            <w:gridSpan w:val="2"/>
          </w:tcPr>
          <w:p>
            <w:pPr>
              <w:jc w:val="right"/>
              <w:ind w:right="119"/>
              <w:spacing w:after="0" w:line="176" w:lineRule="exact"/>
              <w:rPr>
                <w:sz w:val="20"/>
                <w:szCs w:val="20"/>
                <w:color w:val="auto"/>
              </w:rPr>
            </w:pPr>
            <w:r>
              <w:rPr>
                <w:rFonts w:ascii="Arial" w:cs="Arial" w:eastAsia="Arial" w:hAnsi="Arial"/>
                <w:sz w:val="16"/>
                <w:szCs w:val="16"/>
                <w:color w:val="auto"/>
              </w:rPr>
              <w:t>% $</w:t>
            </w:r>
          </w:p>
        </w:tc>
        <w:tc>
          <w:tcPr>
            <w:tcW w:w="1120" w:type="dxa"/>
            <w:vAlign w:val="bottom"/>
          </w:tcPr>
          <w:p>
            <w:pPr>
              <w:jc w:val="right"/>
              <w:ind w:right="180"/>
              <w:spacing w:after="0" w:line="176" w:lineRule="exact"/>
              <w:rPr>
                <w:sz w:val="20"/>
                <w:szCs w:val="20"/>
                <w:color w:val="auto"/>
              </w:rPr>
            </w:pPr>
            <w:r>
              <w:rPr>
                <w:rFonts w:ascii="Arial" w:cs="Arial" w:eastAsia="Arial" w:hAnsi="Arial"/>
                <w:sz w:val="16"/>
                <w:szCs w:val="16"/>
                <w:color w:val="auto"/>
              </w:rPr>
              <w:t>522</w:t>
            </w:r>
          </w:p>
        </w:tc>
        <w:tc>
          <w:tcPr>
            <w:tcW w:w="580" w:type="dxa"/>
            <w:vAlign w:val="bottom"/>
          </w:tcPr>
          <w:p>
            <w:pPr>
              <w:jc w:val="right"/>
              <w:ind w:right="19"/>
              <w:spacing w:after="0" w:line="176" w:lineRule="exact"/>
              <w:rPr>
                <w:sz w:val="20"/>
                <w:szCs w:val="20"/>
                <w:color w:val="auto"/>
              </w:rPr>
            </w:pPr>
            <w:r>
              <w:rPr>
                <w:rFonts w:ascii="Arial" w:cs="Arial" w:eastAsia="Arial" w:hAnsi="Arial"/>
                <w:sz w:val="16"/>
                <w:szCs w:val="16"/>
                <w:color w:val="auto"/>
              </w:rPr>
              <w:t>62</w:t>
            </w:r>
          </w:p>
        </w:tc>
        <w:tc>
          <w:tcPr>
            <w:tcW w:w="300" w:type="dxa"/>
            <w:vAlign w:val="bottom"/>
          </w:tcPr>
          <w:p>
            <w:pPr>
              <w:jc w:val="right"/>
              <w:ind w:right="39"/>
              <w:spacing w:after="0" w:line="176" w:lineRule="exact"/>
              <w:rPr>
                <w:sz w:val="20"/>
                <w:szCs w:val="20"/>
                <w:color w:val="auto"/>
              </w:rPr>
            </w:pPr>
            <w:r>
              <w:rPr>
                <w:rFonts w:ascii="Arial" w:cs="Arial" w:eastAsia="Arial" w:hAnsi="Arial"/>
                <w:sz w:val="16"/>
                <w:szCs w:val="16"/>
                <w:color w:val="auto"/>
              </w:rPr>
              <w:t>%</w:t>
            </w:r>
          </w:p>
        </w:tc>
      </w:tr>
      <w:tr>
        <w:trPr>
          <w:trHeight w:val="176"/>
        </w:trPr>
        <w:tc>
          <w:tcPr>
            <w:tcW w:w="20" w:type="dxa"/>
            <w:vAlign w:val="bottom"/>
          </w:tcPr>
          <w:p>
            <w:pPr>
              <w:spacing w:after="0"/>
              <w:rPr>
                <w:sz w:val="15"/>
                <w:szCs w:val="15"/>
                <w:color w:val="auto"/>
              </w:rPr>
            </w:pPr>
          </w:p>
        </w:tc>
        <w:tc>
          <w:tcPr>
            <w:tcW w:w="2860" w:type="dxa"/>
            <w:vAlign w:val="bottom"/>
          </w:tcPr>
          <w:p>
            <w:pPr>
              <w:ind w:left="120"/>
              <w:spacing w:after="0" w:line="176" w:lineRule="exact"/>
              <w:rPr>
                <w:sz w:val="20"/>
                <w:szCs w:val="20"/>
                <w:color w:val="auto"/>
              </w:rPr>
            </w:pPr>
            <w:r>
              <w:rPr>
                <w:rFonts w:ascii="Arial" w:cs="Arial" w:eastAsia="Arial" w:hAnsi="Arial"/>
                <w:sz w:val="16"/>
                <w:szCs w:val="16"/>
                <w:color w:val="auto"/>
              </w:rPr>
              <w:t>SoCalGas</w:t>
            </w:r>
          </w:p>
        </w:tc>
        <w:tc>
          <w:tcPr>
            <w:tcW w:w="4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20" w:type="dxa"/>
            <w:vAlign w:val="bottom"/>
          </w:tcPr>
          <w:p>
            <w:pPr>
              <w:jc w:val="right"/>
              <w:ind w:right="40"/>
              <w:spacing w:after="0" w:line="176" w:lineRule="exact"/>
              <w:rPr>
                <w:sz w:val="20"/>
                <w:szCs w:val="20"/>
                <w:color w:val="auto"/>
              </w:rPr>
            </w:pPr>
            <w:r>
              <w:rPr>
                <w:rFonts w:ascii="Arial" w:cs="Arial" w:eastAsia="Arial" w:hAnsi="Arial"/>
                <w:sz w:val="16"/>
                <w:szCs w:val="16"/>
                <w:color w:val="auto"/>
              </w:rPr>
              <w:t>325</w:t>
            </w:r>
          </w:p>
        </w:tc>
        <w:tc>
          <w:tcPr>
            <w:tcW w:w="560" w:type="dxa"/>
            <w:vAlign w:val="bottom"/>
          </w:tcPr>
          <w:p>
            <w:pPr>
              <w:jc w:val="right"/>
              <w:ind w:right="19"/>
              <w:spacing w:after="0" w:line="176" w:lineRule="exact"/>
              <w:rPr>
                <w:sz w:val="20"/>
                <w:szCs w:val="20"/>
                <w:color w:val="auto"/>
              </w:rPr>
            </w:pPr>
            <w:r>
              <w:rPr>
                <w:rFonts w:ascii="Arial" w:cs="Arial" w:eastAsia="Arial" w:hAnsi="Arial"/>
                <w:sz w:val="16"/>
                <w:szCs w:val="16"/>
                <w:color w:val="auto"/>
              </w:rPr>
              <w:t>27</w:t>
            </w:r>
          </w:p>
        </w:tc>
        <w:tc>
          <w:tcPr>
            <w:tcW w:w="2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20" w:type="dxa"/>
            <w:vAlign w:val="bottom"/>
          </w:tcPr>
          <w:p>
            <w:pPr>
              <w:jc w:val="right"/>
              <w:ind w:right="180"/>
              <w:spacing w:after="0" w:line="176" w:lineRule="exact"/>
              <w:rPr>
                <w:sz w:val="20"/>
                <w:szCs w:val="20"/>
                <w:color w:val="auto"/>
              </w:rPr>
            </w:pPr>
            <w:r>
              <w:rPr>
                <w:rFonts w:ascii="Arial" w:cs="Arial" w:eastAsia="Arial" w:hAnsi="Arial"/>
                <w:sz w:val="16"/>
                <w:szCs w:val="16"/>
                <w:color w:val="auto"/>
              </w:rPr>
              <w:t>216</w:t>
            </w:r>
          </w:p>
        </w:tc>
        <w:tc>
          <w:tcPr>
            <w:tcW w:w="580" w:type="dxa"/>
            <w:vAlign w:val="bottom"/>
          </w:tcPr>
          <w:p>
            <w:pPr>
              <w:jc w:val="right"/>
              <w:ind w:right="19"/>
              <w:spacing w:after="0" w:line="176" w:lineRule="exact"/>
              <w:rPr>
                <w:sz w:val="20"/>
                <w:szCs w:val="20"/>
                <w:color w:val="auto"/>
              </w:rPr>
            </w:pPr>
            <w:r>
              <w:rPr>
                <w:rFonts w:ascii="Arial" w:cs="Arial" w:eastAsia="Arial" w:hAnsi="Arial"/>
                <w:sz w:val="16"/>
                <w:szCs w:val="16"/>
                <w:color w:val="auto"/>
              </w:rPr>
              <w:t>26</w:t>
            </w:r>
          </w:p>
        </w:tc>
        <w:tc>
          <w:tcPr>
            <w:tcW w:w="300" w:type="dxa"/>
            <w:vAlign w:val="bottom"/>
          </w:tcPr>
          <w:p>
            <w:pPr>
              <w:spacing w:after="0"/>
              <w:rPr>
                <w:sz w:val="15"/>
                <w:szCs w:val="15"/>
                <w:color w:val="auto"/>
              </w:rPr>
            </w:pPr>
          </w:p>
        </w:tc>
      </w:tr>
      <w:tr>
        <w:trPr>
          <w:trHeight w:val="176"/>
        </w:trPr>
        <w:tc>
          <w:tcPr>
            <w:tcW w:w="20" w:type="dxa"/>
            <w:vAlign w:val="bottom"/>
          </w:tcPr>
          <w:p>
            <w:pPr>
              <w:spacing w:after="0"/>
              <w:rPr>
                <w:sz w:val="15"/>
                <w:szCs w:val="15"/>
                <w:color w:val="auto"/>
              </w:rPr>
            </w:pPr>
          </w:p>
        </w:tc>
        <w:tc>
          <w:tcPr>
            <w:tcW w:w="2860" w:type="dxa"/>
            <w:vAlign w:val="bottom"/>
          </w:tcPr>
          <w:p>
            <w:pPr>
              <w:ind w:left="120"/>
              <w:spacing w:after="0" w:line="176" w:lineRule="exact"/>
              <w:rPr>
                <w:sz w:val="20"/>
                <w:szCs w:val="20"/>
                <w:color w:val="auto"/>
              </w:rPr>
            </w:pPr>
            <w:r>
              <w:rPr>
                <w:rFonts w:ascii="Arial" w:cs="Arial" w:eastAsia="Arial" w:hAnsi="Arial"/>
                <w:sz w:val="16"/>
                <w:szCs w:val="16"/>
                <w:color w:val="auto"/>
              </w:rPr>
              <w:t>Sempra Generation</w:t>
            </w:r>
          </w:p>
        </w:tc>
        <w:tc>
          <w:tcPr>
            <w:tcW w:w="4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20" w:type="dxa"/>
            <w:vAlign w:val="bottom"/>
          </w:tcPr>
          <w:p>
            <w:pPr>
              <w:jc w:val="right"/>
              <w:ind w:right="40"/>
              <w:spacing w:after="0" w:line="176" w:lineRule="exact"/>
              <w:rPr>
                <w:sz w:val="20"/>
                <w:szCs w:val="20"/>
                <w:color w:val="auto"/>
              </w:rPr>
            </w:pPr>
            <w:r>
              <w:rPr>
                <w:rFonts w:ascii="Arial" w:cs="Arial" w:eastAsia="Arial" w:hAnsi="Arial"/>
                <w:sz w:val="16"/>
                <w:szCs w:val="16"/>
                <w:color w:val="auto"/>
              </w:rPr>
              <w:t>76</w:t>
            </w:r>
          </w:p>
        </w:tc>
        <w:tc>
          <w:tcPr>
            <w:tcW w:w="560" w:type="dxa"/>
            <w:vAlign w:val="bottom"/>
          </w:tcPr>
          <w:p>
            <w:pPr>
              <w:jc w:val="right"/>
              <w:ind w:right="19"/>
              <w:spacing w:after="0" w:line="176" w:lineRule="exact"/>
              <w:rPr>
                <w:sz w:val="20"/>
                <w:szCs w:val="20"/>
                <w:color w:val="auto"/>
              </w:rPr>
            </w:pPr>
            <w:r>
              <w:rPr>
                <w:rFonts w:ascii="Arial" w:cs="Arial" w:eastAsia="Arial" w:hAnsi="Arial"/>
                <w:sz w:val="16"/>
                <w:szCs w:val="16"/>
                <w:color w:val="auto"/>
              </w:rPr>
              <w:t>6</w:t>
            </w:r>
          </w:p>
        </w:tc>
        <w:tc>
          <w:tcPr>
            <w:tcW w:w="2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20" w:type="dxa"/>
            <w:vAlign w:val="bottom"/>
          </w:tcPr>
          <w:p>
            <w:pPr>
              <w:jc w:val="right"/>
              <w:ind w:right="180"/>
              <w:spacing w:after="0" w:line="176" w:lineRule="exact"/>
              <w:rPr>
                <w:sz w:val="20"/>
                <w:szCs w:val="20"/>
                <w:color w:val="auto"/>
              </w:rPr>
            </w:pPr>
            <w:r>
              <w:rPr>
                <w:rFonts w:ascii="Arial" w:cs="Arial" w:eastAsia="Arial" w:hAnsi="Arial"/>
                <w:sz w:val="16"/>
                <w:szCs w:val="16"/>
                <w:color w:val="auto"/>
              </w:rPr>
              <w:t>5</w:t>
            </w:r>
          </w:p>
        </w:tc>
        <w:tc>
          <w:tcPr>
            <w:tcW w:w="580" w:type="dxa"/>
            <w:vAlign w:val="bottom"/>
          </w:tcPr>
          <w:p>
            <w:pPr>
              <w:jc w:val="right"/>
              <w:ind w:right="19"/>
              <w:spacing w:after="0" w:line="176" w:lineRule="exact"/>
              <w:rPr>
                <w:sz w:val="20"/>
                <w:szCs w:val="20"/>
                <w:color w:val="auto"/>
              </w:rPr>
            </w:pPr>
            <w:r>
              <w:rPr>
                <w:rFonts w:ascii="Arial" w:cs="Arial" w:eastAsia="Arial" w:hAnsi="Arial"/>
                <w:sz w:val="16"/>
                <w:szCs w:val="16"/>
                <w:color w:val="auto"/>
              </w:rPr>
              <w:t>1</w:t>
            </w:r>
          </w:p>
        </w:tc>
        <w:tc>
          <w:tcPr>
            <w:tcW w:w="300" w:type="dxa"/>
            <w:vAlign w:val="bottom"/>
          </w:tcPr>
          <w:p>
            <w:pPr>
              <w:spacing w:after="0"/>
              <w:rPr>
                <w:sz w:val="15"/>
                <w:szCs w:val="15"/>
                <w:color w:val="auto"/>
              </w:rPr>
            </w:pPr>
          </w:p>
        </w:tc>
      </w:tr>
      <w:tr>
        <w:trPr>
          <w:trHeight w:val="176"/>
        </w:trPr>
        <w:tc>
          <w:tcPr>
            <w:tcW w:w="20" w:type="dxa"/>
            <w:vAlign w:val="bottom"/>
          </w:tcPr>
          <w:p>
            <w:pPr>
              <w:spacing w:after="0"/>
              <w:rPr>
                <w:sz w:val="15"/>
                <w:szCs w:val="15"/>
                <w:color w:val="auto"/>
              </w:rPr>
            </w:pPr>
          </w:p>
        </w:tc>
        <w:tc>
          <w:tcPr>
            <w:tcW w:w="2860" w:type="dxa"/>
            <w:vAlign w:val="bottom"/>
          </w:tcPr>
          <w:p>
            <w:pPr>
              <w:ind w:left="120"/>
              <w:spacing w:after="0" w:line="176" w:lineRule="exact"/>
              <w:rPr>
                <w:sz w:val="20"/>
                <w:szCs w:val="20"/>
                <w:color w:val="auto"/>
              </w:rPr>
            </w:pPr>
            <w:r>
              <w:rPr>
                <w:rFonts w:ascii="Arial" w:cs="Arial" w:eastAsia="Arial" w:hAnsi="Arial"/>
                <w:sz w:val="16"/>
                <w:szCs w:val="16"/>
                <w:color w:val="auto"/>
              </w:rPr>
              <w:t>Sempra Pipelines &amp; Storage</w:t>
            </w:r>
          </w:p>
        </w:tc>
        <w:tc>
          <w:tcPr>
            <w:tcW w:w="4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20" w:type="dxa"/>
            <w:vAlign w:val="bottom"/>
          </w:tcPr>
          <w:p>
            <w:pPr>
              <w:jc w:val="right"/>
              <w:ind w:right="40"/>
              <w:spacing w:after="0" w:line="176" w:lineRule="exact"/>
              <w:rPr>
                <w:sz w:val="20"/>
                <w:szCs w:val="20"/>
                <w:color w:val="auto"/>
              </w:rPr>
            </w:pPr>
            <w:r>
              <w:rPr>
                <w:rFonts w:ascii="Arial" w:cs="Arial" w:eastAsia="Arial" w:hAnsi="Arial"/>
                <w:sz w:val="16"/>
                <w:szCs w:val="16"/>
                <w:color w:val="auto"/>
              </w:rPr>
              <w:t>103</w:t>
            </w:r>
          </w:p>
        </w:tc>
        <w:tc>
          <w:tcPr>
            <w:tcW w:w="560" w:type="dxa"/>
            <w:vAlign w:val="bottom"/>
          </w:tcPr>
          <w:p>
            <w:pPr>
              <w:jc w:val="right"/>
              <w:ind w:right="19"/>
              <w:spacing w:after="0" w:line="176" w:lineRule="exact"/>
              <w:rPr>
                <w:sz w:val="20"/>
                <w:szCs w:val="20"/>
                <w:color w:val="auto"/>
              </w:rPr>
            </w:pPr>
            <w:r>
              <w:rPr>
                <w:rFonts w:ascii="Arial" w:cs="Arial" w:eastAsia="Arial" w:hAnsi="Arial"/>
                <w:sz w:val="16"/>
                <w:szCs w:val="16"/>
                <w:color w:val="auto"/>
              </w:rPr>
              <w:t>8</w:t>
            </w:r>
          </w:p>
        </w:tc>
        <w:tc>
          <w:tcPr>
            <w:tcW w:w="2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20" w:type="dxa"/>
            <w:vAlign w:val="bottom"/>
          </w:tcPr>
          <w:p>
            <w:pPr>
              <w:jc w:val="right"/>
              <w:ind w:right="180"/>
              <w:spacing w:after="0" w:line="176" w:lineRule="exact"/>
              <w:rPr>
                <w:sz w:val="20"/>
                <w:szCs w:val="20"/>
                <w:color w:val="auto"/>
              </w:rPr>
            </w:pPr>
            <w:r>
              <w:rPr>
                <w:rFonts w:ascii="Arial" w:cs="Arial" w:eastAsia="Arial" w:hAnsi="Arial"/>
                <w:sz w:val="16"/>
                <w:szCs w:val="16"/>
                <w:color w:val="auto"/>
              </w:rPr>
              <w:t>90</w:t>
            </w:r>
          </w:p>
        </w:tc>
        <w:tc>
          <w:tcPr>
            <w:tcW w:w="580" w:type="dxa"/>
            <w:vAlign w:val="bottom"/>
          </w:tcPr>
          <w:p>
            <w:pPr>
              <w:jc w:val="right"/>
              <w:ind w:right="19"/>
              <w:spacing w:after="0" w:line="176" w:lineRule="exact"/>
              <w:rPr>
                <w:sz w:val="20"/>
                <w:szCs w:val="20"/>
                <w:color w:val="auto"/>
              </w:rPr>
            </w:pPr>
            <w:r>
              <w:rPr>
                <w:rFonts w:ascii="Arial" w:cs="Arial" w:eastAsia="Arial" w:hAnsi="Arial"/>
                <w:sz w:val="16"/>
                <w:szCs w:val="16"/>
                <w:color w:val="auto"/>
              </w:rPr>
              <w:t>11</w:t>
            </w:r>
          </w:p>
        </w:tc>
        <w:tc>
          <w:tcPr>
            <w:tcW w:w="300" w:type="dxa"/>
            <w:vAlign w:val="bottom"/>
          </w:tcPr>
          <w:p>
            <w:pPr>
              <w:spacing w:after="0"/>
              <w:rPr>
                <w:sz w:val="15"/>
                <w:szCs w:val="15"/>
                <w:color w:val="auto"/>
              </w:rPr>
            </w:pPr>
          </w:p>
        </w:tc>
      </w:tr>
      <w:tr>
        <w:trPr>
          <w:trHeight w:val="176"/>
        </w:trPr>
        <w:tc>
          <w:tcPr>
            <w:tcW w:w="20" w:type="dxa"/>
            <w:vAlign w:val="bottom"/>
          </w:tcPr>
          <w:p>
            <w:pPr>
              <w:spacing w:after="0"/>
              <w:rPr>
                <w:sz w:val="15"/>
                <w:szCs w:val="15"/>
                <w:color w:val="auto"/>
              </w:rPr>
            </w:pPr>
          </w:p>
        </w:tc>
        <w:tc>
          <w:tcPr>
            <w:tcW w:w="2860" w:type="dxa"/>
            <w:vAlign w:val="bottom"/>
          </w:tcPr>
          <w:p>
            <w:pPr>
              <w:ind w:left="120"/>
              <w:spacing w:after="0" w:line="176" w:lineRule="exact"/>
              <w:rPr>
                <w:sz w:val="20"/>
                <w:szCs w:val="20"/>
                <w:color w:val="auto"/>
              </w:rPr>
            </w:pPr>
            <w:r>
              <w:rPr>
                <w:rFonts w:ascii="Arial" w:cs="Arial" w:eastAsia="Arial" w:hAnsi="Arial"/>
                <w:sz w:val="16"/>
                <w:szCs w:val="16"/>
                <w:color w:val="auto"/>
              </w:rPr>
              <w:t>Sempra LNG</w:t>
            </w:r>
          </w:p>
        </w:tc>
        <w:tc>
          <w:tcPr>
            <w:tcW w:w="4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20" w:type="dxa"/>
            <w:vAlign w:val="bottom"/>
          </w:tcPr>
          <w:p>
            <w:pPr>
              <w:jc w:val="right"/>
              <w:ind w:right="40"/>
              <w:spacing w:after="0" w:line="176" w:lineRule="exact"/>
              <w:rPr>
                <w:sz w:val="20"/>
                <w:szCs w:val="20"/>
                <w:color w:val="auto"/>
              </w:rPr>
            </w:pPr>
            <w:r>
              <w:rPr>
                <w:rFonts w:ascii="Arial" w:cs="Arial" w:eastAsia="Arial" w:hAnsi="Arial"/>
                <w:sz w:val="16"/>
                <w:szCs w:val="16"/>
                <w:color w:val="auto"/>
              </w:rPr>
              <w:t>6</w:t>
            </w:r>
          </w:p>
        </w:tc>
        <w:tc>
          <w:tcPr>
            <w:tcW w:w="560" w:type="dxa"/>
            <w:vAlign w:val="bottom"/>
          </w:tcPr>
          <w:p>
            <w:pPr>
              <w:jc w:val="right"/>
              <w:ind w:right="19"/>
              <w:spacing w:after="0" w:line="176" w:lineRule="exact"/>
              <w:rPr>
                <w:sz w:val="20"/>
                <w:szCs w:val="20"/>
                <w:color w:val="auto"/>
              </w:rPr>
            </w:pPr>
            <w:r>
              <w:rPr>
                <w:rFonts w:ascii="Arial" w:cs="Arial" w:eastAsia="Arial" w:hAnsi="Arial"/>
                <w:sz w:val="16"/>
                <w:szCs w:val="16"/>
                <w:color w:val="auto"/>
              </w:rPr>
              <w:t>1</w:t>
            </w:r>
          </w:p>
        </w:tc>
        <w:tc>
          <w:tcPr>
            <w:tcW w:w="2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20" w:type="dxa"/>
            <w:vAlign w:val="bottom"/>
          </w:tcPr>
          <w:p>
            <w:pPr>
              <w:jc w:val="right"/>
              <w:ind w:right="180"/>
              <w:spacing w:after="0" w:line="176" w:lineRule="exact"/>
              <w:rPr>
                <w:sz w:val="20"/>
                <w:szCs w:val="20"/>
                <w:color w:val="auto"/>
              </w:rPr>
            </w:pPr>
            <w:r>
              <w:rPr>
                <w:rFonts w:ascii="Arial" w:cs="Arial" w:eastAsia="Arial" w:hAnsi="Arial"/>
                <w:sz w:val="16"/>
                <w:szCs w:val="16"/>
                <w:color w:val="auto"/>
              </w:rPr>
              <w:t>4</w:t>
            </w:r>
          </w:p>
        </w:tc>
        <w:tc>
          <w:tcPr>
            <w:tcW w:w="580" w:type="dxa"/>
            <w:vAlign w:val="bottom"/>
          </w:tcPr>
          <w:p>
            <w:pPr>
              <w:jc w:val="right"/>
              <w:ind w:right="19"/>
              <w:spacing w:after="0" w:line="176" w:lineRule="exact"/>
              <w:rPr>
                <w:sz w:val="20"/>
                <w:szCs w:val="20"/>
                <w:color w:val="auto"/>
              </w:rPr>
            </w:pPr>
            <w:r>
              <w:rPr>
                <w:rFonts w:ascii="Arial" w:cs="Arial" w:eastAsia="Arial" w:hAnsi="Arial"/>
                <w:sz w:val="16"/>
                <w:szCs w:val="16"/>
                <w:color w:val="auto"/>
              </w:rPr>
              <w:t>―</w:t>
            </w:r>
          </w:p>
        </w:tc>
        <w:tc>
          <w:tcPr>
            <w:tcW w:w="300" w:type="dxa"/>
            <w:vAlign w:val="bottom"/>
          </w:tcPr>
          <w:p>
            <w:pPr>
              <w:spacing w:after="0"/>
              <w:rPr>
                <w:sz w:val="15"/>
                <w:szCs w:val="15"/>
                <w:color w:val="auto"/>
              </w:rPr>
            </w:pPr>
          </w:p>
        </w:tc>
      </w:tr>
      <w:tr>
        <w:trPr>
          <w:trHeight w:val="194"/>
        </w:trPr>
        <w:tc>
          <w:tcPr>
            <w:tcW w:w="20" w:type="dxa"/>
            <w:vAlign w:val="bottom"/>
          </w:tcPr>
          <w:p>
            <w:pPr>
              <w:spacing w:after="0"/>
              <w:rPr>
                <w:sz w:val="16"/>
                <w:szCs w:val="16"/>
                <w:color w:val="auto"/>
              </w:rPr>
            </w:pPr>
          </w:p>
        </w:tc>
        <w:tc>
          <w:tcPr>
            <w:tcW w:w="2860" w:type="dxa"/>
            <w:vAlign w:val="bottom"/>
          </w:tcPr>
          <w:p>
            <w:pPr>
              <w:ind w:left="120"/>
              <w:spacing w:after="0"/>
              <w:rPr>
                <w:sz w:val="20"/>
                <w:szCs w:val="20"/>
                <w:color w:val="auto"/>
              </w:rPr>
            </w:pPr>
            <w:r>
              <w:rPr>
                <w:rFonts w:ascii="Arial" w:cs="Arial" w:eastAsia="Arial" w:hAnsi="Arial"/>
                <w:sz w:val="16"/>
                <w:szCs w:val="16"/>
                <w:color w:val="auto"/>
              </w:rPr>
              <w:t>All other</w:t>
            </w:r>
          </w:p>
        </w:tc>
        <w:tc>
          <w:tcPr>
            <w:tcW w:w="4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1</w:t>
            </w:r>
          </w:p>
        </w:tc>
        <w:tc>
          <w:tcPr>
            <w:tcW w:w="5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180"/>
              <w:spacing w:after="0"/>
              <w:rPr>
                <w:sz w:val="20"/>
                <w:szCs w:val="20"/>
                <w:color w:val="auto"/>
              </w:rPr>
            </w:pPr>
            <w:r>
              <w:rPr>
                <w:rFonts w:ascii="Arial" w:cs="Arial" w:eastAsia="Arial" w:hAnsi="Arial"/>
                <w:sz w:val="16"/>
                <w:szCs w:val="16"/>
                <w:color w:val="auto"/>
              </w:rPr>
              <w:t>2</w:t>
            </w:r>
          </w:p>
        </w:tc>
        <w:tc>
          <w:tcPr>
            <w:tcW w:w="5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auto"/>
            </w:tcBorders>
          </w:tcPr>
          <w:p>
            <w:pPr>
              <w:spacing w:after="0"/>
              <w:rPr>
                <w:sz w:val="16"/>
                <w:szCs w:val="16"/>
                <w:color w:val="auto"/>
              </w:rPr>
            </w:pPr>
          </w:p>
        </w:tc>
      </w:tr>
      <w:tr>
        <w:trPr>
          <w:trHeight w:val="183"/>
        </w:trPr>
        <w:tc>
          <w:tcPr>
            <w:tcW w:w="20" w:type="dxa"/>
            <w:vAlign w:val="bottom"/>
          </w:tcPr>
          <w:p>
            <w:pPr>
              <w:spacing w:after="0"/>
              <w:rPr>
                <w:sz w:val="15"/>
                <w:szCs w:val="15"/>
                <w:color w:val="auto"/>
              </w:rPr>
            </w:pPr>
          </w:p>
        </w:tc>
        <w:tc>
          <w:tcPr>
            <w:tcW w:w="2860" w:type="dxa"/>
            <w:vAlign w:val="bottom"/>
            <w:tcBorders>
              <w:bottom w:val="single" w:sz="8" w:color="auto"/>
            </w:tcBorders>
          </w:tcPr>
          <w:p>
            <w:pPr>
              <w:ind w:left="300"/>
              <w:spacing w:after="0" w:line="176" w:lineRule="exact"/>
              <w:rPr>
                <w:sz w:val="20"/>
                <w:szCs w:val="20"/>
                <w:color w:val="auto"/>
              </w:rPr>
            </w:pPr>
            <w:r>
              <w:rPr>
                <w:rFonts w:ascii="Arial" w:cs="Arial" w:eastAsia="Arial" w:hAnsi="Arial"/>
                <w:sz w:val="16"/>
                <w:szCs w:val="16"/>
                <w:color w:val="auto"/>
              </w:rPr>
              <w:t>Total</w:t>
            </w:r>
          </w:p>
        </w:tc>
        <w:tc>
          <w:tcPr>
            <w:tcW w:w="40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jc w:val="right"/>
              <w:ind w:right="184"/>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tcPr>
          <w:p>
            <w:pPr>
              <w:jc w:val="right"/>
              <w:ind w:right="40"/>
              <w:spacing w:after="0" w:line="176" w:lineRule="exact"/>
              <w:rPr>
                <w:sz w:val="20"/>
                <w:szCs w:val="20"/>
                <w:color w:val="auto"/>
              </w:rPr>
            </w:pPr>
            <w:r>
              <w:rPr>
                <w:rFonts w:ascii="Arial" w:cs="Arial" w:eastAsia="Arial" w:hAnsi="Arial"/>
                <w:sz w:val="16"/>
                <w:szCs w:val="16"/>
                <w:color w:val="auto"/>
              </w:rPr>
              <w:t>1,225</w:t>
            </w:r>
          </w:p>
        </w:tc>
        <w:tc>
          <w:tcPr>
            <w:tcW w:w="560" w:type="dxa"/>
            <w:vAlign w:val="bottom"/>
            <w:tcBorders>
              <w:bottom w:val="single" w:sz="8" w:color="auto"/>
            </w:tcBorders>
          </w:tcPr>
          <w:p>
            <w:pPr>
              <w:jc w:val="right"/>
              <w:ind w:right="19"/>
              <w:spacing w:after="0" w:line="176" w:lineRule="exact"/>
              <w:rPr>
                <w:sz w:val="20"/>
                <w:szCs w:val="20"/>
                <w:color w:val="auto"/>
              </w:rPr>
            </w:pPr>
            <w:r>
              <w:rPr>
                <w:rFonts w:ascii="Arial" w:cs="Arial" w:eastAsia="Arial" w:hAnsi="Arial"/>
                <w:sz w:val="16"/>
                <w:szCs w:val="16"/>
                <w:color w:val="auto"/>
              </w:rPr>
              <w:t>100</w:t>
            </w:r>
          </w:p>
        </w:tc>
        <w:tc>
          <w:tcPr>
            <w:tcW w:w="26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6"/>
                <w:szCs w:val="16"/>
                <w:color w:val="auto"/>
              </w:rPr>
              <w:t>%</w:t>
            </w:r>
          </w:p>
        </w:tc>
        <w:tc>
          <w:tcPr>
            <w:tcW w:w="340" w:type="dxa"/>
            <w:vAlign w:val="bottom"/>
            <w:tcBorders>
              <w:bottom w:val="single" w:sz="8" w:color="auto"/>
            </w:tcBorders>
          </w:tcPr>
          <w:p>
            <w:pPr>
              <w:jc w:val="right"/>
              <w:ind w:right="119"/>
              <w:spacing w:after="0" w:line="176" w:lineRule="exact"/>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tcPr>
          <w:p>
            <w:pPr>
              <w:jc w:val="right"/>
              <w:ind w:right="180"/>
              <w:spacing w:after="0" w:line="176" w:lineRule="exact"/>
              <w:rPr>
                <w:sz w:val="20"/>
                <w:szCs w:val="20"/>
                <w:color w:val="auto"/>
              </w:rPr>
            </w:pPr>
            <w:r>
              <w:rPr>
                <w:rFonts w:ascii="Arial" w:cs="Arial" w:eastAsia="Arial" w:hAnsi="Arial"/>
                <w:sz w:val="16"/>
                <w:szCs w:val="16"/>
                <w:color w:val="auto"/>
              </w:rPr>
              <w:t>839</w:t>
            </w:r>
          </w:p>
        </w:tc>
        <w:tc>
          <w:tcPr>
            <w:tcW w:w="580" w:type="dxa"/>
            <w:vAlign w:val="bottom"/>
            <w:tcBorders>
              <w:bottom w:val="single" w:sz="8" w:color="auto"/>
            </w:tcBorders>
          </w:tcPr>
          <w:p>
            <w:pPr>
              <w:jc w:val="right"/>
              <w:ind w:right="19"/>
              <w:spacing w:after="0" w:line="176" w:lineRule="exact"/>
              <w:rPr>
                <w:sz w:val="20"/>
                <w:szCs w:val="20"/>
                <w:color w:val="auto"/>
              </w:rPr>
            </w:pPr>
            <w:r>
              <w:rPr>
                <w:rFonts w:ascii="Arial" w:cs="Arial" w:eastAsia="Arial" w:hAnsi="Arial"/>
                <w:sz w:val="16"/>
                <w:szCs w:val="16"/>
                <w:color w:val="auto"/>
              </w:rPr>
              <w:t>100</w:t>
            </w:r>
          </w:p>
        </w:tc>
        <w:tc>
          <w:tcPr>
            <w:tcW w:w="300" w:type="dxa"/>
            <w:vAlign w:val="bottom"/>
            <w:tcBorders>
              <w:bottom w:val="single" w:sz="8" w:color="auto"/>
            </w:tcBorders>
          </w:tcPr>
          <w:p>
            <w:pPr>
              <w:jc w:val="right"/>
              <w:ind w:right="39"/>
              <w:spacing w:after="0" w:line="176" w:lineRule="exact"/>
              <w:rPr>
                <w:sz w:val="20"/>
                <w:szCs w:val="20"/>
                <w:color w:val="auto"/>
              </w:rPr>
            </w:pPr>
            <w:r>
              <w:rPr>
                <w:rFonts w:ascii="Arial" w:cs="Arial" w:eastAsia="Arial" w:hAnsi="Arial"/>
                <w:sz w:val="16"/>
                <w:szCs w:val="16"/>
                <w:color w:val="auto"/>
              </w:rPr>
              <w:t>%</w:t>
            </w:r>
          </w:p>
        </w:tc>
      </w:tr>
      <w:tr>
        <w:trPr>
          <w:trHeight w:val="183"/>
        </w:trPr>
        <w:tc>
          <w:tcPr>
            <w:tcW w:w="20" w:type="dxa"/>
            <w:vAlign w:val="bottom"/>
          </w:tcPr>
          <w:p>
            <w:pPr>
              <w:spacing w:after="0"/>
              <w:rPr>
                <w:sz w:val="15"/>
                <w:szCs w:val="15"/>
                <w:color w:val="auto"/>
              </w:rPr>
            </w:pPr>
          </w:p>
        </w:tc>
        <w:tc>
          <w:tcPr>
            <w:tcW w:w="28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gridSpan w:val="2"/>
          </w:tcPr>
          <w:p>
            <w:pPr>
              <w:jc w:val="right"/>
              <w:ind w:right="219"/>
              <w:spacing w:after="0"/>
              <w:rPr>
                <w:sz w:val="20"/>
                <w:szCs w:val="20"/>
                <w:color w:val="auto"/>
              </w:rPr>
            </w:pPr>
            <w:r>
              <w:rPr>
                <w:rFonts w:ascii="Arial" w:cs="Arial" w:eastAsia="Arial" w:hAnsi="Arial"/>
                <w:sz w:val="14"/>
                <w:szCs w:val="14"/>
                <w:color w:val="auto"/>
              </w:rPr>
              <w:t>June 30, 2011</w:t>
            </w:r>
          </w:p>
        </w:tc>
        <w:tc>
          <w:tcPr>
            <w:tcW w:w="26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700" w:type="dxa"/>
            <w:vAlign w:val="bottom"/>
            <w:tcBorders>
              <w:bottom w:val="single" w:sz="8" w:color="auto"/>
            </w:tcBorders>
            <w:gridSpan w:val="2"/>
          </w:tcPr>
          <w:p>
            <w:pPr>
              <w:jc w:val="right"/>
              <w:ind w:right="139"/>
              <w:spacing w:after="0"/>
              <w:rPr>
                <w:sz w:val="20"/>
                <w:szCs w:val="20"/>
                <w:color w:val="auto"/>
              </w:rPr>
            </w:pPr>
            <w:r>
              <w:rPr>
                <w:rFonts w:ascii="Arial" w:cs="Arial" w:eastAsia="Arial" w:hAnsi="Arial"/>
                <w:sz w:val="14"/>
                <w:szCs w:val="14"/>
                <w:color w:val="auto"/>
              </w:rPr>
              <w:t>December 31, 2010</w:t>
            </w:r>
          </w:p>
        </w:tc>
        <w:tc>
          <w:tcPr>
            <w:tcW w:w="300" w:type="dxa"/>
            <w:vAlign w:val="bottom"/>
            <w:tcBorders>
              <w:bottom w:val="single" w:sz="8" w:color="auto"/>
            </w:tcBorders>
          </w:tcPr>
          <w:p>
            <w:pPr>
              <w:spacing w:after="0"/>
              <w:rPr>
                <w:sz w:val="15"/>
                <w:szCs w:val="15"/>
                <w:color w:val="auto"/>
              </w:rPr>
            </w:pPr>
          </w:p>
        </w:tc>
      </w:tr>
      <w:tr>
        <w:trPr>
          <w:trHeight w:val="164"/>
        </w:trPr>
        <w:tc>
          <w:tcPr>
            <w:tcW w:w="2880" w:type="dxa"/>
            <w:vAlign w:val="bottom"/>
            <w:gridSpan w:val="2"/>
          </w:tcPr>
          <w:p>
            <w:pPr>
              <w:spacing w:after="0" w:line="164" w:lineRule="exact"/>
              <w:rPr>
                <w:sz w:val="20"/>
                <w:szCs w:val="20"/>
                <w:color w:val="auto"/>
              </w:rPr>
            </w:pPr>
            <w:r>
              <w:rPr>
                <w:rFonts w:ascii="Arial" w:cs="Arial" w:eastAsia="Arial" w:hAnsi="Arial"/>
                <w:sz w:val="16"/>
                <w:szCs w:val="16"/>
                <w:color w:val="auto"/>
              </w:rPr>
              <w:t>ASSETS</w:t>
            </w:r>
          </w:p>
        </w:tc>
        <w:tc>
          <w:tcPr>
            <w:tcW w:w="4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r>
      <w:tr>
        <w:trPr>
          <w:trHeight w:val="176"/>
        </w:trPr>
        <w:tc>
          <w:tcPr>
            <w:tcW w:w="20" w:type="dxa"/>
            <w:vAlign w:val="bottom"/>
          </w:tcPr>
          <w:p>
            <w:pPr>
              <w:spacing w:after="0"/>
              <w:rPr>
                <w:sz w:val="15"/>
                <w:szCs w:val="15"/>
                <w:color w:val="auto"/>
              </w:rPr>
            </w:pPr>
          </w:p>
        </w:tc>
        <w:tc>
          <w:tcPr>
            <w:tcW w:w="2860" w:type="dxa"/>
            <w:vAlign w:val="bottom"/>
          </w:tcPr>
          <w:p>
            <w:pPr>
              <w:ind w:left="120"/>
              <w:spacing w:after="0" w:line="176" w:lineRule="exact"/>
              <w:rPr>
                <w:sz w:val="20"/>
                <w:szCs w:val="20"/>
                <w:color w:val="auto"/>
              </w:rPr>
            </w:pPr>
            <w:r>
              <w:rPr>
                <w:rFonts w:ascii="Arial" w:cs="Arial" w:eastAsia="Arial" w:hAnsi="Arial"/>
                <w:sz w:val="16"/>
                <w:szCs w:val="16"/>
                <w:color w:val="auto"/>
              </w:rPr>
              <w:t>SDG&amp;E</w:t>
            </w:r>
          </w:p>
        </w:tc>
        <w:tc>
          <w:tcPr>
            <w:tcW w:w="4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40" w:type="dxa"/>
            <w:vAlign w:val="bottom"/>
            <w:gridSpan w:val="2"/>
          </w:tcPr>
          <w:p>
            <w:pPr>
              <w:jc w:val="right"/>
              <w:ind w:right="184"/>
              <w:spacing w:after="0" w:line="176" w:lineRule="exact"/>
              <w:rPr>
                <w:sz w:val="20"/>
                <w:szCs w:val="20"/>
                <w:color w:val="auto"/>
              </w:rPr>
            </w:pPr>
            <w:r>
              <w:rPr>
                <w:rFonts w:ascii="Arial" w:cs="Arial" w:eastAsia="Arial" w:hAnsi="Arial"/>
                <w:sz w:val="16"/>
                <w:szCs w:val="16"/>
                <w:color w:val="auto"/>
              </w:rPr>
              <w:t>$</w:t>
            </w:r>
          </w:p>
        </w:tc>
        <w:tc>
          <w:tcPr>
            <w:tcW w:w="920" w:type="dxa"/>
            <w:vAlign w:val="bottom"/>
          </w:tcPr>
          <w:p>
            <w:pPr>
              <w:jc w:val="right"/>
              <w:ind w:right="40"/>
              <w:spacing w:after="0" w:line="176" w:lineRule="exact"/>
              <w:rPr>
                <w:sz w:val="20"/>
                <w:szCs w:val="20"/>
                <w:color w:val="auto"/>
              </w:rPr>
            </w:pPr>
            <w:r>
              <w:rPr>
                <w:rFonts w:ascii="Arial" w:cs="Arial" w:eastAsia="Arial" w:hAnsi="Arial"/>
                <w:sz w:val="16"/>
                <w:szCs w:val="16"/>
                <w:color w:val="auto"/>
              </w:rPr>
              <w:t>12,366</w:t>
            </w:r>
          </w:p>
        </w:tc>
        <w:tc>
          <w:tcPr>
            <w:tcW w:w="560" w:type="dxa"/>
            <w:vAlign w:val="bottom"/>
          </w:tcPr>
          <w:p>
            <w:pPr>
              <w:jc w:val="right"/>
              <w:ind w:right="19"/>
              <w:spacing w:after="0" w:line="176" w:lineRule="exact"/>
              <w:rPr>
                <w:sz w:val="20"/>
                <w:szCs w:val="20"/>
                <w:color w:val="auto"/>
              </w:rPr>
            </w:pPr>
            <w:r>
              <w:rPr>
                <w:rFonts w:ascii="Arial" w:cs="Arial" w:eastAsia="Arial" w:hAnsi="Arial"/>
                <w:sz w:val="16"/>
                <w:szCs w:val="16"/>
                <w:color w:val="auto"/>
              </w:rPr>
              <w:t>39</w:t>
            </w:r>
          </w:p>
        </w:tc>
        <w:tc>
          <w:tcPr>
            <w:tcW w:w="600" w:type="dxa"/>
            <w:vAlign w:val="bottom"/>
            <w:gridSpan w:val="2"/>
          </w:tcPr>
          <w:p>
            <w:pPr>
              <w:jc w:val="right"/>
              <w:ind w:right="119"/>
              <w:spacing w:after="0" w:line="176" w:lineRule="exact"/>
              <w:rPr>
                <w:sz w:val="20"/>
                <w:szCs w:val="20"/>
                <w:color w:val="auto"/>
              </w:rPr>
            </w:pPr>
            <w:r>
              <w:rPr>
                <w:rFonts w:ascii="Arial" w:cs="Arial" w:eastAsia="Arial" w:hAnsi="Arial"/>
                <w:sz w:val="16"/>
                <w:szCs w:val="16"/>
                <w:color w:val="auto"/>
              </w:rPr>
              <w:t>% $</w:t>
            </w:r>
          </w:p>
        </w:tc>
        <w:tc>
          <w:tcPr>
            <w:tcW w:w="1120" w:type="dxa"/>
            <w:vAlign w:val="bottom"/>
          </w:tcPr>
          <w:p>
            <w:pPr>
              <w:jc w:val="right"/>
              <w:ind w:right="180"/>
              <w:spacing w:after="0" w:line="176" w:lineRule="exact"/>
              <w:rPr>
                <w:sz w:val="20"/>
                <w:szCs w:val="20"/>
                <w:color w:val="auto"/>
              </w:rPr>
            </w:pPr>
            <w:r>
              <w:rPr>
                <w:rFonts w:ascii="Arial" w:cs="Arial" w:eastAsia="Arial" w:hAnsi="Arial"/>
                <w:sz w:val="16"/>
                <w:szCs w:val="16"/>
                <w:color w:val="auto"/>
              </w:rPr>
              <w:t>12,077</w:t>
            </w:r>
          </w:p>
        </w:tc>
        <w:tc>
          <w:tcPr>
            <w:tcW w:w="580" w:type="dxa"/>
            <w:vAlign w:val="bottom"/>
          </w:tcPr>
          <w:p>
            <w:pPr>
              <w:jc w:val="right"/>
              <w:ind w:right="19"/>
              <w:spacing w:after="0" w:line="176" w:lineRule="exact"/>
              <w:rPr>
                <w:sz w:val="20"/>
                <w:szCs w:val="20"/>
                <w:color w:val="auto"/>
              </w:rPr>
            </w:pPr>
            <w:r>
              <w:rPr>
                <w:rFonts w:ascii="Arial" w:cs="Arial" w:eastAsia="Arial" w:hAnsi="Arial"/>
                <w:sz w:val="16"/>
                <w:szCs w:val="16"/>
                <w:color w:val="auto"/>
              </w:rPr>
              <w:t>40</w:t>
            </w:r>
          </w:p>
        </w:tc>
        <w:tc>
          <w:tcPr>
            <w:tcW w:w="300" w:type="dxa"/>
            <w:vAlign w:val="bottom"/>
          </w:tcPr>
          <w:p>
            <w:pPr>
              <w:jc w:val="right"/>
              <w:ind w:right="39"/>
              <w:spacing w:after="0" w:line="176" w:lineRule="exact"/>
              <w:rPr>
                <w:sz w:val="20"/>
                <w:szCs w:val="20"/>
                <w:color w:val="auto"/>
              </w:rPr>
            </w:pPr>
            <w:r>
              <w:rPr>
                <w:rFonts w:ascii="Arial" w:cs="Arial" w:eastAsia="Arial" w:hAnsi="Arial"/>
                <w:sz w:val="16"/>
                <w:szCs w:val="16"/>
                <w:color w:val="auto"/>
              </w:rPr>
              <w:t>%</w:t>
            </w:r>
          </w:p>
        </w:tc>
      </w:tr>
      <w:tr>
        <w:trPr>
          <w:trHeight w:val="176"/>
        </w:trPr>
        <w:tc>
          <w:tcPr>
            <w:tcW w:w="20" w:type="dxa"/>
            <w:vAlign w:val="bottom"/>
          </w:tcPr>
          <w:p>
            <w:pPr>
              <w:spacing w:after="0"/>
              <w:rPr>
                <w:sz w:val="15"/>
                <w:szCs w:val="15"/>
                <w:color w:val="auto"/>
              </w:rPr>
            </w:pPr>
          </w:p>
        </w:tc>
        <w:tc>
          <w:tcPr>
            <w:tcW w:w="2860" w:type="dxa"/>
            <w:vAlign w:val="bottom"/>
          </w:tcPr>
          <w:p>
            <w:pPr>
              <w:ind w:left="120"/>
              <w:spacing w:after="0" w:line="176" w:lineRule="exact"/>
              <w:rPr>
                <w:sz w:val="20"/>
                <w:szCs w:val="20"/>
                <w:color w:val="auto"/>
              </w:rPr>
            </w:pPr>
            <w:r>
              <w:rPr>
                <w:rFonts w:ascii="Arial" w:cs="Arial" w:eastAsia="Arial" w:hAnsi="Arial"/>
                <w:sz w:val="16"/>
                <w:szCs w:val="16"/>
                <w:color w:val="auto"/>
              </w:rPr>
              <w:t>SoCalGas</w:t>
            </w:r>
          </w:p>
        </w:tc>
        <w:tc>
          <w:tcPr>
            <w:tcW w:w="4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20" w:type="dxa"/>
            <w:vAlign w:val="bottom"/>
          </w:tcPr>
          <w:p>
            <w:pPr>
              <w:jc w:val="right"/>
              <w:ind w:right="40"/>
              <w:spacing w:after="0" w:line="176" w:lineRule="exact"/>
              <w:rPr>
                <w:sz w:val="20"/>
                <w:szCs w:val="20"/>
                <w:color w:val="auto"/>
              </w:rPr>
            </w:pPr>
            <w:r>
              <w:rPr>
                <w:rFonts w:ascii="Arial" w:cs="Arial" w:eastAsia="Arial" w:hAnsi="Arial"/>
                <w:sz w:val="16"/>
                <w:szCs w:val="16"/>
                <w:color w:val="auto"/>
              </w:rPr>
              <w:t>7,740</w:t>
            </w:r>
          </w:p>
        </w:tc>
        <w:tc>
          <w:tcPr>
            <w:tcW w:w="560" w:type="dxa"/>
            <w:vAlign w:val="bottom"/>
          </w:tcPr>
          <w:p>
            <w:pPr>
              <w:jc w:val="right"/>
              <w:ind w:right="19"/>
              <w:spacing w:after="0" w:line="176" w:lineRule="exact"/>
              <w:rPr>
                <w:sz w:val="20"/>
                <w:szCs w:val="20"/>
                <w:color w:val="auto"/>
              </w:rPr>
            </w:pPr>
            <w:r>
              <w:rPr>
                <w:rFonts w:ascii="Arial" w:cs="Arial" w:eastAsia="Arial" w:hAnsi="Arial"/>
                <w:sz w:val="16"/>
                <w:szCs w:val="16"/>
                <w:color w:val="auto"/>
              </w:rPr>
              <w:t>24</w:t>
            </w:r>
          </w:p>
        </w:tc>
        <w:tc>
          <w:tcPr>
            <w:tcW w:w="2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20" w:type="dxa"/>
            <w:vAlign w:val="bottom"/>
          </w:tcPr>
          <w:p>
            <w:pPr>
              <w:jc w:val="right"/>
              <w:ind w:right="180"/>
              <w:spacing w:after="0" w:line="176" w:lineRule="exact"/>
              <w:rPr>
                <w:sz w:val="20"/>
                <w:szCs w:val="20"/>
                <w:color w:val="auto"/>
              </w:rPr>
            </w:pPr>
            <w:r>
              <w:rPr>
                <w:rFonts w:ascii="Arial" w:cs="Arial" w:eastAsia="Arial" w:hAnsi="Arial"/>
                <w:sz w:val="16"/>
                <w:szCs w:val="16"/>
                <w:color w:val="auto"/>
              </w:rPr>
              <w:t>7,986</w:t>
            </w:r>
          </w:p>
        </w:tc>
        <w:tc>
          <w:tcPr>
            <w:tcW w:w="580" w:type="dxa"/>
            <w:vAlign w:val="bottom"/>
          </w:tcPr>
          <w:p>
            <w:pPr>
              <w:jc w:val="right"/>
              <w:ind w:right="19"/>
              <w:spacing w:after="0" w:line="176" w:lineRule="exact"/>
              <w:rPr>
                <w:sz w:val="20"/>
                <w:szCs w:val="20"/>
                <w:color w:val="auto"/>
              </w:rPr>
            </w:pPr>
            <w:r>
              <w:rPr>
                <w:rFonts w:ascii="Arial" w:cs="Arial" w:eastAsia="Arial" w:hAnsi="Arial"/>
                <w:sz w:val="16"/>
                <w:szCs w:val="16"/>
                <w:color w:val="auto"/>
              </w:rPr>
              <w:t>26</w:t>
            </w:r>
          </w:p>
        </w:tc>
        <w:tc>
          <w:tcPr>
            <w:tcW w:w="300" w:type="dxa"/>
            <w:vAlign w:val="bottom"/>
          </w:tcPr>
          <w:p>
            <w:pPr>
              <w:spacing w:after="0"/>
              <w:rPr>
                <w:sz w:val="15"/>
                <w:szCs w:val="15"/>
                <w:color w:val="auto"/>
              </w:rPr>
            </w:pPr>
          </w:p>
        </w:tc>
      </w:tr>
      <w:tr>
        <w:trPr>
          <w:trHeight w:val="176"/>
        </w:trPr>
        <w:tc>
          <w:tcPr>
            <w:tcW w:w="20" w:type="dxa"/>
            <w:vAlign w:val="bottom"/>
          </w:tcPr>
          <w:p>
            <w:pPr>
              <w:spacing w:after="0"/>
              <w:rPr>
                <w:sz w:val="15"/>
                <w:szCs w:val="15"/>
                <w:color w:val="auto"/>
              </w:rPr>
            </w:pPr>
          </w:p>
        </w:tc>
        <w:tc>
          <w:tcPr>
            <w:tcW w:w="2860" w:type="dxa"/>
            <w:vAlign w:val="bottom"/>
          </w:tcPr>
          <w:p>
            <w:pPr>
              <w:ind w:left="120"/>
              <w:spacing w:after="0" w:line="176" w:lineRule="exact"/>
              <w:rPr>
                <w:sz w:val="20"/>
                <w:szCs w:val="20"/>
                <w:color w:val="auto"/>
              </w:rPr>
            </w:pPr>
            <w:r>
              <w:rPr>
                <w:rFonts w:ascii="Arial" w:cs="Arial" w:eastAsia="Arial" w:hAnsi="Arial"/>
                <w:sz w:val="16"/>
                <w:szCs w:val="16"/>
                <w:color w:val="auto"/>
              </w:rPr>
              <w:t>Sempra Generation</w:t>
            </w:r>
          </w:p>
        </w:tc>
        <w:tc>
          <w:tcPr>
            <w:tcW w:w="4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20" w:type="dxa"/>
            <w:vAlign w:val="bottom"/>
          </w:tcPr>
          <w:p>
            <w:pPr>
              <w:jc w:val="right"/>
              <w:ind w:right="40"/>
              <w:spacing w:after="0" w:line="176" w:lineRule="exact"/>
              <w:rPr>
                <w:sz w:val="20"/>
                <w:szCs w:val="20"/>
                <w:color w:val="auto"/>
              </w:rPr>
            </w:pPr>
            <w:r>
              <w:rPr>
                <w:rFonts w:ascii="Arial" w:cs="Arial" w:eastAsia="Arial" w:hAnsi="Arial"/>
                <w:sz w:val="16"/>
                <w:szCs w:val="16"/>
                <w:color w:val="auto"/>
              </w:rPr>
              <w:t>2,021</w:t>
            </w:r>
          </w:p>
        </w:tc>
        <w:tc>
          <w:tcPr>
            <w:tcW w:w="560" w:type="dxa"/>
            <w:vAlign w:val="bottom"/>
          </w:tcPr>
          <w:p>
            <w:pPr>
              <w:jc w:val="right"/>
              <w:ind w:right="19"/>
              <w:spacing w:after="0" w:line="176" w:lineRule="exact"/>
              <w:rPr>
                <w:sz w:val="20"/>
                <w:szCs w:val="20"/>
                <w:color w:val="auto"/>
              </w:rPr>
            </w:pPr>
            <w:r>
              <w:rPr>
                <w:rFonts w:ascii="Arial" w:cs="Arial" w:eastAsia="Arial" w:hAnsi="Arial"/>
                <w:sz w:val="16"/>
                <w:szCs w:val="16"/>
                <w:color w:val="auto"/>
              </w:rPr>
              <w:t>6</w:t>
            </w:r>
          </w:p>
        </w:tc>
        <w:tc>
          <w:tcPr>
            <w:tcW w:w="2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20" w:type="dxa"/>
            <w:vAlign w:val="bottom"/>
          </w:tcPr>
          <w:p>
            <w:pPr>
              <w:jc w:val="right"/>
              <w:ind w:right="180"/>
              <w:spacing w:after="0" w:line="176" w:lineRule="exact"/>
              <w:rPr>
                <w:sz w:val="20"/>
                <w:szCs w:val="20"/>
                <w:color w:val="auto"/>
              </w:rPr>
            </w:pPr>
            <w:r>
              <w:rPr>
                <w:rFonts w:ascii="Arial" w:cs="Arial" w:eastAsia="Arial" w:hAnsi="Arial"/>
                <w:sz w:val="16"/>
                <w:szCs w:val="16"/>
                <w:color w:val="auto"/>
              </w:rPr>
              <w:t>2,401</w:t>
            </w:r>
          </w:p>
        </w:tc>
        <w:tc>
          <w:tcPr>
            <w:tcW w:w="580" w:type="dxa"/>
            <w:vAlign w:val="bottom"/>
          </w:tcPr>
          <w:p>
            <w:pPr>
              <w:jc w:val="right"/>
              <w:ind w:right="19"/>
              <w:spacing w:after="0" w:line="176" w:lineRule="exact"/>
              <w:rPr>
                <w:sz w:val="20"/>
                <w:szCs w:val="20"/>
                <w:color w:val="auto"/>
              </w:rPr>
            </w:pPr>
            <w:r>
              <w:rPr>
                <w:rFonts w:ascii="Arial" w:cs="Arial" w:eastAsia="Arial" w:hAnsi="Arial"/>
                <w:sz w:val="16"/>
                <w:szCs w:val="16"/>
                <w:color w:val="auto"/>
              </w:rPr>
              <w:t>8</w:t>
            </w:r>
          </w:p>
        </w:tc>
        <w:tc>
          <w:tcPr>
            <w:tcW w:w="300" w:type="dxa"/>
            <w:vAlign w:val="bottom"/>
          </w:tcPr>
          <w:p>
            <w:pPr>
              <w:spacing w:after="0"/>
              <w:rPr>
                <w:sz w:val="15"/>
                <w:szCs w:val="15"/>
                <w:color w:val="auto"/>
              </w:rPr>
            </w:pPr>
          </w:p>
        </w:tc>
      </w:tr>
      <w:tr>
        <w:trPr>
          <w:trHeight w:val="176"/>
        </w:trPr>
        <w:tc>
          <w:tcPr>
            <w:tcW w:w="20" w:type="dxa"/>
            <w:vAlign w:val="bottom"/>
          </w:tcPr>
          <w:p>
            <w:pPr>
              <w:spacing w:after="0"/>
              <w:rPr>
                <w:sz w:val="15"/>
                <w:szCs w:val="15"/>
                <w:color w:val="auto"/>
              </w:rPr>
            </w:pPr>
          </w:p>
        </w:tc>
        <w:tc>
          <w:tcPr>
            <w:tcW w:w="2860" w:type="dxa"/>
            <w:vAlign w:val="bottom"/>
          </w:tcPr>
          <w:p>
            <w:pPr>
              <w:ind w:left="120"/>
              <w:spacing w:after="0" w:line="176" w:lineRule="exact"/>
              <w:rPr>
                <w:sz w:val="20"/>
                <w:szCs w:val="20"/>
                <w:color w:val="auto"/>
              </w:rPr>
            </w:pPr>
            <w:r>
              <w:rPr>
                <w:rFonts w:ascii="Arial" w:cs="Arial" w:eastAsia="Arial" w:hAnsi="Arial"/>
                <w:sz w:val="16"/>
                <w:szCs w:val="16"/>
                <w:color w:val="auto"/>
              </w:rPr>
              <w:t>Sempra Pipelines &amp; Storage</w:t>
            </w:r>
          </w:p>
        </w:tc>
        <w:tc>
          <w:tcPr>
            <w:tcW w:w="4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20" w:type="dxa"/>
            <w:vAlign w:val="bottom"/>
          </w:tcPr>
          <w:p>
            <w:pPr>
              <w:jc w:val="right"/>
              <w:ind w:right="40"/>
              <w:spacing w:after="0" w:line="176" w:lineRule="exact"/>
              <w:rPr>
                <w:sz w:val="20"/>
                <w:szCs w:val="20"/>
                <w:color w:val="auto"/>
              </w:rPr>
            </w:pPr>
            <w:r>
              <w:rPr>
                <w:rFonts w:ascii="Arial" w:cs="Arial" w:eastAsia="Arial" w:hAnsi="Arial"/>
                <w:sz w:val="16"/>
                <w:szCs w:val="16"/>
                <w:color w:val="auto"/>
              </w:rPr>
              <w:t>7,252</w:t>
            </w:r>
          </w:p>
        </w:tc>
        <w:tc>
          <w:tcPr>
            <w:tcW w:w="560" w:type="dxa"/>
            <w:vAlign w:val="bottom"/>
          </w:tcPr>
          <w:p>
            <w:pPr>
              <w:jc w:val="right"/>
              <w:ind w:right="19"/>
              <w:spacing w:after="0" w:line="176" w:lineRule="exact"/>
              <w:rPr>
                <w:sz w:val="20"/>
                <w:szCs w:val="20"/>
                <w:color w:val="auto"/>
              </w:rPr>
            </w:pPr>
            <w:r>
              <w:rPr>
                <w:rFonts w:ascii="Arial" w:cs="Arial" w:eastAsia="Arial" w:hAnsi="Arial"/>
                <w:sz w:val="16"/>
                <w:szCs w:val="16"/>
                <w:color w:val="auto"/>
              </w:rPr>
              <w:t>23</w:t>
            </w:r>
          </w:p>
        </w:tc>
        <w:tc>
          <w:tcPr>
            <w:tcW w:w="2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20" w:type="dxa"/>
            <w:vAlign w:val="bottom"/>
          </w:tcPr>
          <w:p>
            <w:pPr>
              <w:jc w:val="right"/>
              <w:ind w:right="180"/>
              <w:spacing w:after="0" w:line="176" w:lineRule="exact"/>
              <w:rPr>
                <w:sz w:val="20"/>
                <w:szCs w:val="20"/>
                <w:color w:val="auto"/>
              </w:rPr>
            </w:pPr>
            <w:r>
              <w:rPr>
                <w:rFonts w:ascii="Arial" w:cs="Arial" w:eastAsia="Arial" w:hAnsi="Arial"/>
                <w:sz w:val="16"/>
                <w:szCs w:val="16"/>
                <w:color w:val="auto"/>
              </w:rPr>
              <w:t>5,175</w:t>
            </w:r>
          </w:p>
        </w:tc>
        <w:tc>
          <w:tcPr>
            <w:tcW w:w="580" w:type="dxa"/>
            <w:vAlign w:val="bottom"/>
          </w:tcPr>
          <w:p>
            <w:pPr>
              <w:jc w:val="right"/>
              <w:ind w:right="19"/>
              <w:spacing w:after="0" w:line="176" w:lineRule="exact"/>
              <w:rPr>
                <w:sz w:val="20"/>
                <w:szCs w:val="20"/>
                <w:color w:val="auto"/>
              </w:rPr>
            </w:pPr>
            <w:r>
              <w:rPr>
                <w:rFonts w:ascii="Arial" w:cs="Arial" w:eastAsia="Arial" w:hAnsi="Arial"/>
                <w:sz w:val="16"/>
                <w:szCs w:val="16"/>
                <w:color w:val="auto"/>
              </w:rPr>
              <w:t>17</w:t>
            </w:r>
          </w:p>
        </w:tc>
        <w:tc>
          <w:tcPr>
            <w:tcW w:w="300" w:type="dxa"/>
            <w:vAlign w:val="bottom"/>
          </w:tcPr>
          <w:p>
            <w:pPr>
              <w:spacing w:after="0"/>
              <w:rPr>
                <w:sz w:val="15"/>
                <w:szCs w:val="15"/>
                <w:color w:val="auto"/>
              </w:rPr>
            </w:pPr>
          </w:p>
        </w:tc>
      </w:tr>
      <w:tr>
        <w:trPr>
          <w:trHeight w:val="176"/>
        </w:trPr>
        <w:tc>
          <w:tcPr>
            <w:tcW w:w="20" w:type="dxa"/>
            <w:vAlign w:val="bottom"/>
          </w:tcPr>
          <w:p>
            <w:pPr>
              <w:spacing w:after="0"/>
              <w:rPr>
                <w:sz w:val="15"/>
                <w:szCs w:val="15"/>
                <w:color w:val="auto"/>
              </w:rPr>
            </w:pPr>
          </w:p>
        </w:tc>
        <w:tc>
          <w:tcPr>
            <w:tcW w:w="2860" w:type="dxa"/>
            <w:vAlign w:val="bottom"/>
          </w:tcPr>
          <w:p>
            <w:pPr>
              <w:ind w:left="120"/>
              <w:spacing w:after="0" w:line="176" w:lineRule="exact"/>
              <w:rPr>
                <w:sz w:val="20"/>
                <w:szCs w:val="20"/>
                <w:color w:val="auto"/>
              </w:rPr>
            </w:pPr>
            <w:r>
              <w:rPr>
                <w:rFonts w:ascii="Arial" w:cs="Arial" w:eastAsia="Arial" w:hAnsi="Arial"/>
                <w:sz w:val="16"/>
                <w:szCs w:val="16"/>
                <w:color w:val="auto"/>
              </w:rPr>
              <w:t>Sempra LNG</w:t>
            </w:r>
          </w:p>
        </w:tc>
        <w:tc>
          <w:tcPr>
            <w:tcW w:w="4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20" w:type="dxa"/>
            <w:vAlign w:val="bottom"/>
          </w:tcPr>
          <w:p>
            <w:pPr>
              <w:jc w:val="right"/>
              <w:ind w:right="40"/>
              <w:spacing w:after="0" w:line="176" w:lineRule="exact"/>
              <w:rPr>
                <w:sz w:val="20"/>
                <w:szCs w:val="20"/>
                <w:color w:val="auto"/>
              </w:rPr>
            </w:pPr>
            <w:r>
              <w:rPr>
                <w:rFonts w:ascii="Arial" w:cs="Arial" w:eastAsia="Arial" w:hAnsi="Arial"/>
                <w:sz w:val="16"/>
                <w:szCs w:val="16"/>
                <w:color w:val="auto"/>
              </w:rPr>
              <w:t>2,432</w:t>
            </w:r>
          </w:p>
        </w:tc>
        <w:tc>
          <w:tcPr>
            <w:tcW w:w="560" w:type="dxa"/>
            <w:vAlign w:val="bottom"/>
          </w:tcPr>
          <w:p>
            <w:pPr>
              <w:jc w:val="right"/>
              <w:ind w:right="19"/>
              <w:spacing w:after="0" w:line="176" w:lineRule="exact"/>
              <w:rPr>
                <w:sz w:val="20"/>
                <w:szCs w:val="20"/>
                <w:color w:val="auto"/>
              </w:rPr>
            </w:pPr>
            <w:r>
              <w:rPr>
                <w:rFonts w:ascii="Arial" w:cs="Arial" w:eastAsia="Arial" w:hAnsi="Arial"/>
                <w:sz w:val="16"/>
                <w:szCs w:val="16"/>
                <w:color w:val="auto"/>
              </w:rPr>
              <w:t>8</w:t>
            </w:r>
          </w:p>
        </w:tc>
        <w:tc>
          <w:tcPr>
            <w:tcW w:w="2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20" w:type="dxa"/>
            <w:vAlign w:val="bottom"/>
          </w:tcPr>
          <w:p>
            <w:pPr>
              <w:jc w:val="right"/>
              <w:ind w:right="180"/>
              <w:spacing w:after="0" w:line="176" w:lineRule="exact"/>
              <w:rPr>
                <w:sz w:val="20"/>
                <w:szCs w:val="20"/>
                <w:color w:val="auto"/>
              </w:rPr>
            </w:pPr>
            <w:r>
              <w:rPr>
                <w:rFonts w:ascii="Arial" w:cs="Arial" w:eastAsia="Arial" w:hAnsi="Arial"/>
                <w:sz w:val="16"/>
                <w:szCs w:val="16"/>
                <w:color w:val="auto"/>
              </w:rPr>
              <w:t>2,379</w:t>
            </w:r>
          </w:p>
        </w:tc>
        <w:tc>
          <w:tcPr>
            <w:tcW w:w="580" w:type="dxa"/>
            <w:vAlign w:val="bottom"/>
          </w:tcPr>
          <w:p>
            <w:pPr>
              <w:jc w:val="right"/>
              <w:ind w:right="19"/>
              <w:spacing w:after="0" w:line="176" w:lineRule="exact"/>
              <w:rPr>
                <w:sz w:val="20"/>
                <w:szCs w:val="20"/>
                <w:color w:val="auto"/>
              </w:rPr>
            </w:pPr>
            <w:r>
              <w:rPr>
                <w:rFonts w:ascii="Arial" w:cs="Arial" w:eastAsia="Arial" w:hAnsi="Arial"/>
                <w:sz w:val="16"/>
                <w:szCs w:val="16"/>
                <w:color w:val="auto"/>
              </w:rPr>
              <w:t>8</w:t>
            </w:r>
          </w:p>
        </w:tc>
        <w:tc>
          <w:tcPr>
            <w:tcW w:w="300" w:type="dxa"/>
            <w:vAlign w:val="bottom"/>
          </w:tcPr>
          <w:p>
            <w:pPr>
              <w:spacing w:after="0"/>
              <w:rPr>
                <w:sz w:val="15"/>
                <w:szCs w:val="15"/>
                <w:color w:val="auto"/>
              </w:rPr>
            </w:pPr>
          </w:p>
        </w:tc>
      </w:tr>
      <w:tr>
        <w:trPr>
          <w:trHeight w:val="176"/>
        </w:trPr>
        <w:tc>
          <w:tcPr>
            <w:tcW w:w="20" w:type="dxa"/>
            <w:vAlign w:val="bottom"/>
          </w:tcPr>
          <w:p>
            <w:pPr>
              <w:spacing w:after="0"/>
              <w:rPr>
                <w:sz w:val="15"/>
                <w:szCs w:val="15"/>
                <w:color w:val="auto"/>
              </w:rPr>
            </w:pPr>
          </w:p>
        </w:tc>
        <w:tc>
          <w:tcPr>
            <w:tcW w:w="2860" w:type="dxa"/>
            <w:vAlign w:val="bottom"/>
          </w:tcPr>
          <w:p>
            <w:pPr>
              <w:ind w:left="120"/>
              <w:spacing w:after="0" w:line="176" w:lineRule="exact"/>
              <w:rPr>
                <w:sz w:val="20"/>
                <w:szCs w:val="20"/>
                <w:color w:val="auto"/>
              </w:rPr>
            </w:pPr>
            <w:r>
              <w:rPr>
                <w:rFonts w:ascii="Arial" w:cs="Arial" w:eastAsia="Arial" w:hAnsi="Arial"/>
                <w:sz w:val="16"/>
                <w:szCs w:val="16"/>
                <w:color w:val="auto"/>
              </w:rPr>
              <w:t>All other</w:t>
            </w:r>
          </w:p>
        </w:tc>
        <w:tc>
          <w:tcPr>
            <w:tcW w:w="4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20" w:type="dxa"/>
            <w:vAlign w:val="bottom"/>
          </w:tcPr>
          <w:p>
            <w:pPr>
              <w:jc w:val="right"/>
              <w:ind w:right="40"/>
              <w:spacing w:after="0" w:line="176" w:lineRule="exact"/>
              <w:rPr>
                <w:sz w:val="20"/>
                <w:szCs w:val="20"/>
                <w:color w:val="auto"/>
              </w:rPr>
            </w:pPr>
            <w:r>
              <w:rPr>
                <w:rFonts w:ascii="Arial" w:cs="Arial" w:eastAsia="Arial" w:hAnsi="Arial"/>
                <w:sz w:val="16"/>
                <w:szCs w:val="16"/>
                <w:color w:val="auto"/>
              </w:rPr>
              <w:t>932</w:t>
            </w:r>
          </w:p>
        </w:tc>
        <w:tc>
          <w:tcPr>
            <w:tcW w:w="560" w:type="dxa"/>
            <w:vAlign w:val="bottom"/>
          </w:tcPr>
          <w:p>
            <w:pPr>
              <w:jc w:val="right"/>
              <w:ind w:right="19"/>
              <w:spacing w:after="0" w:line="176" w:lineRule="exact"/>
              <w:rPr>
                <w:sz w:val="20"/>
                <w:szCs w:val="20"/>
                <w:color w:val="auto"/>
              </w:rPr>
            </w:pPr>
            <w:r>
              <w:rPr>
                <w:rFonts w:ascii="Arial" w:cs="Arial" w:eastAsia="Arial" w:hAnsi="Arial"/>
                <w:sz w:val="16"/>
                <w:szCs w:val="16"/>
                <w:color w:val="auto"/>
              </w:rPr>
              <w:t>3</w:t>
            </w:r>
          </w:p>
        </w:tc>
        <w:tc>
          <w:tcPr>
            <w:tcW w:w="2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20" w:type="dxa"/>
            <w:vAlign w:val="bottom"/>
          </w:tcPr>
          <w:p>
            <w:pPr>
              <w:jc w:val="right"/>
              <w:ind w:right="180"/>
              <w:spacing w:after="0" w:line="176" w:lineRule="exact"/>
              <w:rPr>
                <w:sz w:val="20"/>
                <w:szCs w:val="20"/>
                <w:color w:val="auto"/>
              </w:rPr>
            </w:pPr>
            <w:r>
              <w:rPr>
                <w:rFonts w:ascii="Arial" w:cs="Arial" w:eastAsia="Arial" w:hAnsi="Arial"/>
                <w:sz w:val="16"/>
                <w:szCs w:val="16"/>
                <w:color w:val="auto"/>
              </w:rPr>
              <w:t>1,691</w:t>
            </w:r>
          </w:p>
        </w:tc>
        <w:tc>
          <w:tcPr>
            <w:tcW w:w="580" w:type="dxa"/>
            <w:vAlign w:val="bottom"/>
          </w:tcPr>
          <w:p>
            <w:pPr>
              <w:jc w:val="right"/>
              <w:ind w:right="19"/>
              <w:spacing w:after="0" w:line="176" w:lineRule="exact"/>
              <w:rPr>
                <w:sz w:val="20"/>
                <w:szCs w:val="20"/>
                <w:color w:val="auto"/>
              </w:rPr>
            </w:pPr>
            <w:r>
              <w:rPr>
                <w:rFonts w:ascii="Arial" w:cs="Arial" w:eastAsia="Arial" w:hAnsi="Arial"/>
                <w:sz w:val="16"/>
                <w:szCs w:val="16"/>
                <w:color w:val="auto"/>
              </w:rPr>
              <w:t>6</w:t>
            </w:r>
          </w:p>
        </w:tc>
        <w:tc>
          <w:tcPr>
            <w:tcW w:w="300" w:type="dxa"/>
            <w:vAlign w:val="bottom"/>
          </w:tcPr>
          <w:p>
            <w:pPr>
              <w:spacing w:after="0"/>
              <w:rPr>
                <w:sz w:val="15"/>
                <w:szCs w:val="15"/>
                <w:color w:val="auto"/>
              </w:rPr>
            </w:pPr>
          </w:p>
        </w:tc>
      </w:tr>
      <w:tr>
        <w:trPr>
          <w:trHeight w:val="194"/>
        </w:trPr>
        <w:tc>
          <w:tcPr>
            <w:tcW w:w="20" w:type="dxa"/>
            <w:vAlign w:val="bottom"/>
          </w:tcPr>
          <w:p>
            <w:pPr>
              <w:spacing w:after="0"/>
              <w:rPr>
                <w:sz w:val="16"/>
                <w:szCs w:val="16"/>
                <w:color w:val="auto"/>
              </w:rPr>
            </w:pPr>
          </w:p>
        </w:tc>
        <w:tc>
          <w:tcPr>
            <w:tcW w:w="2860" w:type="dxa"/>
            <w:vAlign w:val="bottom"/>
          </w:tcPr>
          <w:p>
            <w:pPr>
              <w:ind w:left="120"/>
              <w:spacing w:after="0"/>
              <w:rPr>
                <w:sz w:val="20"/>
                <w:szCs w:val="20"/>
                <w:color w:val="auto"/>
              </w:rPr>
            </w:pPr>
            <w:r>
              <w:rPr>
                <w:rFonts w:ascii="Arial" w:cs="Arial" w:eastAsia="Arial" w:hAnsi="Arial"/>
                <w:sz w:val="16"/>
                <w:szCs w:val="16"/>
                <w:color w:val="auto"/>
              </w:rPr>
              <w:t>Intersegment receivables</w:t>
            </w:r>
          </w:p>
        </w:tc>
        <w:tc>
          <w:tcPr>
            <w:tcW w:w="4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(907)</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w:t>
            </w:r>
          </w:p>
        </w:tc>
        <w:tc>
          <w:tcPr>
            <w:tcW w:w="26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140"/>
              <w:spacing w:after="0"/>
              <w:rPr>
                <w:sz w:val="20"/>
                <w:szCs w:val="20"/>
                <w:color w:val="auto"/>
              </w:rPr>
            </w:pPr>
            <w:r>
              <w:rPr>
                <w:rFonts w:ascii="Arial" w:cs="Arial" w:eastAsia="Arial" w:hAnsi="Arial"/>
                <w:sz w:val="16"/>
                <w:szCs w:val="16"/>
                <w:color w:val="auto"/>
              </w:rPr>
              <w:t>(1,426)</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w:t>
            </w:r>
          </w:p>
        </w:tc>
        <w:tc>
          <w:tcPr>
            <w:tcW w:w="300" w:type="dxa"/>
            <w:vAlign w:val="bottom"/>
            <w:tcBorders>
              <w:bottom w:val="single" w:sz="8" w:color="auto"/>
            </w:tcBorders>
          </w:tcPr>
          <w:p>
            <w:pPr>
              <w:spacing w:after="0"/>
              <w:rPr>
                <w:sz w:val="16"/>
                <w:szCs w:val="16"/>
                <w:color w:val="auto"/>
              </w:rPr>
            </w:pPr>
          </w:p>
        </w:tc>
      </w:tr>
      <w:tr>
        <w:trPr>
          <w:trHeight w:val="183"/>
        </w:trPr>
        <w:tc>
          <w:tcPr>
            <w:tcW w:w="20" w:type="dxa"/>
            <w:vAlign w:val="bottom"/>
          </w:tcPr>
          <w:p>
            <w:pPr>
              <w:spacing w:after="0"/>
              <w:rPr>
                <w:sz w:val="15"/>
                <w:szCs w:val="15"/>
                <w:color w:val="auto"/>
              </w:rPr>
            </w:pPr>
          </w:p>
        </w:tc>
        <w:tc>
          <w:tcPr>
            <w:tcW w:w="2860" w:type="dxa"/>
            <w:vAlign w:val="bottom"/>
            <w:tcBorders>
              <w:bottom w:val="single" w:sz="8" w:color="auto"/>
            </w:tcBorders>
          </w:tcPr>
          <w:p>
            <w:pPr>
              <w:ind w:left="300"/>
              <w:spacing w:after="0" w:line="176" w:lineRule="exact"/>
              <w:rPr>
                <w:sz w:val="20"/>
                <w:szCs w:val="20"/>
                <w:color w:val="auto"/>
              </w:rPr>
            </w:pPr>
            <w:r>
              <w:rPr>
                <w:rFonts w:ascii="Arial" w:cs="Arial" w:eastAsia="Arial" w:hAnsi="Arial"/>
                <w:sz w:val="16"/>
                <w:szCs w:val="16"/>
                <w:color w:val="auto"/>
              </w:rPr>
              <w:t>Total</w:t>
            </w:r>
          </w:p>
        </w:tc>
        <w:tc>
          <w:tcPr>
            <w:tcW w:w="40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jc w:val="right"/>
              <w:ind w:right="184"/>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tcPr>
          <w:p>
            <w:pPr>
              <w:jc w:val="right"/>
              <w:ind w:right="40"/>
              <w:spacing w:after="0" w:line="176" w:lineRule="exact"/>
              <w:rPr>
                <w:sz w:val="20"/>
                <w:szCs w:val="20"/>
                <w:color w:val="auto"/>
              </w:rPr>
            </w:pPr>
            <w:r>
              <w:rPr>
                <w:rFonts w:ascii="Arial" w:cs="Arial" w:eastAsia="Arial" w:hAnsi="Arial"/>
                <w:sz w:val="16"/>
                <w:szCs w:val="16"/>
                <w:color w:val="auto"/>
              </w:rPr>
              <w:t>31,836</w:t>
            </w:r>
          </w:p>
        </w:tc>
        <w:tc>
          <w:tcPr>
            <w:tcW w:w="560" w:type="dxa"/>
            <w:vAlign w:val="bottom"/>
            <w:tcBorders>
              <w:bottom w:val="single" w:sz="8" w:color="auto"/>
            </w:tcBorders>
          </w:tcPr>
          <w:p>
            <w:pPr>
              <w:jc w:val="right"/>
              <w:ind w:right="19"/>
              <w:spacing w:after="0" w:line="176" w:lineRule="exact"/>
              <w:rPr>
                <w:sz w:val="20"/>
                <w:szCs w:val="20"/>
                <w:color w:val="auto"/>
              </w:rPr>
            </w:pPr>
            <w:r>
              <w:rPr>
                <w:rFonts w:ascii="Arial" w:cs="Arial" w:eastAsia="Arial" w:hAnsi="Arial"/>
                <w:sz w:val="16"/>
                <w:szCs w:val="16"/>
                <w:color w:val="auto"/>
              </w:rPr>
              <w:t>100</w:t>
            </w:r>
          </w:p>
        </w:tc>
        <w:tc>
          <w:tcPr>
            <w:tcW w:w="26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6"/>
                <w:szCs w:val="16"/>
                <w:color w:val="auto"/>
              </w:rPr>
              <w:t>%</w:t>
            </w:r>
          </w:p>
        </w:tc>
        <w:tc>
          <w:tcPr>
            <w:tcW w:w="340" w:type="dxa"/>
            <w:vAlign w:val="bottom"/>
            <w:tcBorders>
              <w:bottom w:val="single" w:sz="8" w:color="auto"/>
            </w:tcBorders>
          </w:tcPr>
          <w:p>
            <w:pPr>
              <w:jc w:val="right"/>
              <w:ind w:right="119"/>
              <w:spacing w:after="0" w:line="176" w:lineRule="exact"/>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tcPr>
          <w:p>
            <w:pPr>
              <w:jc w:val="right"/>
              <w:ind w:right="180"/>
              <w:spacing w:after="0" w:line="176" w:lineRule="exact"/>
              <w:rPr>
                <w:sz w:val="20"/>
                <w:szCs w:val="20"/>
                <w:color w:val="auto"/>
              </w:rPr>
            </w:pPr>
            <w:r>
              <w:rPr>
                <w:rFonts w:ascii="Arial" w:cs="Arial" w:eastAsia="Arial" w:hAnsi="Arial"/>
                <w:sz w:val="16"/>
                <w:szCs w:val="16"/>
                <w:color w:val="auto"/>
              </w:rPr>
              <w:t>30,283</w:t>
            </w:r>
          </w:p>
        </w:tc>
        <w:tc>
          <w:tcPr>
            <w:tcW w:w="580" w:type="dxa"/>
            <w:vAlign w:val="bottom"/>
            <w:tcBorders>
              <w:bottom w:val="single" w:sz="8" w:color="auto"/>
            </w:tcBorders>
          </w:tcPr>
          <w:p>
            <w:pPr>
              <w:jc w:val="right"/>
              <w:ind w:right="19"/>
              <w:spacing w:after="0" w:line="176" w:lineRule="exact"/>
              <w:rPr>
                <w:sz w:val="20"/>
                <w:szCs w:val="20"/>
                <w:color w:val="auto"/>
              </w:rPr>
            </w:pPr>
            <w:r>
              <w:rPr>
                <w:rFonts w:ascii="Arial" w:cs="Arial" w:eastAsia="Arial" w:hAnsi="Arial"/>
                <w:sz w:val="16"/>
                <w:szCs w:val="16"/>
                <w:color w:val="auto"/>
              </w:rPr>
              <w:t>100</w:t>
            </w:r>
          </w:p>
        </w:tc>
        <w:tc>
          <w:tcPr>
            <w:tcW w:w="300" w:type="dxa"/>
            <w:vAlign w:val="bottom"/>
            <w:tcBorders>
              <w:bottom w:val="single" w:sz="8" w:color="auto"/>
            </w:tcBorders>
          </w:tcPr>
          <w:p>
            <w:pPr>
              <w:jc w:val="right"/>
              <w:ind w:right="39"/>
              <w:spacing w:after="0" w:line="176" w:lineRule="exact"/>
              <w:rPr>
                <w:sz w:val="20"/>
                <w:szCs w:val="20"/>
                <w:color w:val="auto"/>
              </w:rPr>
            </w:pPr>
            <w:r>
              <w:rPr>
                <w:rFonts w:ascii="Arial" w:cs="Arial" w:eastAsia="Arial" w:hAnsi="Arial"/>
                <w:sz w:val="16"/>
                <w:szCs w:val="16"/>
                <w:color w:val="auto"/>
              </w:rPr>
              <w:t>%</w:t>
            </w:r>
          </w:p>
        </w:tc>
      </w:tr>
      <w:tr>
        <w:trPr>
          <w:trHeight w:val="164"/>
        </w:trPr>
        <w:tc>
          <w:tcPr>
            <w:tcW w:w="20" w:type="dxa"/>
            <w:vAlign w:val="bottom"/>
          </w:tcPr>
          <w:p>
            <w:pPr>
              <w:spacing w:after="0"/>
              <w:rPr>
                <w:sz w:val="14"/>
                <w:szCs w:val="14"/>
                <w:color w:val="auto"/>
              </w:rPr>
            </w:pPr>
          </w:p>
        </w:tc>
        <w:tc>
          <w:tcPr>
            <w:tcW w:w="4040" w:type="dxa"/>
            <w:vAlign w:val="bottom"/>
            <w:gridSpan w:val="3"/>
          </w:tcPr>
          <w:p>
            <w:pPr>
              <w:spacing w:after="0" w:line="164" w:lineRule="exact"/>
              <w:rPr>
                <w:sz w:val="20"/>
                <w:szCs w:val="20"/>
                <w:color w:val="auto"/>
              </w:rPr>
            </w:pPr>
            <w:r>
              <w:rPr>
                <w:rFonts w:ascii="Arial" w:cs="Arial" w:eastAsia="Arial" w:hAnsi="Arial"/>
                <w:sz w:val="16"/>
                <w:szCs w:val="16"/>
                <w:color w:val="auto"/>
              </w:rPr>
              <w:t>INVESTMENTS IN EQUITY METHOD INVESTEES</w:t>
            </w:r>
          </w:p>
        </w:tc>
        <w:tc>
          <w:tcPr>
            <w:tcW w:w="5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r>
      <w:tr>
        <w:trPr>
          <w:trHeight w:val="176"/>
        </w:trPr>
        <w:tc>
          <w:tcPr>
            <w:tcW w:w="20" w:type="dxa"/>
            <w:vAlign w:val="bottom"/>
          </w:tcPr>
          <w:p>
            <w:pPr>
              <w:spacing w:after="0"/>
              <w:rPr>
                <w:sz w:val="15"/>
                <w:szCs w:val="15"/>
                <w:color w:val="auto"/>
              </w:rPr>
            </w:pPr>
          </w:p>
        </w:tc>
        <w:tc>
          <w:tcPr>
            <w:tcW w:w="2860" w:type="dxa"/>
            <w:vAlign w:val="bottom"/>
          </w:tcPr>
          <w:p>
            <w:pPr>
              <w:ind w:left="120"/>
              <w:spacing w:after="0" w:line="176" w:lineRule="exact"/>
              <w:rPr>
                <w:sz w:val="20"/>
                <w:szCs w:val="20"/>
                <w:color w:val="auto"/>
              </w:rPr>
            </w:pPr>
            <w:r>
              <w:rPr>
                <w:rFonts w:ascii="Arial" w:cs="Arial" w:eastAsia="Arial" w:hAnsi="Arial"/>
                <w:sz w:val="16"/>
                <w:szCs w:val="16"/>
                <w:color w:val="auto"/>
              </w:rPr>
              <w:t>Sempra Generation</w:t>
            </w:r>
          </w:p>
        </w:tc>
        <w:tc>
          <w:tcPr>
            <w:tcW w:w="4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40" w:type="dxa"/>
            <w:vAlign w:val="bottom"/>
            <w:gridSpan w:val="2"/>
          </w:tcPr>
          <w:p>
            <w:pPr>
              <w:jc w:val="right"/>
              <w:ind w:right="184"/>
              <w:spacing w:after="0" w:line="176" w:lineRule="exact"/>
              <w:rPr>
                <w:sz w:val="20"/>
                <w:szCs w:val="20"/>
                <w:color w:val="auto"/>
              </w:rPr>
            </w:pPr>
            <w:r>
              <w:rPr>
                <w:rFonts w:ascii="Arial" w:cs="Arial" w:eastAsia="Arial" w:hAnsi="Arial"/>
                <w:sz w:val="16"/>
                <w:szCs w:val="16"/>
                <w:color w:val="auto"/>
              </w:rPr>
              <w:t>$</w:t>
            </w:r>
          </w:p>
        </w:tc>
        <w:tc>
          <w:tcPr>
            <w:tcW w:w="920" w:type="dxa"/>
            <w:vAlign w:val="bottom"/>
          </w:tcPr>
          <w:p>
            <w:pPr>
              <w:jc w:val="right"/>
              <w:ind w:right="40"/>
              <w:spacing w:after="0" w:line="176" w:lineRule="exact"/>
              <w:rPr>
                <w:sz w:val="20"/>
                <w:szCs w:val="20"/>
                <w:color w:val="auto"/>
              </w:rPr>
            </w:pPr>
            <w:r>
              <w:rPr>
                <w:rFonts w:ascii="Arial" w:cs="Arial" w:eastAsia="Arial" w:hAnsi="Arial"/>
                <w:sz w:val="16"/>
                <w:szCs w:val="16"/>
                <w:color w:val="auto"/>
              </w:rPr>
              <w:t>177</w:t>
            </w:r>
          </w:p>
        </w:tc>
        <w:tc>
          <w:tcPr>
            <w:tcW w:w="5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40" w:type="dxa"/>
            <w:vAlign w:val="bottom"/>
          </w:tcPr>
          <w:p>
            <w:pPr>
              <w:jc w:val="right"/>
              <w:ind w:right="119"/>
              <w:spacing w:after="0" w:line="176" w:lineRule="exact"/>
              <w:rPr>
                <w:sz w:val="20"/>
                <w:szCs w:val="20"/>
                <w:color w:val="auto"/>
              </w:rPr>
            </w:pPr>
            <w:r>
              <w:rPr>
                <w:rFonts w:ascii="Arial" w:cs="Arial" w:eastAsia="Arial" w:hAnsi="Arial"/>
                <w:sz w:val="16"/>
                <w:szCs w:val="16"/>
                <w:color w:val="auto"/>
              </w:rPr>
              <w:t>$</w:t>
            </w:r>
          </w:p>
        </w:tc>
        <w:tc>
          <w:tcPr>
            <w:tcW w:w="1120" w:type="dxa"/>
            <w:vAlign w:val="bottom"/>
          </w:tcPr>
          <w:p>
            <w:pPr>
              <w:jc w:val="right"/>
              <w:ind w:right="180"/>
              <w:spacing w:after="0" w:line="176" w:lineRule="exact"/>
              <w:rPr>
                <w:sz w:val="20"/>
                <w:szCs w:val="20"/>
                <w:color w:val="auto"/>
              </w:rPr>
            </w:pPr>
            <w:r>
              <w:rPr>
                <w:rFonts w:ascii="Arial" w:cs="Arial" w:eastAsia="Arial" w:hAnsi="Arial"/>
                <w:sz w:val="16"/>
                <w:szCs w:val="16"/>
                <w:color w:val="auto"/>
              </w:rPr>
              <w:t>185</w:t>
            </w:r>
          </w:p>
        </w:tc>
        <w:tc>
          <w:tcPr>
            <w:tcW w:w="580" w:type="dxa"/>
            <w:vAlign w:val="bottom"/>
          </w:tcPr>
          <w:p>
            <w:pPr>
              <w:spacing w:after="0"/>
              <w:rPr>
                <w:sz w:val="15"/>
                <w:szCs w:val="15"/>
                <w:color w:val="auto"/>
              </w:rPr>
            </w:pPr>
          </w:p>
        </w:tc>
        <w:tc>
          <w:tcPr>
            <w:tcW w:w="300" w:type="dxa"/>
            <w:vAlign w:val="bottom"/>
          </w:tcPr>
          <w:p>
            <w:pPr>
              <w:spacing w:after="0"/>
              <w:rPr>
                <w:sz w:val="15"/>
                <w:szCs w:val="15"/>
                <w:color w:val="auto"/>
              </w:rPr>
            </w:pPr>
          </w:p>
        </w:tc>
      </w:tr>
      <w:tr>
        <w:trPr>
          <w:trHeight w:val="176"/>
        </w:trPr>
        <w:tc>
          <w:tcPr>
            <w:tcW w:w="20" w:type="dxa"/>
            <w:vAlign w:val="bottom"/>
          </w:tcPr>
          <w:p>
            <w:pPr>
              <w:spacing w:after="0"/>
              <w:rPr>
                <w:sz w:val="15"/>
                <w:szCs w:val="15"/>
                <w:color w:val="auto"/>
              </w:rPr>
            </w:pPr>
          </w:p>
        </w:tc>
        <w:tc>
          <w:tcPr>
            <w:tcW w:w="2860" w:type="dxa"/>
            <w:vAlign w:val="bottom"/>
          </w:tcPr>
          <w:p>
            <w:pPr>
              <w:ind w:left="120"/>
              <w:spacing w:after="0" w:line="176" w:lineRule="exact"/>
              <w:rPr>
                <w:sz w:val="20"/>
                <w:szCs w:val="20"/>
                <w:color w:val="auto"/>
              </w:rPr>
            </w:pPr>
            <w:r>
              <w:rPr>
                <w:rFonts w:ascii="Arial" w:cs="Arial" w:eastAsia="Arial" w:hAnsi="Arial"/>
                <w:sz w:val="16"/>
                <w:szCs w:val="16"/>
                <w:color w:val="auto"/>
              </w:rPr>
              <w:t>Sempra Pipelines &amp; Storage(4)</w:t>
            </w:r>
          </w:p>
        </w:tc>
        <w:tc>
          <w:tcPr>
            <w:tcW w:w="4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20" w:type="dxa"/>
            <w:vAlign w:val="bottom"/>
          </w:tcPr>
          <w:p>
            <w:pPr>
              <w:jc w:val="right"/>
              <w:ind w:right="40"/>
              <w:spacing w:after="0" w:line="176" w:lineRule="exact"/>
              <w:rPr>
                <w:sz w:val="20"/>
                <w:szCs w:val="20"/>
                <w:color w:val="auto"/>
              </w:rPr>
            </w:pPr>
            <w:r>
              <w:rPr>
                <w:rFonts w:ascii="Arial" w:cs="Arial" w:eastAsia="Arial" w:hAnsi="Arial"/>
                <w:sz w:val="16"/>
                <w:szCs w:val="16"/>
                <w:color w:val="auto"/>
              </w:rPr>
              <w:t>1,113</w:t>
            </w:r>
          </w:p>
        </w:tc>
        <w:tc>
          <w:tcPr>
            <w:tcW w:w="5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20" w:type="dxa"/>
            <w:vAlign w:val="bottom"/>
          </w:tcPr>
          <w:p>
            <w:pPr>
              <w:jc w:val="right"/>
              <w:ind w:right="180"/>
              <w:spacing w:after="0" w:line="176" w:lineRule="exact"/>
              <w:rPr>
                <w:sz w:val="20"/>
                <w:szCs w:val="20"/>
                <w:color w:val="auto"/>
              </w:rPr>
            </w:pPr>
            <w:r>
              <w:rPr>
                <w:rFonts w:ascii="Arial" w:cs="Arial" w:eastAsia="Arial" w:hAnsi="Arial"/>
                <w:sz w:val="16"/>
                <w:szCs w:val="16"/>
                <w:color w:val="auto"/>
              </w:rPr>
              <w:t>1,777</w:t>
            </w:r>
          </w:p>
        </w:tc>
        <w:tc>
          <w:tcPr>
            <w:tcW w:w="580" w:type="dxa"/>
            <w:vAlign w:val="bottom"/>
          </w:tcPr>
          <w:p>
            <w:pPr>
              <w:spacing w:after="0"/>
              <w:rPr>
                <w:sz w:val="15"/>
                <w:szCs w:val="15"/>
                <w:color w:val="auto"/>
              </w:rPr>
            </w:pPr>
          </w:p>
        </w:tc>
        <w:tc>
          <w:tcPr>
            <w:tcW w:w="300" w:type="dxa"/>
            <w:vAlign w:val="bottom"/>
          </w:tcPr>
          <w:p>
            <w:pPr>
              <w:spacing w:after="0"/>
              <w:rPr>
                <w:sz w:val="15"/>
                <w:szCs w:val="15"/>
                <w:color w:val="auto"/>
              </w:rPr>
            </w:pPr>
          </w:p>
        </w:tc>
      </w:tr>
      <w:tr>
        <w:trPr>
          <w:trHeight w:val="194"/>
        </w:trPr>
        <w:tc>
          <w:tcPr>
            <w:tcW w:w="20" w:type="dxa"/>
            <w:vAlign w:val="bottom"/>
          </w:tcPr>
          <w:p>
            <w:pPr>
              <w:spacing w:after="0"/>
              <w:rPr>
                <w:sz w:val="16"/>
                <w:szCs w:val="16"/>
                <w:color w:val="auto"/>
              </w:rPr>
            </w:pPr>
          </w:p>
        </w:tc>
        <w:tc>
          <w:tcPr>
            <w:tcW w:w="2860" w:type="dxa"/>
            <w:vAlign w:val="bottom"/>
          </w:tcPr>
          <w:p>
            <w:pPr>
              <w:ind w:left="120"/>
              <w:spacing w:after="0"/>
              <w:rPr>
                <w:sz w:val="20"/>
                <w:szCs w:val="20"/>
                <w:color w:val="auto"/>
              </w:rPr>
            </w:pPr>
            <w:r>
              <w:rPr>
                <w:rFonts w:ascii="Arial" w:cs="Arial" w:eastAsia="Arial" w:hAnsi="Arial"/>
                <w:sz w:val="16"/>
                <w:szCs w:val="16"/>
                <w:color w:val="auto"/>
              </w:rPr>
              <w:t>All other</w:t>
            </w:r>
          </w:p>
        </w:tc>
        <w:tc>
          <w:tcPr>
            <w:tcW w:w="4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453</w:t>
            </w:r>
          </w:p>
        </w:tc>
        <w:tc>
          <w:tcPr>
            <w:tcW w:w="56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180"/>
              <w:spacing w:after="0"/>
              <w:rPr>
                <w:sz w:val="20"/>
                <w:szCs w:val="20"/>
                <w:color w:val="auto"/>
              </w:rPr>
            </w:pPr>
            <w:r>
              <w:rPr>
                <w:rFonts w:ascii="Arial" w:cs="Arial" w:eastAsia="Arial" w:hAnsi="Arial"/>
                <w:sz w:val="16"/>
                <w:szCs w:val="16"/>
                <w:color w:val="auto"/>
              </w:rPr>
              <w:t>803</w:t>
            </w:r>
          </w:p>
        </w:tc>
        <w:tc>
          <w:tcPr>
            <w:tcW w:w="58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r>
      <w:tr>
        <w:trPr>
          <w:trHeight w:val="195"/>
        </w:trPr>
        <w:tc>
          <w:tcPr>
            <w:tcW w:w="20" w:type="dxa"/>
            <w:vAlign w:val="bottom"/>
          </w:tcPr>
          <w:p>
            <w:pPr>
              <w:spacing w:after="0"/>
              <w:rPr>
                <w:sz w:val="16"/>
                <w:szCs w:val="16"/>
                <w:color w:val="auto"/>
              </w:rPr>
            </w:pPr>
          </w:p>
        </w:tc>
        <w:tc>
          <w:tcPr>
            <w:tcW w:w="2860" w:type="dxa"/>
            <w:vAlign w:val="bottom"/>
          </w:tcPr>
          <w:p>
            <w:pPr>
              <w:ind w:left="300"/>
              <w:spacing w:after="0"/>
              <w:rPr>
                <w:sz w:val="20"/>
                <w:szCs w:val="20"/>
                <w:color w:val="auto"/>
              </w:rPr>
            </w:pPr>
            <w:r>
              <w:rPr>
                <w:rFonts w:ascii="Arial" w:cs="Arial" w:eastAsia="Arial" w:hAnsi="Arial"/>
                <w:sz w:val="16"/>
                <w:szCs w:val="16"/>
                <w:color w:val="auto"/>
              </w:rPr>
              <w:t>Total</w:t>
            </w:r>
          </w:p>
        </w:tc>
        <w:tc>
          <w:tcPr>
            <w:tcW w:w="4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40" w:type="dxa"/>
            <w:vAlign w:val="bottom"/>
          </w:tcPr>
          <w:p>
            <w:pPr>
              <w:jc w:val="right"/>
              <w:ind w:right="184"/>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ind w:right="40"/>
              <w:spacing w:after="0"/>
              <w:rPr>
                <w:sz w:val="20"/>
                <w:szCs w:val="20"/>
                <w:color w:val="auto"/>
              </w:rPr>
            </w:pPr>
            <w:r>
              <w:rPr>
                <w:rFonts w:ascii="Arial" w:cs="Arial" w:eastAsia="Arial" w:hAnsi="Arial"/>
                <w:sz w:val="16"/>
                <w:szCs w:val="16"/>
                <w:color w:val="auto"/>
              </w:rPr>
              <w:t>1,743</w:t>
            </w:r>
          </w:p>
        </w:tc>
        <w:tc>
          <w:tcPr>
            <w:tcW w:w="5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4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180"/>
              <w:spacing w:after="0"/>
              <w:rPr>
                <w:sz w:val="20"/>
                <w:szCs w:val="20"/>
                <w:color w:val="auto"/>
              </w:rPr>
            </w:pPr>
            <w:r>
              <w:rPr>
                <w:rFonts w:ascii="Arial" w:cs="Arial" w:eastAsia="Arial" w:hAnsi="Arial"/>
                <w:sz w:val="16"/>
                <w:szCs w:val="16"/>
                <w:color w:val="auto"/>
              </w:rPr>
              <w:t>2,765</w:t>
            </w:r>
          </w:p>
        </w:tc>
        <w:tc>
          <w:tcPr>
            <w:tcW w:w="580" w:type="dxa"/>
            <w:vAlign w:val="bottom"/>
          </w:tcPr>
          <w:p>
            <w:pPr>
              <w:spacing w:after="0"/>
              <w:rPr>
                <w:sz w:val="16"/>
                <w:szCs w:val="16"/>
                <w:color w:val="auto"/>
              </w:rPr>
            </w:pPr>
          </w:p>
        </w:tc>
        <w:tc>
          <w:tcPr>
            <w:tcW w:w="300" w:type="dxa"/>
            <w:vAlign w:val="bottom"/>
          </w:tcPr>
          <w:p>
            <w:pPr>
              <w:spacing w:after="0"/>
              <w:rPr>
                <w:sz w:val="16"/>
                <w:szCs w:val="1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24662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ind w:left="460" w:hanging="452"/>
        <w:spacing w:after="0"/>
        <w:tabs>
          <w:tab w:leader="none" w:pos="460" w:val="left"/>
        </w:tabs>
        <w:numPr>
          <w:ilvl w:val="0"/>
          <w:numId w:val="37"/>
        </w:numPr>
        <w:rPr>
          <w:rFonts w:ascii="Arial" w:cs="Arial" w:eastAsia="Arial" w:hAnsi="Arial"/>
          <w:sz w:val="14"/>
          <w:szCs w:val="14"/>
          <w:i w:val="1"/>
          <w:iCs w:val="1"/>
          <w:color w:val="auto"/>
        </w:rPr>
      </w:pPr>
      <w:r>
        <w:rPr>
          <w:rFonts w:ascii="Arial" w:cs="Arial" w:eastAsia="Arial" w:hAnsi="Arial"/>
          <w:sz w:val="14"/>
          <w:szCs w:val="14"/>
          <w:i w:val="1"/>
          <w:iCs w:val="1"/>
          <w:color w:val="auto"/>
        </w:rPr>
        <w:t>Revenues for reportable segments include intersegment revenues of:</w:t>
      </w:r>
    </w:p>
    <w:p>
      <w:pPr>
        <w:spacing w:after="0" w:line="13" w:lineRule="exact"/>
        <w:rPr>
          <w:rFonts w:ascii="Arial" w:cs="Arial" w:eastAsia="Arial" w:hAnsi="Arial"/>
          <w:sz w:val="14"/>
          <w:szCs w:val="14"/>
          <w:i w:val="1"/>
          <w:iCs w:val="1"/>
          <w:color w:val="auto"/>
        </w:rPr>
      </w:pPr>
    </w:p>
    <w:p>
      <w:pPr>
        <w:ind w:left="460" w:right="1320"/>
        <w:spacing w:after="0" w:line="241" w:lineRule="auto"/>
        <w:rPr>
          <w:rFonts w:ascii="Arial" w:cs="Arial" w:eastAsia="Arial" w:hAnsi="Arial"/>
          <w:sz w:val="14"/>
          <w:szCs w:val="14"/>
          <w:i w:val="1"/>
          <w:iCs w:val="1"/>
          <w:color w:val="auto"/>
        </w:rPr>
      </w:pPr>
      <w:r>
        <w:rPr>
          <w:rFonts w:ascii="Arial" w:cs="Arial" w:eastAsia="Arial" w:hAnsi="Arial"/>
          <w:sz w:val="14"/>
          <w:szCs w:val="14"/>
          <w:i w:val="1"/>
          <w:iCs w:val="1"/>
          <w:color w:val="auto"/>
        </w:rPr>
        <w:t>$1 million, $12 million and $11 million for SDG&amp;E, SoCalGas and Sempra Pipelines &amp; Storage, respectively, for the three months ended June 30, 2011. $3 million, $25 million and $22 million for SDG&amp;E, SoCalGas and Sempra Pipelines &amp; Storage, respectively, for the six months ended June 30, 2011. $2 million, $10 million and $13 million for SDG&amp;E, SoCalGas and Sempra Pipelines &amp; Storage, respectively, for the three months ended June 30, 2010. $3 million, $21 million and $27 million for SDG&amp;E, SoCalGas and Sempra Pipelines &amp; Storage, respectively, for the six months ended June 30, 2010.</w:t>
      </w:r>
    </w:p>
    <w:p>
      <w:pPr>
        <w:spacing w:after="0" w:line="1" w:lineRule="exact"/>
        <w:rPr>
          <w:rFonts w:ascii="Arial" w:cs="Arial" w:eastAsia="Arial" w:hAnsi="Arial"/>
          <w:sz w:val="14"/>
          <w:szCs w:val="14"/>
          <w:i w:val="1"/>
          <w:iCs w:val="1"/>
          <w:color w:val="auto"/>
        </w:rPr>
      </w:pPr>
    </w:p>
    <w:p>
      <w:pPr>
        <w:ind w:left="460" w:hanging="452"/>
        <w:spacing w:after="0"/>
        <w:tabs>
          <w:tab w:leader="none" w:pos="460" w:val="left"/>
        </w:tabs>
        <w:numPr>
          <w:ilvl w:val="0"/>
          <w:numId w:val="37"/>
        </w:numPr>
        <w:rPr>
          <w:rFonts w:ascii="Arial" w:cs="Arial" w:eastAsia="Arial" w:hAnsi="Arial"/>
          <w:sz w:val="14"/>
          <w:szCs w:val="14"/>
          <w:i w:val="1"/>
          <w:iCs w:val="1"/>
          <w:color w:val="auto"/>
        </w:rPr>
      </w:pPr>
      <w:r>
        <w:rPr>
          <w:rFonts w:ascii="Arial" w:cs="Arial" w:eastAsia="Arial" w:hAnsi="Arial"/>
          <w:sz w:val="14"/>
          <w:szCs w:val="14"/>
          <w:i w:val="1"/>
          <w:iCs w:val="1"/>
          <w:color w:val="auto"/>
        </w:rPr>
        <w:t>Prior year amounts have been revised to present amounts after eliminations between Parent and corporate entities.</w:t>
      </w:r>
    </w:p>
    <w:p>
      <w:pPr>
        <w:spacing w:after="0" w:line="1" w:lineRule="exact"/>
        <w:rPr>
          <w:rFonts w:ascii="Arial" w:cs="Arial" w:eastAsia="Arial" w:hAnsi="Arial"/>
          <w:sz w:val="14"/>
          <w:szCs w:val="14"/>
          <w:i w:val="1"/>
          <w:iCs w:val="1"/>
          <w:color w:val="auto"/>
        </w:rPr>
      </w:pPr>
    </w:p>
    <w:p>
      <w:pPr>
        <w:ind w:left="460" w:hanging="452"/>
        <w:spacing w:after="0"/>
        <w:tabs>
          <w:tab w:leader="none" w:pos="460" w:val="left"/>
        </w:tabs>
        <w:numPr>
          <w:ilvl w:val="0"/>
          <w:numId w:val="37"/>
        </w:numPr>
        <w:rPr>
          <w:rFonts w:ascii="Arial" w:cs="Arial" w:eastAsia="Arial" w:hAnsi="Arial"/>
          <w:sz w:val="14"/>
          <w:szCs w:val="14"/>
          <w:i w:val="1"/>
          <w:iCs w:val="1"/>
          <w:color w:val="auto"/>
        </w:rPr>
      </w:pPr>
      <w:r>
        <w:rPr>
          <w:rFonts w:ascii="Arial" w:cs="Arial" w:eastAsia="Arial" w:hAnsi="Arial"/>
          <w:sz w:val="14"/>
          <w:szCs w:val="14"/>
          <w:i w:val="1"/>
          <w:iCs w:val="1"/>
          <w:color w:val="auto"/>
        </w:rPr>
        <w:t>After preferred dividends.</w:t>
      </w:r>
    </w:p>
    <w:p>
      <w:pPr>
        <w:spacing w:after="0" w:line="1" w:lineRule="exact"/>
        <w:rPr>
          <w:rFonts w:ascii="Arial" w:cs="Arial" w:eastAsia="Arial" w:hAnsi="Arial"/>
          <w:sz w:val="14"/>
          <w:szCs w:val="14"/>
          <w:i w:val="1"/>
          <w:iCs w:val="1"/>
          <w:color w:val="auto"/>
        </w:rPr>
      </w:pPr>
    </w:p>
    <w:p>
      <w:pPr>
        <w:ind w:left="460" w:hanging="452"/>
        <w:spacing w:after="0"/>
        <w:tabs>
          <w:tab w:leader="none" w:pos="460" w:val="left"/>
        </w:tabs>
        <w:numPr>
          <w:ilvl w:val="0"/>
          <w:numId w:val="37"/>
        </w:numPr>
        <w:rPr>
          <w:rFonts w:ascii="Arial" w:cs="Arial" w:eastAsia="Arial" w:hAnsi="Arial"/>
          <w:sz w:val="14"/>
          <w:szCs w:val="14"/>
          <w:i w:val="1"/>
          <w:iCs w:val="1"/>
          <w:color w:val="auto"/>
        </w:rPr>
      </w:pPr>
      <w:r>
        <w:rPr>
          <w:rFonts w:ascii="Arial" w:cs="Arial" w:eastAsia="Arial" w:hAnsi="Arial"/>
          <w:sz w:val="14"/>
          <w:szCs w:val="14"/>
          <w:i w:val="1"/>
          <w:iCs w:val="1"/>
          <w:color w:val="auto"/>
        </w:rPr>
        <w:t>We provide additional information regarding Sempra Pipelines &amp; Storage's investments in Note 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ind w:right="240"/>
        <w:spacing w:after="0" w:line="260" w:lineRule="auto"/>
        <w:rPr>
          <w:sz w:val="20"/>
          <w:szCs w:val="20"/>
          <w:color w:val="auto"/>
        </w:rPr>
      </w:pPr>
      <w:r>
        <w:rPr>
          <w:rFonts w:ascii="Arial" w:cs="Arial" w:eastAsia="Arial" w:hAnsi="Arial"/>
          <w:sz w:val="23"/>
          <w:szCs w:val="23"/>
          <w:color w:val="auto"/>
        </w:rPr>
        <w:t>ITEM 2. MANAGEMENT'S DISCUSSION AND ANALYSIS OF FINANCIAL CONDITION AND RESULTS OF OPERATIONS</w:t>
      </w:r>
    </w:p>
    <w:p>
      <w:pPr>
        <w:spacing w:after="0" w:line="219" w:lineRule="exact"/>
        <w:rPr>
          <w:sz w:val="20"/>
          <w:szCs w:val="20"/>
          <w:color w:val="auto"/>
        </w:rPr>
      </w:pPr>
    </w:p>
    <w:p>
      <w:pPr>
        <w:jc w:val="both"/>
        <w:ind w:right="100"/>
        <w:spacing w:after="0" w:line="264" w:lineRule="auto"/>
        <w:rPr>
          <w:sz w:val="20"/>
          <w:szCs w:val="20"/>
          <w:color w:val="auto"/>
        </w:rPr>
      </w:pPr>
      <w:r>
        <w:rPr>
          <w:rFonts w:ascii="Arial" w:cs="Arial" w:eastAsia="Arial" w:hAnsi="Arial"/>
          <w:sz w:val="18"/>
          <w:szCs w:val="18"/>
          <w:color w:val="auto"/>
        </w:rPr>
        <w:t>You should read the following discussion in conjunction with the financial statements contained in this Form 10-Q, "Management's Discussion and Analysis of Financial Condition and Results of Operations" contained in our 2010 Annual Report on Form 10-K (Annual Report), and "Risk Factors" contained in our Annual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193040</wp:posOffset>
            </wp:positionV>
            <wp:extent cx="7263765"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20"/>
          <w:szCs w:val="20"/>
          <w:color w:val="auto"/>
        </w:rPr>
        <w:t>OVERVIEW</w:t>
      </w:r>
    </w:p>
    <w:p>
      <w:pPr>
        <w:spacing w:after="0" w:line="191" w:lineRule="exact"/>
        <w:rPr>
          <w:sz w:val="20"/>
          <w:szCs w:val="20"/>
          <w:color w:val="auto"/>
        </w:rPr>
      </w:pPr>
    </w:p>
    <w:p>
      <w:pPr>
        <w:ind w:right="280"/>
        <w:spacing w:after="0" w:line="302" w:lineRule="auto"/>
        <w:rPr>
          <w:sz w:val="20"/>
          <w:szCs w:val="20"/>
          <w:color w:val="auto"/>
        </w:rPr>
      </w:pPr>
      <w:r>
        <w:rPr>
          <w:rFonts w:ascii="Arial" w:cs="Arial" w:eastAsia="Arial" w:hAnsi="Arial"/>
          <w:sz w:val="16"/>
          <w:szCs w:val="16"/>
          <w:color w:val="auto"/>
        </w:rPr>
        <w:t>Sempra Energy is a Fortune 500 energy services holding company whose business units develop energy infrastructure, operate utilities and provide related products and services to their customers. Our operations are divided principally between the Sempra Utilities and Sempra Global. The Sempra Utilities consist of two California regulated public utility companies, (1) San Diego Gas &amp; Electric Company (SDG&amp;E) and (2) Southern California Gas Company (SoCalGas). Sempra Global consists of other businesses engaged in providing energy products and services, including utility companies.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This report includes information for the following separate registrants:</w:t>
      </w:r>
    </w:p>
    <w:p>
      <w:pPr>
        <w:spacing w:after="0" w:line="225" w:lineRule="exact"/>
        <w:rPr>
          <w:sz w:val="20"/>
          <w:szCs w:val="20"/>
          <w:color w:val="auto"/>
        </w:rPr>
      </w:pPr>
    </w:p>
    <w:p>
      <w:pPr>
        <w:ind w:left="340" w:hanging="188"/>
        <w:spacing w:after="0"/>
        <w:tabs>
          <w:tab w:leader="none" w:pos="3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Sempra Energy and its consolidated entities</w:t>
      </w:r>
    </w:p>
    <w:p>
      <w:pPr>
        <w:spacing w:after="0" w:line="252" w:lineRule="exact"/>
        <w:rPr>
          <w:rFonts w:ascii="Arial" w:cs="Arial" w:eastAsia="Arial" w:hAnsi="Arial"/>
          <w:sz w:val="18"/>
          <w:szCs w:val="18"/>
          <w:color w:val="auto"/>
        </w:rPr>
      </w:pPr>
    </w:p>
    <w:p>
      <w:pPr>
        <w:ind w:left="340" w:hanging="188"/>
        <w:spacing w:after="0"/>
        <w:tabs>
          <w:tab w:leader="none" w:pos="3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SDG&amp;E</w:t>
      </w:r>
    </w:p>
    <w:p>
      <w:pPr>
        <w:spacing w:after="0" w:line="252" w:lineRule="exact"/>
        <w:rPr>
          <w:rFonts w:ascii="Arial" w:cs="Arial" w:eastAsia="Arial" w:hAnsi="Arial"/>
          <w:sz w:val="18"/>
          <w:szCs w:val="18"/>
          <w:color w:val="auto"/>
        </w:rPr>
      </w:pPr>
    </w:p>
    <w:p>
      <w:pPr>
        <w:ind w:left="340" w:hanging="188"/>
        <w:spacing w:after="0"/>
        <w:tabs>
          <w:tab w:leader="none" w:pos="3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SoCalGas</w:t>
      </w:r>
    </w:p>
    <w:p>
      <w:pPr>
        <w:spacing w:after="0" w:line="252"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References in this report to "we," "our" and "Sempra Energy Consolidated" are to Sempra Energy and its consolidated entities, collectively, unless otherwise indicated by the context.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Below are summary descriptions of our operating business units, which are also our reportable segments.</w:t>
      </w:r>
    </w:p>
    <w:p>
      <w:pPr>
        <w:sectPr>
          <w:pgSz w:w="11900" w:h="16838" w:orient="portrait"/>
          <w:cols w:equalWidth="0" w:num="1">
            <w:col w:w="11420"/>
          </w:cols>
          <w:pgMar w:left="240" w:top="119" w:right="239" w:bottom="0" w:gutter="0" w:footer="0" w:header="0"/>
        </w:sectPr>
      </w:pPr>
    </w:p>
    <w:bookmarkStart w:id="50" w:name="page51"/>
    <w:bookmarkEnd w:id="50"/>
    <w:p>
      <w:pPr>
        <w:spacing w:after="0" w:line="191" w:lineRule="auto"/>
        <w:framePr w:w="840" w:h="147" w:wrap="auto" w:vAnchor="page" w:hAnchor="page" w:x="8140" w:y="11527"/>
        <w:rPr>
          <w:rFonts w:ascii="Arial" w:cs="Arial" w:eastAsia="Arial" w:hAnsi="Arial"/>
          <w:sz w:val="16"/>
          <w:szCs w:val="16"/>
          <w:color w:val="auto"/>
        </w:rPr>
      </w:pPr>
      <w:r>
        <w:rPr>
          <w:rFonts w:ascii="Arial" w:cs="Arial" w:eastAsia="Arial" w:hAnsi="Arial"/>
          <w:sz w:val="16"/>
          <w:szCs w:val="16"/>
          <w:color w:val="auto"/>
        </w:rPr>
        <w:t>§   Global</w:t>
      </w:r>
    </w:p>
    <w:p>
      <w:pPr>
        <w:spacing w:after="0" w:line="230" w:lineRule="auto"/>
        <w:framePr w:w="2660" w:h="176" w:wrap="auto" w:vAnchor="page" w:hAnchor="page" w:x="200" w:y="12618"/>
        <w:rPr>
          <w:rFonts w:ascii="Arial" w:cs="Arial" w:eastAsia="Arial" w:hAnsi="Arial"/>
          <w:sz w:val="16"/>
          <w:szCs w:val="16"/>
          <w:b w:val="1"/>
          <w:bCs w:val="1"/>
          <w:i w:val="1"/>
          <w:iCs w:val="1"/>
          <w:color w:val="auto"/>
        </w:rPr>
      </w:pPr>
      <w:r>
        <w:rPr>
          <w:rFonts w:ascii="Arial" w:cs="Arial" w:eastAsia="Arial" w:hAnsi="Arial"/>
          <w:sz w:val="16"/>
          <w:szCs w:val="16"/>
          <w:b w:val="1"/>
          <w:bCs w:val="1"/>
          <w:i w:val="1"/>
          <w:iCs w:val="1"/>
          <w:color w:val="auto"/>
        </w:rPr>
        <w:t>RBS Sempra Commodities LLP</w:t>
      </w:r>
    </w:p>
    <w:p>
      <w:pPr>
        <w:spacing w:after="0" w:line="267" w:lineRule="auto"/>
        <w:framePr w:w="11320" w:h="1025" w:wrap="auto" w:vAnchor="page" w:hAnchor="page" w:x="200" w:y="13053"/>
        <w:rPr>
          <w:rFonts w:ascii="Arial" w:cs="Arial" w:eastAsia="Arial" w:hAnsi="Arial"/>
          <w:sz w:val="16"/>
          <w:szCs w:val="16"/>
          <w:b w:val="1"/>
          <w:bCs w:val="1"/>
          <w:i w:val="1"/>
          <w:iCs w:val="1"/>
          <w:color w:val="auto"/>
        </w:rPr>
      </w:pPr>
      <w:r>
        <w:rPr>
          <w:rFonts w:ascii="Arial" w:cs="Arial" w:eastAsia="Arial" w:hAnsi="Arial"/>
          <w:sz w:val="16"/>
          <w:szCs w:val="16"/>
          <w:b w:val="1"/>
          <w:bCs w:val="1"/>
          <w:i w:val="1"/>
          <w:iCs w:val="1"/>
          <w:color w:val="auto"/>
        </w:rPr>
        <w:t>Prior to 2011, our Sempra Commodities segment contained our investment in RBS Sempra Commodities LLP (RBS Sempra Commodities), which held commodities-marketing businesses previously owned by us. Our investment in the partnership is reported on the equity method. We and The Royal Bank of Scotland (RBS), our partner in the joint venture, sold substantially all of the partnership’s businesses and assets in four separate transactions completed in July, November and December of 2010 and February of 2011. We discuss these transactions and other matters concerning the partnership in Note 4 of the Notes to Condensed Consolidated Financial Statements herein and in Note 4 of the Notes to Consolidated Financial Statements in the Annual Report.</w:t>
      </w:r>
    </w:p>
    <w:p>
      <w:pPr>
        <w:spacing w:after="0" w:line="267" w:lineRule="auto"/>
        <w:framePr w:w="11120" w:h="1025" w:wrap="auto" w:vAnchor="page" w:hAnchor="page" w:x="200" w:y="14349"/>
        <w:rPr>
          <w:rFonts w:ascii="Arial" w:cs="Arial" w:eastAsia="Arial" w:hAnsi="Arial"/>
          <w:sz w:val="16"/>
          <w:szCs w:val="16"/>
          <w:b w:val="1"/>
          <w:bCs w:val="1"/>
          <w:i w:val="1"/>
          <w:iCs w:val="1"/>
          <w:color w:val="auto"/>
        </w:rPr>
      </w:pPr>
      <w:r>
        <w:rPr>
          <w:rFonts w:ascii="Arial" w:cs="Arial" w:eastAsia="Arial" w:hAnsi="Arial"/>
          <w:sz w:val="16"/>
          <w:szCs w:val="16"/>
          <w:b w:val="1"/>
          <w:bCs w:val="1"/>
          <w:i w:val="1"/>
          <w:iCs w:val="1"/>
          <w:color w:val="auto"/>
        </w:rPr>
        <w:t>The activity in the partnership no longer meets the quantitative thresholds that require Sempra Commodities to be reported as a reportable segment under applicable accounting rules, and we do not consider the remaining wind-down activities of the partnership to be of continuing significance. As a result, effective January 1, 2011, we are reporting the former Sempra Commodities segment in Parent and Other, and have restated prior year information to be consistent with this treatment. Also, in the fourth quarter of 2010, we changed the composition of our reporting segments to include Sempra Rockies Marketing, which was previously included in the Sempra Commodities segment, in the Sempra Generation segment.</w:t>
      </w:r>
    </w:p>
    <w:p>
      <w:pPr>
        <w:spacing w:after="0" w:line="230" w:lineRule="auto"/>
        <w:framePr w:w="1020" w:h="176" w:wrap="auto" w:vAnchor="page" w:hAnchor="page" w:x="200" w:y="15859"/>
        <w:rPr>
          <w:rFonts w:ascii="Arial" w:cs="Arial" w:eastAsia="Arial" w:hAnsi="Arial"/>
          <w:sz w:val="16"/>
          <w:szCs w:val="16"/>
          <w:b w:val="1"/>
          <w:bCs w:val="1"/>
          <w:i w:val="1"/>
          <w:iCs w:val="1"/>
          <w:color w:val="auto"/>
        </w:rPr>
      </w:pPr>
      <w:r>
        <w:rPr>
          <w:rFonts w:ascii="Arial" w:cs="Arial" w:eastAsia="Arial" w:hAnsi="Arial"/>
          <w:sz w:val="16"/>
          <w:szCs w:val="16"/>
          <w:b w:val="1"/>
          <w:bCs w:val="1"/>
          <w:i w:val="1"/>
          <w:iCs w:val="1"/>
          <w:color w:val="auto"/>
        </w:rPr>
        <w:t>Acquisition</w:t>
      </w:r>
    </w:p>
    <w:p>
      <w:pPr>
        <w:spacing w:after="0" w:line="191" w:lineRule="auto"/>
        <w:framePr w:w="880" w:h="147" w:wrap="auto" w:vAnchor="page" w:hAnchor="page" w:x="8140" w:y="11095"/>
        <w:rPr>
          <w:rFonts w:ascii="Arial" w:cs="Arial" w:eastAsia="Arial" w:hAnsi="Arial"/>
          <w:sz w:val="16"/>
          <w:szCs w:val="16"/>
          <w:b w:val="1"/>
          <w:bCs w:val="1"/>
          <w:i w:val="1"/>
          <w:iCs w:val="1"/>
          <w:color w:val="auto"/>
        </w:rPr>
      </w:pPr>
      <w:r>
        <w:rPr>
          <w:rFonts w:ascii="Arial" w:cs="Arial" w:eastAsia="Arial" w:hAnsi="Arial"/>
          <w:sz w:val="16"/>
          <w:szCs w:val="16"/>
          <w:b w:val="1"/>
          <w:bCs w:val="1"/>
          <w:i w:val="1"/>
          <w:iCs w:val="1"/>
          <w:color w:val="auto"/>
        </w:rPr>
        <w:t>§   Mexico</w:t>
      </w:r>
    </w:p>
    <w:p>
      <w:pPr>
        <w:spacing w:after="0" w:line="191" w:lineRule="auto"/>
        <w:framePr w:w="1200" w:h="147" w:wrap="auto" w:vAnchor="page" w:hAnchor="page" w:x="4320" w:y="11095"/>
        <w:rPr>
          <w:rFonts w:ascii="Arial" w:cs="Arial" w:eastAsia="Arial" w:hAnsi="Arial"/>
          <w:sz w:val="16"/>
          <w:szCs w:val="16"/>
          <w:b w:val="1"/>
          <w:bCs w:val="1"/>
          <w:i w:val="1"/>
          <w:iCs w:val="1"/>
          <w:color w:val="auto"/>
        </w:rPr>
      </w:pPr>
      <w:r>
        <w:rPr>
          <w:rFonts w:ascii="Arial" w:cs="Arial" w:eastAsia="Arial" w:hAnsi="Arial"/>
          <w:sz w:val="16"/>
          <w:szCs w:val="16"/>
          <w:b w:val="1"/>
          <w:bCs w:val="1"/>
          <w:i w:val="1"/>
          <w:iCs w:val="1"/>
          <w:color w:val="auto"/>
        </w:rPr>
        <w:t>§   Natural gas</w:t>
      </w:r>
    </w:p>
    <w:p>
      <w:pPr>
        <w:spacing w:after="0" w:line="191" w:lineRule="auto"/>
        <w:framePr w:w="840" w:h="147" w:wrap="auto" w:vAnchor="page" w:hAnchor="page" w:x="8140" w:y="10663"/>
        <w:rPr>
          <w:rFonts w:ascii="Arial" w:cs="Arial" w:eastAsia="Arial" w:hAnsi="Arial"/>
          <w:sz w:val="16"/>
          <w:szCs w:val="16"/>
          <w:b w:val="1"/>
          <w:bCs w:val="1"/>
          <w:i w:val="1"/>
          <w:iCs w:val="1"/>
          <w:color w:val="auto"/>
        </w:rPr>
      </w:pPr>
      <w:r>
        <w:rPr>
          <w:rFonts w:ascii="Arial" w:cs="Arial" w:eastAsia="Arial" w:hAnsi="Arial"/>
          <w:sz w:val="16"/>
          <w:szCs w:val="16"/>
          <w:b w:val="1"/>
          <w:bCs w:val="1"/>
          <w:i w:val="1"/>
          <w:iCs w:val="1"/>
          <w:color w:val="auto"/>
        </w:rPr>
        <w:t>§   U.S.A.</w:t>
      </w:r>
    </w:p>
    <w:p>
      <w:pPr>
        <w:spacing w:after="0" w:line="191" w:lineRule="auto"/>
        <w:framePr w:w="1880" w:h="147" w:wrap="auto" w:vAnchor="page" w:hAnchor="page" w:x="4320" w:y="10663"/>
        <w:rPr>
          <w:rFonts w:ascii="Arial" w:cs="Arial" w:eastAsia="Arial" w:hAnsi="Arial"/>
          <w:sz w:val="16"/>
          <w:szCs w:val="16"/>
          <w:b w:val="1"/>
          <w:bCs w:val="1"/>
          <w:i w:val="1"/>
          <w:iCs w:val="1"/>
          <w:color w:val="auto"/>
        </w:rPr>
      </w:pPr>
      <w:r>
        <w:rPr>
          <w:rFonts w:ascii="Arial" w:cs="Arial" w:eastAsia="Arial" w:hAnsi="Arial"/>
          <w:sz w:val="16"/>
          <w:szCs w:val="16"/>
          <w:b w:val="1"/>
          <w:bCs w:val="1"/>
          <w:i w:val="1"/>
          <w:iCs w:val="1"/>
          <w:color w:val="auto"/>
        </w:rPr>
        <w:t>§   Liquefied natural gas</w:t>
      </w:r>
    </w:p>
    <w:p>
      <w:pPr>
        <w:spacing w:after="0" w:line="191" w:lineRule="auto"/>
        <w:framePr w:w="1160" w:h="147" w:wrap="auto" w:vAnchor="page" w:hAnchor="page" w:x="200" w:y="10636"/>
        <w:rPr>
          <w:rFonts w:ascii="Arial" w:cs="Arial" w:eastAsia="Arial" w:hAnsi="Arial"/>
          <w:sz w:val="16"/>
          <w:szCs w:val="16"/>
          <w:b w:val="1"/>
          <w:bCs w:val="1"/>
          <w:i w:val="1"/>
          <w:iCs w:val="1"/>
          <w:color w:val="auto"/>
        </w:rPr>
      </w:pPr>
      <w:r>
        <w:rPr>
          <w:rFonts w:ascii="Arial" w:cs="Arial" w:eastAsia="Arial" w:hAnsi="Arial"/>
          <w:sz w:val="16"/>
          <w:szCs w:val="16"/>
          <w:b w:val="1"/>
          <w:bCs w:val="1"/>
          <w:i w:val="1"/>
          <w:iCs w:val="1"/>
          <w:color w:val="auto"/>
        </w:rPr>
        <w:t>SEMPRA LNG</w:t>
      </w:r>
    </w:p>
    <w:p>
      <w:pPr>
        <w:jc w:val="both"/>
        <w:spacing w:after="0" w:line="216" w:lineRule="auto"/>
        <w:framePr w:w="3700" w:h="498" w:wrap="auto" w:vAnchor="page" w:hAnchor="page" w:x="200" w:y="10811"/>
        <w:rPr>
          <w:rFonts w:ascii="Arial" w:cs="Arial" w:eastAsia="Arial" w:hAnsi="Arial"/>
          <w:sz w:val="16"/>
          <w:szCs w:val="16"/>
          <w:b w:val="1"/>
          <w:bCs w:val="1"/>
          <w:i w:val="1"/>
          <w:iCs w:val="1"/>
          <w:color w:val="auto"/>
        </w:rPr>
      </w:pPr>
      <w:r>
        <w:rPr>
          <w:rFonts w:ascii="Arial" w:cs="Arial" w:eastAsia="Arial" w:hAnsi="Arial"/>
          <w:sz w:val="16"/>
          <w:szCs w:val="16"/>
          <w:b w:val="1"/>
          <w:bCs w:val="1"/>
          <w:i w:val="1"/>
          <w:iCs w:val="1"/>
          <w:color w:val="auto"/>
        </w:rPr>
        <w:t>Develops, owns and operates receipt terminals for importation of liquefied natural gas (LNG) and sale of natural gas</w:t>
      </w:r>
    </w:p>
    <w:p>
      <w:pPr>
        <w:spacing w:after="0" w:line="377" w:lineRule="auto"/>
        <w:framePr w:w="1060" w:h="579" w:wrap="auto" w:vAnchor="page" w:hAnchor="page" w:x="8140" w:y="9339"/>
        <w:rPr>
          <w:rFonts w:ascii="Arial" w:cs="Arial" w:eastAsia="Arial" w:hAnsi="Arial"/>
          <w:sz w:val="16"/>
          <w:szCs w:val="16"/>
          <w:b w:val="1"/>
          <w:bCs w:val="1"/>
          <w:i w:val="1"/>
          <w:iCs w:val="1"/>
          <w:color w:val="auto"/>
        </w:rPr>
      </w:pPr>
      <w:r>
        <w:rPr>
          <w:rFonts w:ascii="Arial" w:cs="Arial" w:eastAsia="Arial" w:hAnsi="Arial"/>
          <w:sz w:val="16"/>
          <w:szCs w:val="16"/>
          <w:b w:val="1"/>
          <w:bCs w:val="1"/>
          <w:i w:val="1"/>
          <w:iCs w:val="1"/>
          <w:color w:val="auto"/>
        </w:rPr>
        <w:t>§ Argentina § Chile</w:t>
      </w:r>
    </w:p>
    <w:p>
      <w:pPr>
        <w:spacing w:after="0" w:line="191" w:lineRule="auto"/>
        <w:framePr w:w="700" w:h="147" w:wrap="auto" w:vAnchor="page" w:hAnchor="page" w:x="8140" w:y="10203"/>
        <w:rPr>
          <w:rFonts w:ascii="Arial" w:cs="Arial" w:eastAsia="Arial" w:hAnsi="Arial"/>
          <w:sz w:val="16"/>
          <w:szCs w:val="16"/>
          <w:b w:val="1"/>
          <w:bCs w:val="1"/>
          <w:i w:val="1"/>
          <w:iCs w:val="1"/>
          <w:color w:val="auto"/>
        </w:rPr>
      </w:pPr>
      <w:r>
        <w:rPr>
          <w:rFonts w:ascii="Arial" w:cs="Arial" w:eastAsia="Arial" w:hAnsi="Arial"/>
          <w:sz w:val="16"/>
          <w:szCs w:val="16"/>
          <w:b w:val="1"/>
          <w:bCs w:val="1"/>
          <w:i w:val="1"/>
          <w:iCs w:val="1"/>
          <w:color w:val="auto"/>
        </w:rPr>
        <w:t>§   Peru</w:t>
      </w:r>
    </w:p>
    <w:p>
      <w:pPr>
        <w:spacing w:after="0" w:line="191" w:lineRule="auto"/>
        <w:framePr w:w="1060" w:h="147" w:wrap="auto" w:vAnchor="page" w:hAnchor="page" w:x="4320" w:y="8907"/>
        <w:rPr>
          <w:rFonts w:ascii="Arial" w:cs="Arial" w:eastAsia="Arial" w:hAnsi="Arial"/>
          <w:sz w:val="16"/>
          <w:szCs w:val="16"/>
          <w:b w:val="1"/>
          <w:bCs w:val="1"/>
          <w:i w:val="1"/>
          <w:iCs w:val="1"/>
          <w:color w:val="auto"/>
        </w:rPr>
      </w:pPr>
      <w:r>
        <w:rPr>
          <w:rFonts w:ascii="Arial" w:cs="Arial" w:eastAsia="Arial" w:hAnsi="Arial"/>
          <w:sz w:val="16"/>
          <w:szCs w:val="16"/>
          <w:b w:val="1"/>
          <w:bCs w:val="1"/>
          <w:i w:val="1"/>
          <w:iCs w:val="1"/>
          <w:color w:val="auto"/>
        </w:rPr>
        <w:t>§   Electricity</w:t>
      </w:r>
    </w:p>
    <w:p>
      <w:pPr>
        <w:spacing w:after="0" w:line="191" w:lineRule="auto"/>
        <w:framePr w:w="880" w:h="147" w:wrap="auto" w:vAnchor="page" w:hAnchor="page" w:x="8140" w:y="8907"/>
        <w:rPr>
          <w:rFonts w:ascii="Arial" w:cs="Arial" w:eastAsia="Arial" w:hAnsi="Arial"/>
          <w:sz w:val="16"/>
          <w:szCs w:val="16"/>
          <w:b w:val="1"/>
          <w:bCs w:val="1"/>
          <w:i w:val="1"/>
          <w:iCs w:val="1"/>
          <w:color w:val="auto"/>
        </w:rPr>
      </w:pPr>
      <w:r>
        <w:rPr>
          <w:rFonts w:ascii="Arial" w:cs="Arial" w:eastAsia="Arial" w:hAnsi="Arial"/>
          <w:sz w:val="16"/>
          <w:szCs w:val="16"/>
          <w:b w:val="1"/>
          <w:bCs w:val="1"/>
          <w:i w:val="1"/>
          <w:iCs w:val="1"/>
          <w:color w:val="auto"/>
        </w:rPr>
        <w:t>§   Mexico</w:t>
      </w:r>
    </w:p>
    <w:p>
      <w:pPr>
        <w:spacing w:after="0" w:line="191" w:lineRule="auto"/>
        <w:framePr w:w="1200" w:h="147" w:wrap="auto" w:vAnchor="page" w:hAnchor="page" w:x="4320" w:y="8475"/>
        <w:rPr>
          <w:rFonts w:ascii="Arial" w:cs="Arial" w:eastAsia="Arial" w:hAnsi="Arial"/>
          <w:sz w:val="16"/>
          <w:szCs w:val="16"/>
          <w:b w:val="1"/>
          <w:bCs w:val="1"/>
          <w:i w:val="1"/>
          <w:iCs w:val="1"/>
          <w:color w:val="auto"/>
        </w:rPr>
      </w:pPr>
      <w:r>
        <w:rPr>
          <w:rFonts w:ascii="Arial" w:cs="Arial" w:eastAsia="Arial" w:hAnsi="Arial"/>
          <w:sz w:val="16"/>
          <w:szCs w:val="16"/>
          <w:b w:val="1"/>
          <w:bCs w:val="1"/>
          <w:i w:val="1"/>
          <w:iCs w:val="1"/>
          <w:color w:val="auto"/>
        </w:rPr>
        <w:t>§   Natural gas</w:t>
      </w:r>
    </w:p>
    <w:p>
      <w:pPr>
        <w:spacing w:after="0" w:line="191" w:lineRule="auto"/>
        <w:framePr w:w="840" w:h="147" w:wrap="auto" w:vAnchor="page" w:hAnchor="page" w:x="8140" w:y="8475"/>
        <w:rPr>
          <w:rFonts w:ascii="Arial" w:cs="Arial" w:eastAsia="Arial" w:hAnsi="Arial"/>
          <w:sz w:val="16"/>
          <w:szCs w:val="16"/>
          <w:b w:val="1"/>
          <w:bCs w:val="1"/>
          <w:i w:val="1"/>
          <w:iCs w:val="1"/>
          <w:color w:val="auto"/>
        </w:rPr>
      </w:pPr>
      <w:r>
        <w:rPr>
          <w:rFonts w:ascii="Arial" w:cs="Arial" w:eastAsia="Arial" w:hAnsi="Arial"/>
          <w:sz w:val="16"/>
          <w:szCs w:val="16"/>
          <w:b w:val="1"/>
          <w:bCs w:val="1"/>
          <w:i w:val="1"/>
          <w:iCs w:val="1"/>
          <w:color w:val="auto"/>
        </w:rPr>
        <w:t>§   U.S.A.</w:t>
      </w:r>
    </w:p>
    <w:p>
      <w:pPr>
        <w:spacing w:after="0" w:line="191" w:lineRule="auto"/>
        <w:framePr w:w="2680" w:h="147" w:wrap="auto" w:vAnchor="page" w:hAnchor="page" w:x="200" w:y="8448"/>
        <w:rPr>
          <w:rFonts w:ascii="Arial" w:cs="Arial" w:eastAsia="Arial" w:hAnsi="Arial"/>
          <w:sz w:val="16"/>
          <w:szCs w:val="16"/>
          <w:b w:val="1"/>
          <w:bCs w:val="1"/>
          <w:i w:val="1"/>
          <w:iCs w:val="1"/>
          <w:color w:val="auto"/>
        </w:rPr>
      </w:pPr>
      <w:r>
        <w:rPr>
          <w:rFonts w:ascii="Arial" w:cs="Arial" w:eastAsia="Arial" w:hAnsi="Arial"/>
          <w:sz w:val="16"/>
          <w:szCs w:val="16"/>
          <w:b w:val="1"/>
          <w:bCs w:val="1"/>
          <w:i w:val="1"/>
          <w:iCs w:val="1"/>
          <w:color w:val="auto"/>
        </w:rPr>
        <w:t>SEMPRA PIPELINES &amp; STORAGE</w:t>
      </w:r>
    </w:p>
    <w:p>
      <w:pPr>
        <w:spacing w:after="0" w:line="216" w:lineRule="auto"/>
        <w:framePr w:w="3880" w:h="498" w:wrap="auto" w:vAnchor="page" w:hAnchor="page" w:x="200" w:y="8623"/>
        <w:rPr>
          <w:rFonts w:ascii="Arial" w:cs="Arial" w:eastAsia="Arial" w:hAnsi="Arial"/>
          <w:sz w:val="16"/>
          <w:szCs w:val="16"/>
          <w:b w:val="1"/>
          <w:bCs w:val="1"/>
          <w:i w:val="1"/>
          <w:iCs w:val="1"/>
          <w:color w:val="auto"/>
        </w:rPr>
      </w:pPr>
      <w:r>
        <w:rPr>
          <w:rFonts w:ascii="Arial" w:cs="Arial" w:eastAsia="Arial" w:hAnsi="Arial"/>
          <w:sz w:val="16"/>
          <w:szCs w:val="16"/>
          <w:b w:val="1"/>
          <w:bCs w:val="1"/>
          <w:i w:val="1"/>
          <w:iCs w:val="1"/>
          <w:color w:val="auto"/>
        </w:rPr>
        <w:t>Develops, owns and operates, or holds interests in, natural gas and propane pipelines, natural gas storage facilities, and natural gas and electric utilities</w:t>
      </w:r>
    </w:p>
    <w:p>
      <w:pPr>
        <w:spacing w:after="0" w:line="191" w:lineRule="auto"/>
        <w:framePr w:w="880" w:h="147" w:wrap="auto" w:vAnchor="page" w:hAnchor="page" w:x="8140" w:y="8016"/>
        <w:rPr>
          <w:rFonts w:ascii="Arial" w:cs="Arial" w:eastAsia="Arial" w:hAnsi="Arial"/>
          <w:sz w:val="16"/>
          <w:szCs w:val="16"/>
          <w:b w:val="1"/>
          <w:bCs w:val="1"/>
          <w:i w:val="1"/>
          <w:iCs w:val="1"/>
          <w:color w:val="auto"/>
        </w:rPr>
      </w:pPr>
      <w:r>
        <w:rPr>
          <w:rFonts w:ascii="Arial" w:cs="Arial" w:eastAsia="Arial" w:hAnsi="Arial"/>
          <w:sz w:val="16"/>
          <w:szCs w:val="16"/>
          <w:b w:val="1"/>
          <w:bCs w:val="1"/>
          <w:i w:val="1"/>
          <w:iCs w:val="1"/>
          <w:color w:val="auto"/>
        </w:rPr>
        <w:t>§   Mexico</w:t>
      </w:r>
    </w:p>
    <w:p>
      <w:pPr>
        <w:spacing w:after="0" w:line="191" w:lineRule="auto"/>
        <w:framePr w:w="1860" w:h="147" w:wrap="auto" w:vAnchor="page" w:hAnchor="page" w:x="4320" w:y="7583"/>
        <w:rPr>
          <w:rFonts w:ascii="Arial" w:cs="Arial" w:eastAsia="Arial" w:hAnsi="Arial"/>
          <w:sz w:val="16"/>
          <w:szCs w:val="16"/>
          <w:b w:val="1"/>
          <w:bCs w:val="1"/>
          <w:i w:val="1"/>
          <w:iCs w:val="1"/>
          <w:color w:val="auto"/>
        </w:rPr>
      </w:pPr>
      <w:r>
        <w:rPr>
          <w:rFonts w:ascii="Arial" w:cs="Arial" w:eastAsia="Arial" w:hAnsi="Arial"/>
          <w:sz w:val="16"/>
          <w:szCs w:val="16"/>
          <w:b w:val="1"/>
          <w:bCs w:val="1"/>
          <w:i w:val="1"/>
          <w:iCs w:val="1"/>
          <w:color w:val="auto"/>
        </w:rPr>
        <w:t>§   Wholesale electricity</w:t>
      </w:r>
    </w:p>
    <w:p>
      <w:pPr>
        <w:spacing w:after="0" w:line="191" w:lineRule="auto"/>
        <w:framePr w:w="840" w:h="147" w:wrap="auto" w:vAnchor="page" w:hAnchor="page" w:x="8140" w:y="7583"/>
        <w:rPr>
          <w:rFonts w:ascii="Arial" w:cs="Arial" w:eastAsia="Arial" w:hAnsi="Arial"/>
          <w:sz w:val="16"/>
          <w:szCs w:val="16"/>
          <w:b w:val="1"/>
          <w:bCs w:val="1"/>
          <w:i w:val="1"/>
          <w:iCs w:val="1"/>
          <w:color w:val="auto"/>
        </w:rPr>
      </w:pPr>
      <w:r>
        <w:rPr>
          <w:rFonts w:ascii="Arial" w:cs="Arial" w:eastAsia="Arial" w:hAnsi="Arial"/>
          <w:sz w:val="16"/>
          <w:szCs w:val="16"/>
          <w:b w:val="1"/>
          <w:bCs w:val="1"/>
          <w:i w:val="1"/>
          <w:iCs w:val="1"/>
          <w:color w:val="auto"/>
        </w:rPr>
        <w:t>§   U.S.A.</w:t>
      </w:r>
    </w:p>
    <w:p>
      <w:pPr>
        <w:spacing w:after="0" w:line="209" w:lineRule="auto"/>
        <w:framePr w:w="1640" w:h="160" w:wrap="auto" w:vAnchor="page" w:hAnchor="page" w:x="360" w:y="5301"/>
        <w:rPr>
          <w:rFonts w:ascii="Arial" w:cs="Arial" w:eastAsia="Arial" w:hAnsi="Arial"/>
          <w:sz w:val="16"/>
          <w:szCs w:val="16"/>
          <w:b w:val="1"/>
          <w:bCs w:val="1"/>
          <w:i w:val="1"/>
          <w:iCs w:val="1"/>
          <w:color w:val="auto"/>
        </w:rPr>
      </w:pPr>
      <w:r>
        <w:rPr>
          <w:rFonts w:ascii="Arial" w:cs="Arial" w:eastAsia="Arial" w:hAnsi="Arial"/>
          <w:sz w:val="16"/>
          <w:szCs w:val="16"/>
          <w:b w:val="1"/>
          <w:bCs w:val="1"/>
          <w:i w:val="1"/>
          <w:iCs w:val="1"/>
          <w:color w:val="auto"/>
        </w:rPr>
        <w:t>§ Sempra Generation</w:t>
      </w:r>
    </w:p>
    <w:p>
      <w:pPr>
        <w:spacing w:after="0" w:line="359" w:lineRule="auto"/>
        <w:framePr w:w="2280" w:h="620" w:wrap="auto" w:vAnchor="page" w:hAnchor="page" w:x="360" w:y="5760"/>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 Sempra Pipelines &amp; Storage § Sempra LNG</w:t>
      </w:r>
    </w:p>
    <w:p>
      <w:pPr>
        <w:spacing w:after="0" w:line="191" w:lineRule="auto"/>
        <w:framePr w:w="1520" w:h="147" w:wrap="auto" w:vAnchor="page" w:hAnchor="page" w:x="200" w:y="7138"/>
        <w:rPr>
          <w:rFonts w:ascii="Arial" w:cs="Arial" w:eastAsia="Arial" w:hAnsi="Arial"/>
          <w:sz w:val="16"/>
          <w:szCs w:val="16"/>
          <w:b w:val="1"/>
          <w:bCs w:val="1"/>
          <w:i w:val="1"/>
          <w:iCs w:val="1"/>
          <w:color w:val="auto"/>
        </w:rPr>
      </w:pPr>
      <w:r>
        <w:rPr>
          <w:rFonts w:ascii="Arial" w:cs="Arial" w:eastAsia="Arial" w:hAnsi="Arial"/>
          <w:sz w:val="16"/>
          <w:szCs w:val="16"/>
          <w:b w:val="1"/>
          <w:bCs w:val="1"/>
          <w:i w:val="1"/>
          <w:iCs w:val="1"/>
          <w:color w:val="auto"/>
        </w:rPr>
        <w:t>SEMPRA GLOBAL</w:t>
      </w:r>
    </w:p>
    <w:p>
      <w:pPr>
        <w:spacing w:after="0" w:line="191" w:lineRule="auto"/>
        <w:framePr w:w="1900" w:h="147" w:wrap="auto" w:vAnchor="page" w:hAnchor="page" w:x="200" w:y="7556"/>
        <w:rPr>
          <w:rFonts w:ascii="Arial" w:cs="Arial" w:eastAsia="Arial" w:hAnsi="Arial"/>
          <w:sz w:val="16"/>
          <w:szCs w:val="16"/>
          <w:b w:val="1"/>
          <w:bCs w:val="1"/>
          <w:i w:val="1"/>
          <w:iCs w:val="1"/>
          <w:color w:val="auto"/>
        </w:rPr>
      </w:pPr>
      <w:r>
        <w:rPr>
          <w:rFonts w:ascii="Arial" w:cs="Arial" w:eastAsia="Arial" w:hAnsi="Arial"/>
          <w:sz w:val="16"/>
          <w:szCs w:val="16"/>
          <w:b w:val="1"/>
          <w:bCs w:val="1"/>
          <w:i w:val="1"/>
          <w:iCs w:val="1"/>
          <w:color w:val="auto"/>
        </w:rPr>
        <w:t>SEMPRA GENERATION</w:t>
      </w:r>
    </w:p>
    <w:p>
      <w:pPr>
        <w:spacing w:after="0" w:line="210" w:lineRule="auto"/>
        <w:framePr w:w="3760" w:h="322" w:wrap="auto" w:vAnchor="page" w:hAnchor="page" w:x="200" w:y="7732"/>
        <w:rPr>
          <w:rFonts w:ascii="Arial" w:cs="Arial" w:eastAsia="Arial" w:hAnsi="Arial"/>
          <w:sz w:val="16"/>
          <w:szCs w:val="16"/>
          <w:b w:val="1"/>
          <w:bCs w:val="1"/>
          <w:i w:val="1"/>
          <w:iCs w:val="1"/>
          <w:color w:val="auto"/>
        </w:rPr>
      </w:pPr>
      <w:r>
        <w:rPr>
          <w:rFonts w:ascii="Arial" w:cs="Arial" w:eastAsia="Arial" w:hAnsi="Arial"/>
          <w:sz w:val="16"/>
          <w:szCs w:val="16"/>
          <w:b w:val="1"/>
          <w:bCs w:val="1"/>
          <w:i w:val="1"/>
          <w:iCs w:val="1"/>
          <w:color w:val="auto"/>
        </w:rPr>
        <w:t>Develops, owns and operates, or holds interests in, electric power plants and energy projects</w:t>
      </w:r>
    </w:p>
    <w:p>
      <w:pPr>
        <w:spacing w:after="0" w:line="218" w:lineRule="auto"/>
        <w:framePr w:w="11460" w:h="376" w:wrap="auto" w:vAnchor="page" w:hAnchor="page" w:x="200" w:y="4652"/>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Sempra Global is a holding company for most of our subsidiaries that are not subject to California utility regulation. Sempra Global's principal business units, which provide energy-related products and services and include utilities, are</w:t>
      </w:r>
    </w:p>
    <w:p>
      <w:pPr>
        <w:spacing w:after="0" w:line="210" w:lineRule="auto"/>
        <w:framePr w:w="3300" w:h="322" w:wrap="auto" w:vAnchor="page" w:hAnchor="page" w:x="200" w:y="2938"/>
        <w:rPr>
          <w:rFonts w:ascii="Arial" w:cs="Arial" w:eastAsia="Arial" w:hAnsi="Arial"/>
          <w:sz w:val="16"/>
          <w:szCs w:val="16"/>
          <w:b w:val="1"/>
          <w:bCs w:val="1"/>
          <w:i w:val="1"/>
          <w:iCs w:val="1"/>
          <w:color w:val="auto"/>
        </w:rPr>
      </w:pPr>
      <w:r>
        <w:rPr>
          <w:rFonts w:ascii="Arial" w:cs="Arial" w:eastAsia="Arial" w:hAnsi="Arial"/>
          <w:sz w:val="16"/>
          <w:szCs w:val="16"/>
          <w:b w:val="1"/>
          <w:bCs w:val="1"/>
          <w:i w:val="1"/>
          <w:iCs w:val="1"/>
          <w:color w:val="auto"/>
        </w:rPr>
        <w:t>SOUTHERN CALIFORNIA GAS COMPANY (SOCALGAS)</w:t>
      </w:r>
    </w:p>
    <w:p>
      <w:pPr>
        <w:spacing w:after="0" w:line="210" w:lineRule="auto"/>
        <w:framePr w:w="3620" w:h="322" w:wrap="auto" w:vAnchor="page" w:hAnchor="page" w:x="200" w:y="3289"/>
        <w:rPr>
          <w:rFonts w:ascii="Arial" w:cs="Arial" w:eastAsia="Arial" w:hAnsi="Arial"/>
          <w:sz w:val="16"/>
          <w:szCs w:val="16"/>
          <w:b w:val="1"/>
          <w:bCs w:val="1"/>
          <w:i w:val="1"/>
          <w:iCs w:val="1"/>
          <w:color w:val="auto"/>
        </w:rPr>
      </w:pPr>
      <w:r>
        <w:rPr>
          <w:rFonts w:ascii="Arial" w:cs="Arial" w:eastAsia="Arial" w:hAnsi="Arial"/>
          <w:sz w:val="16"/>
          <w:szCs w:val="16"/>
          <w:b w:val="1"/>
          <w:bCs w:val="1"/>
          <w:i w:val="1"/>
          <w:iCs w:val="1"/>
          <w:color w:val="auto"/>
        </w:rPr>
        <w:t>A regulated public utility; infrastructure supports natural gas distribution, transmission and storage</w:t>
      </w:r>
    </w:p>
    <w:p>
      <w:pPr>
        <w:spacing w:after="0" w:line="191" w:lineRule="auto"/>
        <w:framePr w:w="3280" w:h="147" w:wrap="auto" w:vAnchor="page" w:hAnchor="page" w:x="4320" w:y="3167"/>
        <w:rPr>
          <w:rFonts w:ascii="Arial" w:cs="Arial" w:eastAsia="Arial" w:hAnsi="Arial"/>
          <w:sz w:val="16"/>
          <w:szCs w:val="16"/>
          <w:b w:val="1"/>
          <w:bCs w:val="1"/>
          <w:i w:val="1"/>
          <w:iCs w:val="1"/>
          <w:color w:val="auto"/>
        </w:rPr>
      </w:pPr>
      <w:r>
        <w:rPr>
          <w:rFonts w:ascii="Arial" w:cs="Arial" w:eastAsia="Arial" w:hAnsi="Arial"/>
          <w:sz w:val="16"/>
          <w:szCs w:val="16"/>
          <w:b w:val="1"/>
          <w:bCs w:val="1"/>
          <w:i w:val="1"/>
          <w:iCs w:val="1"/>
          <w:color w:val="auto"/>
        </w:rPr>
        <w:t>electric generation and wholesale customers</w:t>
      </w:r>
    </w:p>
    <w:p>
      <w:pPr>
        <w:spacing w:after="0" w:line="191" w:lineRule="auto"/>
        <w:framePr w:w="3300" w:h="147" w:wrap="auto" w:vAnchor="page" w:hAnchor="page" w:x="4320" w:y="2965"/>
        <w:rPr>
          <w:rFonts w:ascii="Arial" w:cs="Arial" w:eastAsia="Arial" w:hAnsi="Arial"/>
          <w:sz w:val="16"/>
          <w:szCs w:val="16"/>
          <w:b w:val="1"/>
          <w:bCs w:val="1"/>
          <w:i w:val="1"/>
          <w:iCs w:val="1"/>
          <w:color w:val="auto"/>
        </w:rPr>
      </w:pPr>
      <w:r>
        <w:rPr>
          <w:rFonts w:ascii="Arial" w:cs="Arial" w:eastAsia="Arial" w:hAnsi="Arial"/>
          <w:sz w:val="16"/>
          <w:szCs w:val="16"/>
          <w:b w:val="1"/>
          <w:bCs w:val="1"/>
          <w:i w:val="1"/>
          <w:iCs w:val="1"/>
          <w:color w:val="auto"/>
        </w:rPr>
        <w:t>§   Residential, commercial, industrial, utility</w:t>
      </w:r>
    </w:p>
    <w:p>
      <w:pPr>
        <w:spacing w:after="0" w:line="191" w:lineRule="auto"/>
        <w:framePr w:w="1460" w:h="147" w:wrap="auto" w:vAnchor="page" w:hAnchor="page" w:x="4320" w:y="1898"/>
        <w:rPr>
          <w:rFonts w:ascii="Arial" w:cs="Arial" w:eastAsia="Arial" w:hAnsi="Arial"/>
          <w:sz w:val="16"/>
          <w:szCs w:val="16"/>
          <w:b w:val="1"/>
          <w:bCs w:val="1"/>
          <w:i w:val="1"/>
          <w:iCs w:val="1"/>
          <w:color w:val="auto"/>
        </w:rPr>
      </w:pPr>
      <w:r>
        <w:rPr>
          <w:rFonts w:ascii="Arial" w:cs="Arial" w:eastAsia="Arial" w:hAnsi="Arial"/>
          <w:sz w:val="16"/>
          <w:szCs w:val="16"/>
          <w:b w:val="1"/>
          <w:bCs w:val="1"/>
          <w:i w:val="1"/>
          <w:iCs w:val="1"/>
          <w:color w:val="auto"/>
        </w:rPr>
        <w:t>(1.4 million meters)</w:t>
      </w:r>
    </w:p>
    <w:p>
      <w:pPr>
        <w:spacing w:after="0" w:line="200" w:lineRule="auto"/>
        <w:framePr w:w="3220" w:h="163" w:wrap="auto" w:vAnchor="page" w:hAnchor="page" w:x="200" w:y="355"/>
        <w:rPr>
          <w:rFonts w:ascii="Arial" w:cs="Arial" w:eastAsia="Arial" w:hAnsi="Arial"/>
          <w:sz w:val="17"/>
          <w:szCs w:val="17"/>
          <w:b w:val="1"/>
          <w:bCs w:val="1"/>
          <w:i w:val="1"/>
          <w:iCs w:val="1"/>
          <w:color w:val="auto"/>
        </w:rPr>
      </w:pPr>
      <w:r>
        <w:rPr>
          <w:rFonts w:ascii="Arial" w:cs="Arial" w:eastAsia="Arial" w:hAnsi="Arial"/>
          <w:sz w:val="17"/>
          <w:szCs w:val="17"/>
          <w:b w:val="1"/>
          <w:bCs w:val="1"/>
          <w:i w:val="1"/>
          <w:iCs w:val="1"/>
          <w:color w:val="auto"/>
        </w:rPr>
        <w:t>SEMPRA ENERGY BUSINESS UNITS</w:t>
      </w:r>
    </w:p>
    <w:p>
      <w:pPr>
        <w:spacing w:after="0" w:line="209" w:lineRule="auto"/>
        <w:framePr w:w="4100" w:h="160" w:wrap="auto" w:vAnchor="page" w:hAnchor="page" w:x="200" w:y="790"/>
        <w:rPr>
          <w:rFonts w:ascii="Arial" w:cs="Arial" w:eastAsia="Arial" w:hAnsi="Arial"/>
          <w:sz w:val="16"/>
          <w:szCs w:val="16"/>
          <w:b w:val="1"/>
          <w:bCs w:val="1"/>
          <w:i w:val="1"/>
          <w:iCs w:val="1"/>
          <w:color w:val="auto"/>
        </w:rPr>
      </w:pPr>
      <w:r>
        <w:rPr>
          <w:rFonts w:ascii="Arial" w:cs="Arial" w:eastAsia="Arial" w:hAnsi="Arial"/>
          <w:sz w:val="16"/>
          <w:szCs w:val="16"/>
          <w:b w:val="1"/>
          <w:bCs w:val="1"/>
          <w:i w:val="1"/>
          <w:iCs w:val="1"/>
          <w:color w:val="auto"/>
        </w:rPr>
        <w:t>The Sempra Utilities consist of SDG&amp;E and SoCalGas.</w:t>
      </w:r>
    </w:p>
    <w:p>
      <w:pPr>
        <w:spacing w:after="0" w:line="191" w:lineRule="auto"/>
        <w:framePr w:w="1600" w:h="147" w:wrap="auto" w:vAnchor="page" w:hAnchor="page" w:x="200" w:y="1249"/>
        <w:rPr>
          <w:rFonts w:ascii="Arial" w:cs="Arial" w:eastAsia="Arial" w:hAnsi="Arial"/>
          <w:sz w:val="16"/>
          <w:szCs w:val="16"/>
          <w:b w:val="1"/>
          <w:bCs w:val="1"/>
          <w:i w:val="1"/>
          <w:iCs w:val="1"/>
          <w:color w:val="auto"/>
        </w:rPr>
      </w:pPr>
      <w:r>
        <w:rPr>
          <w:rFonts w:ascii="Arial" w:cs="Arial" w:eastAsia="Arial" w:hAnsi="Arial"/>
          <w:sz w:val="16"/>
          <w:szCs w:val="16"/>
          <w:b w:val="1"/>
          <w:bCs w:val="1"/>
          <w:i w:val="1"/>
          <w:iCs w:val="1"/>
          <w:color w:val="auto"/>
        </w:rPr>
        <w:t>SEMPRA UTILITIES</w:t>
      </w:r>
    </w:p>
    <w:p>
      <w:pPr>
        <w:spacing w:after="0" w:line="210" w:lineRule="auto"/>
        <w:framePr w:w="3280" w:h="322" w:wrap="auto" w:vAnchor="page" w:hAnchor="page" w:x="200" w:y="1668"/>
        <w:rPr>
          <w:rFonts w:ascii="Arial" w:cs="Arial" w:eastAsia="Arial" w:hAnsi="Arial"/>
          <w:sz w:val="16"/>
          <w:szCs w:val="16"/>
          <w:b w:val="1"/>
          <w:bCs w:val="1"/>
          <w:i w:val="1"/>
          <w:iCs w:val="1"/>
          <w:color w:val="auto"/>
        </w:rPr>
      </w:pPr>
      <w:r>
        <w:rPr>
          <w:rFonts w:ascii="Arial" w:cs="Arial" w:eastAsia="Arial" w:hAnsi="Arial"/>
          <w:sz w:val="16"/>
          <w:szCs w:val="16"/>
          <w:b w:val="1"/>
          <w:bCs w:val="1"/>
          <w:i w:val="1"/>
          <w:iCs w:val="1"/>
          <w:color w:val="auto"/>
        </w:rPr>
        <w:t>SAN DIEGO GAS &amp; ELECTRIC COMPANY (SDG&amp;E)</w:t>
      </w:r>
    </w:p>
    <w:p>
      <w:pPr>
        <w:spacing w:after="0" w:line="216" w:lineRule="auto"/>
        <w:framePr w:w="3600" w:h="498" w:wrap="auto" w:vAnchor="page" w:hAnchor="page" w:x="200" w:y="2019"/>
        <w:rPr>
          <w:rFonts w:ascii="Arial" w:cs="Arial" w:eastAsia="Arial" w:hAnsi="Arial"/>
          <w:sz w:val="16"/>
          <w:szCs w:val="16"/>
          <w:b w:val="1"/>
          <w:bCs w:val="1"/>
          <w:i w:val="1"/>
          <w:iCs w:val="1"/>
          <w:color w:val="auto"/>
        </w:rPr>
      </w:pPr>
      <w:r>
        <w:rPr>
          <w:rFonts w:ascii="Arial" w:cs="Arial" w:eastAsia="Arial" w:hAnsi="Arial"/>
          <w:sz w:val="16"/>
          <w:szCs w:val="16"/>
          <w:b w:val="1"/>
          <w:bCs w:val="1"/>
          <w:i w:val="1"/>
          <w:iCs w:val="1"/>
          <w:color w:val="auto"/>
        </w:rPr>
        <w:t>A regulated public utility; infrastructure supports electric generation, transmission and distribution, and natural gas distribution</w:t>
      </w:r>
    </w:p>
    <w:p>
      <w:pPr>
        <w:spacing w:after="0" w:line="10" w:lineRule="exact"/>
        <w:rPr>
          <w:rFonts w:ascii="Arial" w:cs="Arial" w:eastAsia="Arial" w:hAnsi="Arial"/>
          <w:sz w:val="16"/>
          <w:szCs w:val="16"/>
          <w:b w:val="1"/>
          <w:bCs w:val="1"/>
          <w:i w:val="1"/>
          <w:iCs w:val="1"/>
          <w:color w:val="auto"/>
        </w:rPr>
      </w:pPr>
      <w:r>
        <w:rPr>
          <w:rFonts w:ascii="Arial" w:cs="Arial" w:eastAsia="Arial" w:hAnsi="Arial"/>
          <w:sz w:val="16"/>
          <w:szCs w:val="16"/>
          <w:b w:val="1"/>
          <w:bCs w:val="1"/>
          <w:i w:val="1"/>
          <w:iCs w:val="1"/>
          <w:color w:val="auto"/>
        </w:rPr>
        <w:drawing>
          <wp:anchor simplePos="0" relativeHeight="251657728" behindDoc="1" locked="0" layoutInCell="0" allowOverlap="1">
            <wp:simplePos x="0" y="0"/>
            <wp:positionH relativeFrom="page">
              <wp:posOffset>157480</wp:posOffset>
            </wp:positionH>
            <wp:positionV relativeFrom="page">
              <wp:posOffset>774700</wp:posOffset>
            </wp:positionV>
            <wp:extent cx="7246620" cy="13716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ind w:left="4200"/>
        <w:spacing w:after="0"/>
        <w:tabs>
          <w:tab w:leader="none" w:pos="7540" w:val="left"/>
        </w:tabs>
        <w:rPr>
          <w:sz w:val="20"/>
          <w:szCs w:val="20"/>
          <w:color w:val="auto"/>
        </w:rPr>
      </w:pPr>
      <w:r>
        <w:rPr>
          <w:rFonts w:ascii="Arial" w:cs="Arial" w:eastAsia="Arial" w:hAnsi="Arial"/>
          <w:sz w:val="14"/>
          <w:szCs w:val="14"/>
          <w:b w:val="1"/>
          <w:bCs w:val="1"/>
          <w:color w:val="auto"/>
        </w:rPr>
        <w:t>MARKET</w:t>
      </w:r>
      <w:r>
        <w:rPr>
          <w:sz w:val="20"/>
          <w:szCs w:val="20"/>
          <w:color w:val="auto"/>
        </w:rPr>
        <w:tab/>
      </w:r>
      <w:r>
        <w:rPr>
          <w:rFonts w:ascii="Arial" w:cs="Arial" w:eastAsia="Arial" w:hAnsi="Arial"/>
          <w:sz w:val="14"/>
          <w:szCs w:val="14"/>
          <w:b w:val="1"/>
          <w:bCs w:val="1"/>
          <w:color w:val="auto"/>
        </w:rPr>
        <w:t>SERVICE TERRITORY</w:t>
      </w:r>
    </w:p>
    <w:p>
      <w:pPr>
        <w:spacing w:after="0" w:line="20" w:lineRule="exact"/>
        <w:rPr>
          <w:rFonts w:ascii="Arial" w:cs="Arial" w:eastAsia="Arial" w:hAnsi="Arial"/>
          <w:sz w:val="16"/>
          <w:szCs w:val="16"/>
          <w:b w:val="1"/>
          <w:bCs w:val="1"/>
          <w:i w:val="1"/>
          <w:iCs w:val="1"/>
          <w:color w:val="auto"/>
        </w:rPr>
      </w:pPr>
      <w:r>
        <w:rPr>
          <w:rFonts w:ascii="Arial" w:cs="Arial" w:eastAsia="Arial" w:hAnsi="Arial"/>
          <w:sz w:val="16"/>
          <w:szCs w:val="16"/>
          <w:b w:val="1"/>
          <w:bCs w:val="1"/>
          <w:i w:val="1"/>
          <w:iCs w:val="1"/>
          <w:color w:val="auto"/>
        </w:rPr>
        <w:drawing>
          <wp:anchor simplePos="0" relativeHeight="251657728" behindDoc="1" locked="0" layoutInCell="0" allowOverlap="1">
            <wp:simplePos x="0" y="0"/>
            <wp:positionH relativeFrom="column">
              <wp:posOffset>-756285</wp:posOffset>
            </wp:positionH>
            <wp:positionV relativeFrom="paragraph">
              <wp:posOffset>26035</wp:posOffset>
            </wp:positionV>
            <wp:extent cx="7246620"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8" w:lineRule="exact"/>
        <w:rPr>
          <w:rFonts w:ascii="Arial" w:cs="Arial" w:eastAsia="Arial" w:hAnsi="Arial"/>
          <w:sz w:val="16"/>
          <w:szCs w:val="16"/>
          <w:b w:val="1"/>
          <w:bCs w:val="1"/>
          <w:i w:val="1"/>
          <w:iCs w:val="1"/>
          <w:color w:val="auto"/>
        </w:rPr>
      </w:pPr>
    </w:p>
    <w:p>
      <w:pPr>
        <w:ind w:left="3220" w:hanging="293"/>
        <w:spacing w:after="0"/>
        <w:tabs>
          <w:tab w:leader="none" w:pos="3220" w:val="left"/>
        </w:tabs>
        <w:numPr>
          <w:ilvl w:val="0"/>
          <w:numId w:val="39"/>
        </w:numPr>
        <w:rPr>
          <w:rFonts w:ascii="Arial" w:cs="Arial" w:eastAsia="Arial" w:hAnsi="Arial"/>
          <w:sz w:val="16"/>
          <w:szCs w:val="16"/>
          <w:color w:val="auto"/>
        </w:rPr>
      </w:pPr>
      <w:r>
        <w:rPr>
          <w:rFonts w:ascii="Arial" w:cs="Arial" w:eastAsia="Arial" w:hAnsi="Arial"/>
          <w:sz w:val="16"/>
          <w:szCs w:val="16"/>
          <w:color w:val="auto"/>
        </w:rPr>
        <w:t>Provides electricity to 3.5 million consumers Serves the county of San Diego, California and an</w:t>
      </w:r>
    </w:p>
    <w:p>
      <w:pPr>
        <w:ind w:left="6420" w:right="640"/>
        <w:spacing w:after="0" w:line="242" w:lineRule="auto"/>
        <w:rPr>
          <w:sz w:val="20"/>
          <w:szCs w:val="20"/>
          <w:color w:val="auto"/>
        </w:rPr>
      </w:pPr>
      <w:r>
        <w:rPr>
          <w:rFonts w:ascii="Arial" w:cs="Arial" w:eastAsia="Arial" w:hAnsi="Arial"/>
          <w:sz w:val="16"/>
          <w:szCs w:val="16"/>
          <w:color w:val="auto"/>
        </w:rPr>
        <w:t>adjacent portion of southern Orange County covering 4,100 square miles</w:t>
      </w:r>
    </w:p>
    <w:p>
      <w:pPr>
        <w:spacing w:after="0" w:line="102" w:lineRule="exact"/>
        <w:rPr>
          <w:rFonts w:ascii="Arial" w:cs="Arial" w:eastAsia="Arial" w:hAnsi="Arial"/>
          <w:sz w:val="16"/>
          <w:szCs w:val="16"/>
          <w:b w:val="1"/>
          <w:bCs w:val="1"/>
          <w:i w:val="1"/>
          <w:iCs w:val="1"/>
          <w:color w:val="auto"/>
        </w:rPr>
      </w:pPr>
    </w:p>
    <w:p>
      <w:pPr>
        <w:ind w:left="2920" w:right="4560" w:firstLine="7"/>
        <w:spacing w:after="0" w:line="278" w:lineRule="auto"/>
        <w:tabs>
          <w:tab w:leader="none" w:pos="3208" w:val="left"/>
        </w:tabs>
        <w:numPr>
          <w:ilvl w:val="0"/>
          <w:numId w:val="40"/>
        </w:numPr>
        <w:rPr>
          <w:rFonts w:ascii="Arial" w:cs="Arial" w:eastAsia="Arial" w:hAnsi="Arial"/>
          <w:sz w:val="16"/>
          <w:szCs w:val="16"/>
          <w:color w:val="auto"/>
        </w:rPr>
      </w:pPr>
      <w:r>
        <w:rPr>
          <w:rFonts w:ascii="Arial" w:cs="Arial" w:eastAsia="Arial" w:hAnsi="Arial"/>
          <w:sz w:val="16"/>
          <w:szCs w:val="16"/>
          <w:color w:val="auto"/>
        </w:rPr>
        <w:t>Provides natural gas to 3.2 million consumers (850,000 meters)</w:t>
      </w:r>
    </w:p>
    <w:p>
      <w:pPr>
        <w:spacing w:after="0" w:line="20" w:lineRule="exact"/>
        <w:rPr>
          <w:rFonts w:ascii="Arial" w:cs="Arial" w:eastAsia="Arial" w:hAnsi="Arial"/>
          <w:sz w:val="16"/>
          <w:szCs w:val="16"/>
          <w:b w:val="1"/>
          <w:bCs w:val="1"/>
          <w:i w:val="1"/>
          <w:iCs w:val="1"/>
          <w:color w:val="auto"/>
        </w:rPr>
      </w:pPr>
      <w:r>
        <w:rPr>
          <w:rFonts w:ascii="Arial" w:cs="Arial" w:eastAsia="Arial" w:hAnsi="Arial"/>
          <w:sz w:val="16"/>
          <w:szCs w:val="16"/>
          <w:b w:val="1"/>
          <w:bCs w:val="1"/>
          <w:i w:val="1"/>
          <w:iCs w:val="1"/>
          <w:color w:val="auto"/>
        </w:rPr>
        <w:drawing>
          <wp:anchor simplePos="0" relativeHeight="251657728" behindDoc="1" locked="0" layoutInCell="0" allowOverlap="1">
            <wp:simplePos x="0" y="0"/>
            <wp:positionH relativeFrom="column">
              <wp:posOffset>-756285</wp:posOffset>
            </wp:positionH>
            <wp:positionV relativeFrom="paragraph">
              <wp:posOffset>114300</wp:posOffset>
            </wp:positionV>
            <wp:extent cx="7246620"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75" w:lineRule="exact"/>
        <w:rPr>
          <w:rFonts w:ascii="Arial" w:cs="Arial" w:eastAsia="Arial" w:hAnsi="Arial"/>
          <w:sz w:val="16"/>
          <w:szCs w:val="16"/>
          <w:b w:val="1"/>
          <w:bCs w:val="1"/>
          <w:i w:val="1"/>
          <w:iCs w:val="1"/>
          <w:color w:val="auto"/>
        </w:rPr>
      </w:pPr>
    </w:p>
    <w:p>
      <w:pPr>
        <w:ind w:left="6420"/>
        <w:spacing w:after="0" w:line="211" w:lineRule="auto"/>
        <w:rPr>
          <w:sz w:val="20"/>
          <w:szCs w:val="20"/>
          <w:color w:val="auto"/>
        </w:rPr>
      </w:pPr>
      <w:r>
        <w:rPr>
          <w:rFonts w:ascii="Arial" w:cs="Arial" w:eastAsia="Arial" w:hAnsi="Arial"/>
          <w:sz w:val="16"/>
          <w:szCs w:val="16"/>
          <w:color w:val="auto"/>
        </w:rPr>
        <w:t>Southern California and portions of central California (excluding San Diego County, the city of Long Beach and the desert area of San Bernardino County) covering 20,000 square miles</w:t>
      </w:r>
    </w:p>
    <w:p>
      <w:pPr>
        <w:spacing w:after="0" w:line="1" w:lineRule="exact"/>
        <w:rPr>
          <w:rFonts w:ascii="Arial" w:cs="Arial" w:eastAsia="Arial" w:hAnsi="Arial"/>
          <w:sz w:val="16"/>
          <w:szCs w:val="16"/>
          <w:b w:val="1"/>
          <w:bCs w:val="1"/>
          <w:i w:val="1"/>
          <w:iCs w:val="1"/>
          <w:color w:val="auto"/>
        </w:rPr>
      </w:pPr>
    </w:p>
    <w:p>
      <w:pPr>
        <w:ind w:left="2920" w:right="4180"/>
        <w:spacing w:after="0" w:line="278" w:lineRule="auto"/>
        <w:rPr>
          <w:sz w:val="20"/>
          <w:szCs w:val="20"/>
          <w:color w:val="auto"/>
        </w:rPr>
      </w:pPr>
      <w:r>
        <w:rPr>
          <w:rFonts w:ascii="Arial" w:cs="Arial" w:eastAsia="Arial" w:hAnsi="Arial"/>
          <w:sz w:val="16"/>
          <w:szCs w:val="16"/>
          <w:color w:val="auto"/>
        </w:rPr>
        <w:t>§ Covers a population of 20.9 million (5.8 million meters)</w:t>
      </w:r>
    </w:p>
    <w:p>
      <w:pPr>
        <w:spacing w:after="0" w:line="20" w:lineRule="exact"/>
        <w:rPr>
          <w:rFonts w:ascii="Arial" w:cs="Arial" w:eastAsia="Arial" w:hAnsi="Arial"/>
          <w:sz w:val="16"/>
          <w:szCs w:val="16"/>
          <w:b w:val="1"/>
          <w:bCs w:val="1"/>
          <w:i w:val="1"/>
          <w:iCs w:val="1"/>
          <w:color w:val="auto"/>
        </w:rPr>
      </w:pPr>
      <w:r>
        <w:rPr>
          <w:rFonts w:ascii="Arial" w:cs="Arial" w:eastAsia="Arial" w:hAnsi="Arial"/>
          <w:sz w:val="16"/>
          <w:szCs w:val="16"/>
          <w:b w:val="1"/>
          <w:bCs w:val="1"/>
          <w:i w:val="1"/>
          <w:iCs w:val="1"/>
          <w:color w:val="auto"/>
        </w:rPr>
        <w:drawing>
          <wp:anchor simplePos="0" relativeHeight="251657728" behindDoc="1" locked="0" layoutInCell="0" allowOverlap="1">
            <wp:simplePos x="0" y="0"/>
            <wp:positionH relativeFrom="column">
              <wp:posOffset>-756285</wp:posOffset>
            </wp:positionH>
            <wp:positionV relativeFrom="paragraph">
              <wp:posOffset>114300</wp:posOffset>
            </wp:positionV>
            <wp:extent cx="7246620"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-756285</wp:posOffset>
            </wp:positionH>
            <wp:positionV relativeFrom="paragraph">
              <wp:posOffset>1966595</wp:posOffset>
            </wp:positionV>
            <wp:extent cx="7246620" cy="13716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200" w:lineRule="exact"/>
        <w:rPr>
          <w:rFonts w:ascii="Arial" w:cs="Arial" w:eastAsia="Arial" w:hAnsi="Arial"/>
          <w:sz w:val="16"/>
          <w:szCs w:val="16"/>
          <w:b w:val="1"/>
          <w:bCs w:val="1"/>
          <w:i w:val="1"/>
          <w:iCs w:val="1"/>
          <w:color w:val="auto"/>
        </w:rPr>
      </w:pPr>
    </w:p>
    <w:p>
      <w:pPr>
        <w:spacing w:after="0" w:line="200" w:lineRule="exact"/>
        <w:rPr>
          <w:rFonts w:ascii="Arial" w:cs="Arial" w:eastAsia="Arial" w:hAnsi="Arial"/>
          <w:sz w:val="16"/>
          <w:szCs w:val="16"/>
          <w:b w:val="1"/>
          <w:bCs w:val="1"/>
          <w:i w:val="1"/>
          <w:iCs w:val="1"/>
          <w:color w:val="auto"/>
        </w:rPr>
      </w:pPr>
    </w:p>
    <w:p>
      <w:pPr>
        <w:spacing w:after="0" w:line="200" w:lineRule="exact"/>
        <w:rPr>
          <w:rFonts w:ascii="Arial" w:cs="Arial" w:eastAsia="Arial" w:hAnsi="Arial"/>
          <w:sz w:val="16"/>
          <w:szCs w:val="16"/>
          <w:b w:val="1"/>
          <w:bCs w:val="1"/>
          <w:i w:val="1"/>
          <w:iCs w:val="1"/>
          <w:color w:val="auto"/>
        </w:rPr>
      </w:pPr>
    </w:p>
    <w:p>
      <w:pPr>
        <w:spacing w:after="0" w:line="19" w:lineRule="exact"/>
        <w:rPr>
          <w:rFonts w:ascii="Arial" w:cs="Arial" w:eastAsia="Arial" w:hAnsi="Arial"/>
          <w:sz w:val="16"/>
          <w:szCs w:val="16"/>
          <w:b w:val="1"/>
          <w:bCs w:val="1"/>
          <w:i w:val="1"/>
          <w:iCs w:val="1"/>
          <w:color w:val="auto"/>
        </w:rPr>
      </w:pPr>
    </w:p>
    <w:p>
      <w:pPr>
        <w:spacing w:after="0" w:line="200" w:lineRule="exact"/>
        <w:rPr>
          <w:rFonts w:ascii="Arial" w:cs="Arial" w:eastAsia="Arial" w:hAnsi="Arial"/>
          <w:sz w:val="16"/>
          <w:szCs w:val="16"/>
          <w:b w:val="1"/>
          <w:bCs w:val="1"/>
          <w:i w:val="1"/>
          <w:iCs w:val="1"/>
          <w:color w:val="auto"/>
        </w:rPr>
      </w:pPr>
    </w:p>
    <w:p>
      <w:pPr>
        <w:spacing w:after="0" w:line="200" w:lineRule="exact"/>
        <w:rPr>
          <w:rFonts w:ascii="Arial" w:cs="Arial" w:eastAsia="Arial" w:hAnsi="Arial"/>
          <w:sz w:val="16"/>
          <w:szCs w:val="16"/>
          <w:b w:val="1"/>
          <w:bCs w:val="1"/>
          <w:i w:val="1"/>
          <w:iCs w:val="1"/>
          <w:color w:val="auto"/>
        </w:rPr>
      </w:pPr>
    </w:p>
    <w:p>
      <w:pPr>
        <w:spacing w:after="0" w:line="200" w:lineRule="exact"/>
        <w:rPr>
          <w:rFonts w:ascii="Arial" w:cs="Arial" w:eastAsia="Arial" w:hAnsi="Arial"/>
          <w:sz w:val="16"/>
          <w:szCs w:val="16"/>
          <w:b w:val="1"/>
          <w:bCs w:val="1"/>
          <w:i w:val="1"/>
          <w:iCs w:val="1"/>
          <w:color w:val="auto"/>
        </w:rPr>
      </w:pPr>
    </w:p>
    <w:p>
      <w:pPr>
        <w:spacing w:after="0" w:line="200" w:lineRule="exact"/>
        <w:rPr>
          <w:rFonts w:ascii="Arial" w:cs="Arial" w:eastAsia="Arial" w:hAnsi="Arial"/>
          <w:sz w:val="16"/>
          <w:szCs w:val="16"/>
          <w:b w:val="1"/>
          <w:bCs w:val="1"/>
          <w:i w:val="1"/>
          <w:iCs w:val="1"/>
          <w:color w:val="auto"/>
        </w:rPr>
      </w:pPr>
    </w:p>
    <w:p>
      <w:pPr>
        <w:spacing w:after="0" w:line="200" w:lineRule="exact"/>
        <w:rPr>
          <w:rFonts w:ascii="Arial" w:cs="Arial" w:eastAsia="Arial" w:hAnsi="Arial"/>
          <w:sz w:val="16"/>
          <w:szCs w:val="16"/>
          <w:b w:val="1"/>
          <w:bCs w:val="1"/>
          <w:i w:val="1"/>
          <w:iCs w:val="1"/>
          <w:color w:val="auto"/>
        </w:rPr>
      </w:pPr>
    </w:p>
    <w:p>
      <w:pPr>
        <w:spacing w:after="0" w:line="200" w:lineRule="exact"/>
        <w:rPr>
          <w:rFonts w:ascii="Arial" w:cs="Arial" w:eastAsia="Arial" w:hAnsi="Arial"/>
          <w:sz w:val="16"/>
          <w:szCs w:val="16"/>
          <w:b w:val="1"/>
          <w:bCs w:val="1"/>
          <w:i w:val="1"/>
          <w:iCs w:val="1"/>
          <w:color w:val="auto"/>
        </w:rPr>
      </w:pPr>
    </w:p>
    <w:p>
      <w:pPr>
        <w:spacing w:after="0" w:line="200" w:lineRule="exact"/>
        <w:rPr>
          <w:rFonts w:ascii="Arial" w:cs="Arial" w:eastAsia="Arial" w:hAnsi="Arial"/>
          <w:sz w:val="16"/>
          <w:szCs w:val="16"/>
          <w:b w:val="1"/>
          <w:bCs w:val="1"/>
          <w:i w:val="1"/>
          <w:iCs w:val="1"/>
          <w:color w:val="auto"/>
        </w:rPr>
      </w:pPr>
    </w:p>
    <w:p>
      <w:pPr>
        <w:spacing w:after="0" w:line="200" w:lineRule="exact"/>
        <w:rPr>
          <w:rFonts w:ascii="Arial" w:cs="Arial" w:eastAsia="Arial" w:hAnsi="Arial"/>
          <w:sz w:val="16"/>
          <w:szCs w:val="16"/>
          <w:b w:val="1"/>
          <w:bCs w:val="1"/>
          <w:i w:val="1"/>
          <w:iCs w:val="1"/>
          <w:color w:val="auto"/>
        </w:rPr>
      </w:pPr>
    </w:p>
    <w:p>
      <w:pPr>
        <w:spacing w:after="0" w:line="200" w:lineRule="exact"/>
        <w:rPr>
          <w:rFonts w:ascii="Arial" w:cs="Arial" w:eastAsia="Arial" w:hAnsi="Arial"/>
          <w:sz w:val="16"/>
          <w:szCs w:val="16"/>
          <w:b w:val="1"/>
          <w:bCs w:val="1"/>
          <w:i w:val="1"/>
          <w:iCs w:val="1"/>
          <w:color w:val="auto"/>
        </w:rPr>
      </w:pPr>
    </w:p>
    <w:p>
      <w:pPr>
        <w:spacing w:after="0" w:line="200" w:lineRule="exact"/>
        <w:rPr>
          <w:rFonts w:ascii="Arial" w:cs="Arial" w:eastAsia="Arial" w:hAnsi="Arial"/>
          <w:sz w:val="16"/>
          <w:szCs w:val="16"/>
          <w:b w:val="1"/>
          <w:bCs w:val="1"/>
          <w:i w:val="1"/>
          <w:iCs w:val="1"/>
          <w:color w:val="auto"/>
        </w:rPr>
      </w:pPr>
    </w:p>
    <w:p>
      <w:pPr>
        <w:spacing w:after="0" w:line="310" w:lineRule="exact"/>
        <w:rPr>
          <w:rFonts w:ascii="Arial" w:cs="Arial" w:eastAsia="Arial" w:hAnsi="Arial"/>
          <w:sz w:val="16"/>
          <w:szCs w:val="16"/>
          <w:b w:val="1"/>
          <w:bCs w:val="1"/>
          <w:i w:val="1"/>
          <w:iCs w:val="1"/>
          <w:color w:val="auto"/>
        </w:rPr>
      </w:pPr>
    </w:p>
    <w:p>
      <w:pPr>
        <w:ind w:left="4200"/>
        <w:spacing w:after="0"/>
        <w:tabs>
          <w:tab w:leader="none" w:pos="7500" w:val="left"/>
        </w:tabs>
        <w:rPr>
          <w:sz w:val="20"/>
          <w:szCs w:val="20"/>
          <w:color w:val="auto"/>
        </w:rPr>
      </w:pPr>
      <w:r>
        <w:rPr>
          <w:rFonts w:ascii="Arial" w:cs="Arial" w:eastAsia="Arial" w:hAnsi="Arial"/>
          <w:sz w:val="14"/>
          <w:szCs w:val="14"/>
          <w:b w:val="1"/>
          <w:bCs w:val="1"/>
          <w:color w:val="auto"/>
        </w:rPr>
        <w:t>MARKET</w:t>
      </w:r>
      <w:r>
        <w:rPr>
          <w:sz w:val="20"/>
          <w:szCs w:val="20"/>
          <w:color w:val="auto"/>
        </w:rPr>
        <w:tab/>
      </w:r>
      <w:r>
        <w:rPr>
          <w:rFonts w:ascii="Arial" w:cs="Arial" w:eastAsia="Arial" w:hAnsi="Arial"/>
          <w:sz w:val="14"/>
          <w:szCs w:val="14"/>
          <w:b w:val="1"/>
          <w:bCs w:val="1"/>
          <w:color w:val="auto"/>
        </w:rPr>
        <w:t>GEOGRAPHIC REGION</w:t>
      </w:r>
    </w:p>
    <w:p>
      <w:pPr>
        <w:spacing w:after="0" w:line="20" w:lineRule="exact"/>
        <w:rPr>
          <w:rFonts w:ascii="Arial" w:cs="Arial" w:eastAsia="Arial" w:hAnsi="Arial"/>
          <w:sz w:val="16"/>
          <w:szCs w:val="16"/>
          <w:b w:val="1"/>
          <w:bCs w:val="1"/>
          <w:i w:val="1"/>
          <w:iCs w:val="1"/>
          <w:color w:val="auto"/>
        </w:rPr>
      </w:pPr>
      <w:r>
        <w:rPr>
          <w:rFonts w:ascii="Arial" w:cs="Arial" w:eastAsia="Arial" w:hAnsi="Arial"/>
          <w:sz w:val="16"/>
          <w:szCs w:val="16"/>
          <w:b w:val="1"/>
          <w:bCs w:val="1"/>
          <w:i w:val="1"/>
          <w:iCs w:val="1"/>
          <w:color w:val="auto"/>
        </w:rPr>
        <w:drawing>
          <wp:anchor simplePos="0" relativeHeight="251657728" behindDoc="1" locked="0" layoutInCell="0" allowOverlap="1">
            <wp:simplePos x="0" y="0"/>
            <wp:positionH relativeFrom="column">
              <wp:posOffset>-756285</wp:posOffset>
            </wp:positionH>
            <wp:positionV relativeFrom="paragraph">
              <wp:posOffset>26035</wp:posOffset>
            </wp:positionV>
            <wp:extent cx="7246620"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-756285</wp:posOffset>
            </wp:positionH>
            <wp:positionV relativeFrom="paragraph">
              <wp:posOffset>592455</wp:posOffset>
            </wp:positionV>
            <wp:extent cx="7246620"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-756285</wp:posOffset>
            </wp:positionH>
            <wp:positionV relativeFrom="paragraph">
              <wp:posOffset>1981835</wp:posOffset>
            </wp:positionV>
            <wp:extent cx="7246620"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-756285</wp:posOffset>
            </wp:positionH>
            <wp:positionV relativeFrom="paragraph">
              <wp:posOffset>2821940</wp:posOffset>
            </wp:positionV>
            <wp:extent cx="7246620"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200"/>
          </w:cols>
          <w:pgMar w:left="1440" w:top="1440" w:right="259" w:bottom="1440" w:gutter="0" w:footer="0" w:header="0"/>
        </w:sectPr>
      </w:pPr>
    </w:p>
    <w:bookmarkStart w:id="51" w:name="page52"/>
    <w:bookmarkEnd w:id="51"/>
    <w:p>
      <w:pPr>
        <w:spacing w:after="0" w:line="80"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On April 6, 2011, Sempra Pipelines &amp; Storage completed the acquisition of AEI’s interests in Chilquinta Energía S.A. (Chilquinta Energía) in Chile and Luz del Sur S.A.A. (Luz del Sur) in Peru. Prior to the acquisition, Sempra Pipelines &amp; Storage and AEI each owned 50 percent of Chilquinta Energía and approximately 38 percent of Luz del Sur, and we reported our interests as equity method investments. Sempra Pipelines &amp; Storage now owns 100 percent of Chilquinta Energía and approximately 76 percent of Luz del Sur, and the companies are now consolidated. The remaining shares of Luz del Sur are held by institutional investors and the general public. The adjusted purchase price of $888 million resulted from valuing the net assets in Chile, Peru and other holding companies at $495 million, $385 million and $8 million, respectively.</w:t>
      </w:r>
    </w:p>
    <w:p>
      <w:pPr>
        <w:spacing w:after="0" w:line="178"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Chilquinta Energía is an electric distribution utility serving more than 600,000 customers in the cities of Valparaiso and Viña del Mar in central Chile. Luz del Sur is an electric distribution utility that serves more than 900,000 customers in the southern zone of metropolitan Lima, Peru, and delivers approximately one-third of all power used in the country. As part of the transaction, Sempra Pipelines &amp; Storage also acquired AEI’s interests in two energy-services companies, Tecnored S.A. (Tecnored) and Tecsur S.A. (Tecsur).</w:t>
      </w:r>
    </w:p>
    <w:p>
      <w:pPr>
        <w:spacing w:after="0" w:line="187"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We provide additional information about the acquisition and Sempra Pipelines &amp; Storage’s investments in Chilquinta Energía and Luz del Sur in Note 3 of the Notes to Condensed Consolidated Financial Statements 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477520</wp:posOffset>
            </wp:positionV>
            <wp:extent cx="7263765"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20"/>
          <w:szCs w:val="20"/>
          <w:color w:val="auto"/>
        </w:rPr>
        <w:t>RESULTS OF OPERATIONS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color w:val="auto"/>
        </w:rPr>
        <w:t>We discuss the following in Results of Operations:</w:t>
      </w:r>
    </w:p>
    <w:p>
      <w:pPr>
        <w:spacing w:after="0" w:line="225" w:lineRule="exact"/>
        <w:rPr>
          <w:sz w:val="20"/>
          <w:szCs w:val="20"/>
          <w:color w:val="auto"/>
        </w:rPr>
      </w:pPr>
    </w:p>
    <w:p>
      <w:pPr>
        <w:ind w:left="340" w:hanging="188"/>
        <w:spacing w:after="0"/>
        <w:tabs>
          <w:tab w:leader="none" w:pos="3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Overall results of our operations and factors affecting those results</w:t>
      </w:r>
    </w:p>
    <w:p>
      <w:pPr>
        <w:spacing w:after="0" w:line="252" w:lineRule="exact"/>
        <w:rPr>
          <w:rFonts w:ascii="Arial" w:cs="Arial" w:eastAsia="Arial" w:hAnsi="Arial"/>
          <w:sz w:val="18"/>
          <w:szCs w:val="18"/>
          <w:color w:val="auto"/>
        </w:rPr>
      </w:pPr>
    </w:p>
    <w:p>
      <w:pPr>
        <w:ind w:left="340" w:hanging="188"/>
        <w:spacing w:after="0"/>
        <w:tabs>
          <w:tab w:leader="none" w:pos="3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Our business unit results</w:t>
      </w:r>
    </w:p>
    <w:p>
      <w:pPr>
        <w:spacing w:after="0" w:line="252" w:lineRule="exact"/>
        <w:rPr>
          <w:rFonts w:ascii="Arial" w:cs="Arial" w:eastAsia="Arial" w:hAnsi="Arial"/>
          <w:sz w:val="18"/>
          <w:szCs w:val="18"/>
          <w:color w:val="auto"/>
        </w:rPr>
      </w:pPr>
    </w:p>
    <w:p>
      <w:pPr>
        <w:ind w:left="340" w:hanging="188"/>
        <w:spacing w:after="0"/>
        <w:tabs>
          <w:tab w:leader="none" w:pos="3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Significant changes in revenues, costs and earnings between periods</w:t>
      </w:r>
    </w:p>
    <w:p>
      <w:pPr>
        <w:spacing w:after="0" w:line="252" w:lineRule="exact"/>
        <w:rPr>
          <w:sz w:val="20"/>
          <w:szCs w:val="20"/>
          <w:color w:val="auto"/>
        </w:rPr>
      </w:pPr>
    </w:p>
    <w:p>
      <w:pPr>
        <w:ind w:right="320"/>
        <w:spacing w:after="0" w:line="286" w:lineRule="auto"/>
        <w:rPr>
          <w:sz w:val="20"/>
          <w:szCs w:val="20"/>
          <w:color w:val="auto"/>
        </w:rPr>
      </w:pPr>
      <w:r>
        <w:rPr>
          <w:rFonts w:ascii="Arial" w:cs="Arial" w:eastAsia="Arial" w:hAnsi="Arial"/>
          <w:sz w:val="17"/>
          <w:szCs w:val="17"/>
          <w:color w:val="auto"/>
        </w:rPr>
        <w:t>In the three months ended June 30, 2011, our earnings increased by $289 million to $511 million primarily due to a $277 million gain resulting from the remeasurement of our equity method investments at Sempra Pipelines &amp; Storage related to its acquisition of additional interests in Chilquinta Energía and Luz del Sur in April 2011, and $14 million higher earnings related to the operations of Chilquinta Energía and Luz del Sur.</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Diluted earnings per share for the three-month period increased by $1.23 per share to $2.12 per share. Components of this increase include</w:t>
      </w:r>
    </w:p>
    <w:p>
      <w:pPr>
        <w:spacing w:after="0" w:line="225" w:lineRule="exact"/>
        <w:rPr>
          <w:sz w:val="20"/>
          <w:szCs w:val="20"/>
          <w:color w:val="auto"/>
        </w:rPr>
      </w:pPr>
    </w:p>
    <w:p>
      <w:pPr>
        <w:ind w:left="340" w:hanging="188"/>
        <w:spacing w:after="0"/>
        <w:tabs>
          <w:tab w:leader="none" w:pos="3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remeasurement gain in 2011 ($1.15 per share);</w:t>
      </w:r>
    </w:p>
    <w:p>
      <w:pPr>
        <w:spacing w:after="0" w:line="252" w:lineRule="exact"/>
        <w:rPr>
          <w:rFonts w:ascii="Arial" w:cs="Arial" w:eastAsia="Arial" w:hAnsi="Arial"/>
          <w:sz w:val="18"/>
          <w:szCs w:val="18"/>
          <w:color w:val="auto"/>
        </w:rPr>
      </w:pPr>
    </w:p>
    <w:p>
      <w:pPr>
        <w:ind w:left="340" w:hanging="188"/>
        <w:spacing w:after="0"/>
        <w:tabs>
          <w:tab w:leader="none" w:pos="3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higher earnings (excluding the remeasurement gain) ($0.05 per share); and</w:t>
      </w:r>
    </w:p>
    <w:p>
      <w:pPr>
        <w:spacing w:after="0" w:line="252" w:lineRule="exact"/>
        <w:rPr>
          <w:rFonts w:ascii="Arial" w:cs="Arial" w:eastAsia="Arial" w:hAnsi="Arial"/>
          <w:sz w:val="18"/>
          <w:szCs w:val="18"/>
          <w:color w:val="auto"/>
        </w:rPr>
      </w:pPr>
    </w:p>
    <w:p>
      <w:pPr>
        <w:ind w:left="340" w:hanging="188"/>
        <w:spacing w:after="0" w:line="342" w:lineRule="auto"/>
        <w:tabs>
          <w:tab w:leader="none" w:pos="340" w:val="left"/>
        </w:tabs>
        <w:numPr>
          <w:ilvl w:val="0"/>
          <w:numId w:val="42"/>
        </w:numPr>
        <w:rPr>
          <w:rFonts w:ascii="Arial" w:cs="Arial" w:eastAsia="Arial" w:hAnsi="Arial"/>
          <w:sz w:val="16"/>
          <w:szCs w:val="16"/>
          <w:color w:val="auto"/>
        </w:rPr>
      </w:pPr>
      <w:r>
        <w:rPr>
          <w:rFonts w:ascii="Arial" w:cs="Arial" w:eastAsia="Arial" w:hAnsi="Arial"/>
          <w:sz w:val="16"/>
          <w:szCs w:val="16"/>
          <w:color w:val="auto"/>
        </w:rPr>
        <w:t>a decrease in the number of shares outstanding primarily as a result of our $500 million share repurchase program initiated in September 2010 and completed in March 2011. We discuss this share repurchase program in Note 5 of the Notes to Condensed Consolidated Financial Statements herein.</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In the six months ended June 30, 2011, our earnings increased by $441 million to $769 million primarily due to:</w:t>
      </w:r>
    </w:p>
    <w:p>
      <w:pPr>
        <w:spacing w:after="0" w:line="225" w:lineRule="exact"/>
        <w:rPr>
          <w:sz w:val="20"/>
          <w:szCs w:val="20"/>
          <w:color w:val="auto"/>
        </w:rPr>
      </w:pPr>
    </w:p>
    <w:p>
      <w:pPr>
        <w:ind w:left="340" w:hanging="188"/>
        <w:spacing w:after="0"/>
        <w:tabs>
          <w:tab w:leader="none" w:pos="3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$277 million gain resulting from the remeasurement of our equity method investments at Sempra Pipelines &amp; Storage;</w:t>
      </w:r>
    </w:p>
    <w:p>
      <w:pPr>
        <w:spacing w:after="0" w:line="252" w:lineRule="exact"/>
        <w:rPr>
          <w:rFonts w:ascii="Arial" w:cs="Arial" w:eastAsia="Arial" w:hAnsi="Arial"/>
          <w:sz w:val="18"/>
          <w:szCs w:val="18"/>
          <w:color w:val="auto"/>
        </w:rPr>
      </w:pPr>
    </w:p>
    <w:p>
      <w:pPr>
        <w:ind w:left="340" w:hanging="188"/>
        <w:spacing w:after="0"/>
        <w:tabs>
          <w:tab w:leader="none" w:pos="3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$96 million litigation expense recorded in the first quarter of 2010 related to an agreement to settle certain energy crisis litigation;</w:t>
      </w:r>
    </w:p>
    <w:p>
      <w:pPr>
        <w:spacing w:after="0" w:line="252" w:lineRule="exact"/>
        <w:rPr>
          <w:rFonts w:ascii="Arial" w:cs="Arial" w:eastAsia="Arial" w:hAnsi="Arial"/>
          <w:sz w:val="18"/>
          <w:szCs w:val="18"/>
          <w:color w:val="auto"/>
        </w:rPr>
      </w:pPr>
    </w:p>
    <w:p>
      <w:pPr>
        <w:ind w:left="340" w:hanging="188"/>
        <w:spacing w:after="0" w:line="277" w:lineRule="auto"/>
        <w:tabs>
          <w:tab w:leader="none" w:pos="3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improved results at Sempra Pipelines &amp; Storage (excluding the remeasurement gain), including $20 million higher earnings related to Chilquinta Energía and Luz del Sur; and</w:t>
      </w:r>
    </w:p>
    <w:p>
      <w:pPr>
        <w:spacing w:after="0" w:line="197" w:lineRule="exact"/>
        <w:rPr>
          <w:rFonts w:ascii="Arial" w:cs="Arial" w:eastAsia="Arial" w:hAnsi="Arial"/>
          <w:sz w:val="18"/>
          <w:szCs w:val="18"/>
          <w:color w:val="auto"/>
        </w:rPr>
      </w:pPr>
    </w:p>
    <w:p>
      <w:pPr>
        <w:ind w:left="340" w:hanging="188"/>
        <w:spacing w:after="0"/>
        <w:tabs>
          <w:tab w:leader="none" w:pos="3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lower losses at Parent and Other.</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Diluted earnings per share for the six-month period increased by $1.88 per share to $3.19 per share. Components of this increase include</w:t>
      </w:r>
    </w:p>
    <w:p>
      <w:pPr>
        <w:spacing w:after="0" w:line="225" w:lineRule="exact"/>
        <w:rPr>
          <w:sz w:val="20"/>
          <w:szCs w:val="20"/>
          <w:color w:val="auto"/>
        </w:rPr>
      </w:pPr>
    </w:p>
    <w:p>
      <w:pPr>
        <w:ind w:left="340" w:hanging="188"/>
        <w:spacing w:after="0"/>
        <w:tabs>
          <w:tab w:leader="none" w:pos="3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remeasurement gain in 2011 ($1.15 per share);</w:t>
      </w:r>
    </w:p>
    <w:p>
      <w:pPr>
        <w:spacing w:after="0" w:line="252" w:lineRule="exact"/>
        <w:rPr>
          <w:rFonts w:ascii="Arial" w:cs="Arial" w:eastAsia="Arial" w:hAnsi="Arial"/>
          <w:sz w:val="18"/>
          <w:szCs w:val="18"/>
          <w:color w:val="auto"/>
        </w:rPr>
      </w:pPr>
    </w:p>
    <w:p>
      <w:pPr>
        <w:ind w:left="340" w:hanging="188"/>
        <w:spacing w:after="0"/>
        <w:tabs>
          <w:tab w:leader="none" w:pos="3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litigation expense in 2010 ($0.38 per share);</w:t>
      </w:r>
    </w:p>
    <w:p>
      <w:pPr>
        <w:spacing w:after="0" w:line="252" w:lineRule="exact"/>
        <w:rPr>
          <w:rFonts w:ascii="Arial" w:cs="Arial" w:eastAsia="Arial" w:hAnsi="Arial"/>
          <w:sz w:val="18"/>
          <w:szCs w:val="18"/>
          <w:color w:val="auto"/>
        </w:rPr>
      </w:pPr>
    </w:p>
    <w:p>
      <w:pPr>
        <w:ind w:left="340" w:hanging="188"/>
        <w:spacing w:after="0"/>
        <w:tabs>
          <w:tab w:leader="none" w:pos="3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higher earnings (excluding the impacts of the 2011 remeasurement gain and 2010 litigation settlement charge) ($0.27 per share); and</w:t>
      </w:r>
    </w:p>
    <w:p>
      <w:pPr>
        <w:spacing w:after="0" w:line="252" w:lineRule="exact"/>
        <w:rPr>
          <w:rFonts w:ascii="Arial" w:cs="Arial" w:eastAsia="Arial" w:hAnsi="Arial"/>
          <w:sz w:val="18"/>
          <w:szCs w:val="18"/>
          <w:color w:val="auto"/>
        </w:rPr>
      </w:pPr>
    </w:p>
    <w:p>
      <w:pPr>
        <w:ind w:left="340" w:hanging="188"/>
        <w:spacing w:after="0" w:line="277" w:lineRule="auto"/>
        <w:tabs>
          <w:tab w:leader="none" w:pos="3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 decrease in the number of shares outstanding primarily as a result of our $500 million share repurchase program initiated in September 2010 and completed in March 2011.</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shows our earnings (losses) by business unit, which we discuss below in "Business Unit Results."</w:t>
      </w: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SEMPRA ENERGY EARNINGS (LOSSES) BY BUSINESS UNIT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-104775</wp:posOffset>
            </wp:positionV>
            <wp:extent cx="7246620" cy="22288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46620" cy="222885"/>
                    </a:xfrm>
                    <a:prstGeom prst="rect">
                      <a:avLst/>
                    </a:prstGeom>
                    <a:noFill/>
                  </pic:spPr>
                </pic:pic>
              </a:graphicData>
            </a:graphic>
          </wp:anchor>
        </w:drawing>
      </w:r>
    </w:p>
    <w:p>
      <w:pPr>
        <w:spacing w:after="0" w:line="8"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(Dollars in millions)</w:t>
      </w:r>
    </w:p>
    <w:tbl>
      <w:tblPr>
        <w:tblLayout w:type="fixed"/>
        <w:tblInd w:w="0" w:type="dxa"/>
        <w:tblCellMar>
          <w:top w:w="0" w:type="dxa"/>
          <w:left w:w="0" w:type="dxa"/>
          <w:bottom w:w="0" w:type="dxa"/>
          <w:right w:w="0" w:type="dxa"/>
        </w:tblCellMar>
      </w:tblPr>
      <w:tr>
        <w:trPr>
          <w:trHeight w:val="165"/>
        </w:trPr>
        <w:tc>
          <w:tcPr>
            <w:tcW w:w="20" w:type="dxa"/>
            <w:vAlign w:val="bottom"/>
          </w:tcPr>
          <w:p>
            <w:pPr>
              <w:spacing w:after="0"/>
              <w:rPr>
                <w:sz w:val="14"/>
                <w:szCs w:val="14"/>
                <w:color w:val="auto"/>
              </w:rPr>
            </w:pPr>
          </w:p>
        </w:tc>
        <w:tc>
          <w:tcPr>
            <w:tcW w:w="5040" w:type="dxa"/>
            <w:vAlign w:val="bottom"/>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spacing w:after="0"/>
              <w:rPr>
                <w:sz w:val="14"/>
                <w:szCs w:val="14"/>
                <w:color w:val="auto"/>
              </w:rPr>
            </w:pPr>
          </w:p>
        </w:tc>
        <w:tc>
          <w:tcPr>
            <w:tcW w:w="2380" w:type="dxa"/>
            <w:vAlign w:val="bottom"/>
            <w:tcBorders>
              <w:bottom w:val="single" w:sz="8" w:color="auto"/>
            </w:tcBorders>
            <w:gridSpan w:val="2"/>
          </w:tcPr>
          <w:p>
            <w:pPr>
              <w:ind w:left="260"/>
              <w:spacing w:after="0" w:line="159" w:lineRule="exact"/>
              <w:rPr>
                <w:sz w:val="20"/>
                <w:szCs w:val="20"/>
                <w:color w:val="auto"/>
              </w:rPr>
            </w:pPr>
            <w:r>
              <w:rPr>
                <w:rFonts w:ascii="Arial" w:cs="Arial" w:eastAsia="Arial" w:hAnsi="Arial"/>
                <w:sz w:val="14"/>
                <w:szCs w:val="14"/>
                <w:color w:val="auto"/>
              </w:rPr>
              <w:t>Three months ended June 30,</w:t>
            </w:r>
          </w:p>
        </w:tc>
        <w:tc>
          <w:tcPr>
            <w:tcW w:w="96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r>
      <w:tr>
        <w:trPr>
          <w:trHeight w:val="183"/>
        </w:trPr>
        <w:tc>
          <w:tcPr>
            <w:tcW w:w="20" w:type="dxa"/>
            <w:vAlign w:val="bottom"/>
          </w:tcPr>
          <w:p>
            <w:pPr>
              <w:spacing w:after="0"/>
              <w:rPr>
                <w:sz w:val="15"/>
                <w:szCs w:val="15"/>
                <w:color w:val="auto"/>
              </w:rPr>
            </w:pPr>
          </w:p>
        </w:tc>
        <w:tc>
          <w:tcPr>
            <w:tcW w:w="504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ind w:right="161"/>
              <w:spacing w:after="0"/>
              <w:rPr>
                <w:sz w:val="20"/>
                <w:szCs w:val="20"/>
                <w:color w:val="auto"/>
              </w:rPr>
            </w:pPr>
            <w:r>
              <w:rPr>
                <w:rFonts w:ascii="Arial" w:cs="Arial" w:eastAsia="Arial" w:hAnsi="Arial"/>
                <w:sz w:val="14"/>
                <w:szCs w:val="14"/>
                <w:color w:val="auto"/>
              </w:rPr>
              <w:t>2011</w:t>
            </w:r>
          </w:p>
        </w:tc>
        <w:tc>
          <w:tcPr>
            <w:tcW w:w="106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321"/>
              <w:spacing w:after="0"/>
              <w:rPr>
                <w:sz w:val="20"/>
                <w:szCs w:val="20"/>
                <w:color w:val="auto"/>
              </w:rPr>
            </w:pPr>
            <w:r>
              <w:rPr>
                <w:rFonts w:ascii="Arial" w:cs="Arial" w:eastAsia="Arial" w:hAnsi="Arial"/>
                <w:sz w:val="14"/>
                <w:szCs w:val="14"/>
                <w:color w:val="auto"/>
              </w:rPr>
              <w:t>2010</w:t>
            </w:r>
          </w:p>
        </w:tc>
        <w:tc>
          <w:tcPr>
            <w:tcW w:w="1060" w:type="dxa"/>
            <w:vAlign w:val="bottom"/>
            <w:tcBorders>
              <w:bottom w:val="single" w:sz="8" w:color="auto"/>
            </w:tcBorders>
          </w:tcPr>
          <w:p>
            <w:pPr>
              <w:spacing w:after="0"/>
              <w:rPr>
                <w:sz w:val="15"/>
                <w:szCs w:val="15"/>
                <w:color w:val="auto"/>
              </w:rPr>
            </w:pPr>
          </w:p>
        </w:tc>
      </w:tr>
      <w:tr>
        <w:trPr>
          <w:trHeight w:val="164"/>
        </w:trPr>
        <w:tc>
          <w:tcPr>
            <w:tcW w:w="20" w:type="dxa"/>
            <w:vAlign w:val="bottom"/>
          </w:tcPr>
          <w:p>
            <w:pPr>
              <w:spacing w:after="0"/>
              <w:rPr>
                <w:sz w:val="14"/>
                <w:szCs w:val="14"/>
                <w:color w:val="auto"/>
              </w:rPr>
            </w:pPr>
          </w:p>
        </w:tc>
        <w:tc>
          <w:tcPr>
            <w:tcW w:w="5040" w:type="dxa"/>
            <w:vAlign w:val="bottom"/>
          </w:tcPr>
          <w:p>
            <w:pPr>
              <w:spacing w:after="0" w:line="164" w:lineRule="exact"/>
              <w:rPr>
                <w:sz w:val="20"/>
                <w:szCs w:val="20"/>
                <w:color w:val="auto"/>
              </w:rPr>
            </w:pPr>
            <w:r>
              <w:rPr>
                <w:rFonts w:ascii="Arial" w:cs="Arial" w:eastAsia="Arial" w:hAnsi="Arial"/>
                <w:sz w:val="16"/>
                <w:szCs w:val="16"/>
                <w:color w:val="auto"/>
              </w:rPr>
              <w:t>Sempra Utilities:</w:t>
            </w:r>
          </w:p>
        </w:tc>
        <w:tc>
          <w:tcPr>
            <w:tcW w:w="7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76"/>
        </w:trPr>
        <w:tc>
          <w:tcPr>
            <w:tcW w:w="20" w:type="dxa"/>
            <w:vAlign w:val="bottom"/>
          </w:tcPr>
          <w:p>
            <w:pPr>
              <w:spacing w:after="0"/>
              <w:rPr>
                <w:sz w:val="15"/>
                <w:szCs w:val="15"/>
                <w:color w:val="auto"/>
              </w:rPr>
            </w:pPr>
          </w:p>
        </w:tc>
        <w:tc>
          <w:tcPr>
            <w:tcW w:w="5040" w:type="dxa"/>
            <w:vAlign w:val="bottom"/>
          </w:tcPr>
          <w:p>
            <w:pPr>
              <w:ind w:left="160"/>
              <w:spacing w:after="0" w:line="176" w:lineRule="exact"/>
              <w:rPr>
                <w:sz w:val="20"/>
                <w:szCs w:val="20"/>
                <w:color w:val="auto"/>
              </w:rPr>
            </w:pPr>
            <w:r>
              <w:rPr>
                <w:rFonts w:ascii="Arial" w:cs="Arial" w:eastAsia="Arial" w:hAnsi="Arial"/>
                <w:sz w:val="16"/>
                <w:szCs w:val="16"/>
                <w:color w:val="auto"/>
              </w:rPr>
              <w:t>SDG&amp;E(1)</w:t>
            </w:r>
          </w:p>
        </w:tc>
        <w:tc>
          <w:tcPr>
            <w:tcW w:w="720" w:type="dxa"/>
            <w:vAlign w:val="bottom"/>
          </w:tcPr>
          <w:p>
            <w:pPr>
              <w:jc w:val="right"/>
              <w:ind w:right="564"/>
              <w:spacing w:after="0"/>
              <w:rPr>
                <w:sz w:val="20"/>
                <w:szCs w:val="20"/>
                <w:color w:val="auto"/>
              </w:rPr>
            </w:pPr>
            <w:r>
              <w:rPr>
                <w:rFonts w:ascii="Arial" w:cs="Arial" w:eastAsia="Arial" w:hAnsi="Arial"/>
                <w:sz w:val="15"/>
                <w:szCs w:val="15"/>
                <w:color w:val="auto"/>
                <w:w w:val="71"/>
              </w:rPr>
              <w:t>$</w:t>
            </w:r>
          </w:p>
        </w:tc>
        <w:tc>
          <w:tcPr>
            <w:tcW w:w="1240" w:type="dxa"/>
            <w:vAlign w:val="bottom"/>
          </w:tcPr>
          <w:p>
            <w:pPr>
              <w:jc w:val="right"/>
              <w:ind w:right="341"/>
              <w:spacing w:after="0" w:line="176" w:lineRule="exact"/>
              <w:rPr>
                <w:sz w:val="20"/>
                <w:szCs w:val="20"/>
                <w:color w:val="auto"/>
              </w:rPr>
            </w:pPr>
            <w:r>
              <w:rPr>
                <w:rFonts w:ascii="Arial" w:cs="Arial" w:eastAsia="Arial" w:hAnsi="Arial"/>
                <w:sz w:val="16"/>
                <w:szCs w:val="16"/>
                <w:color w:val="auto"/>
              </w:rPr>
              <w:t>71</w:t>
            </w:r>
          </w:p>
        </w:tc>
        <w:tc>
          <w:tcPr>
            <w:tcW w:w="1060" w:type="dxa"/>
            <w:vAlign w:val="bottom"/>
          </w:tcPr>
          <w:p>
            <w:pPr>
              <w:ind w:left="540"/>
              <w:spacing w:after="0" w:line="176" w:lineRule="exact"/>
              <w:rPr>
                <w:sz w:val="20"/>
                <w:szCs w:val="20"/>
                <w:color w:val="auto"/>
              </w:rPr>
            </w:pPr>
            <w:r>
              <w:rPr>
                <w:rFonts w:ascii="Arial" w:cs="Arial" w:eastAsia="Arial" w:hAnsi="Arial"/>
                <w:sz w:val="16"/>
                <w:szCs w:val="16"/>
                <w:color w:val="auto"/>
              </w:rPr>
              <w:t>14 %</w:t>
            </w:r>
          </w:p>
        </w:tc>
        <w:tc>
          <w:tcPr>
            <w:tcW w:w="1320" w:type="dxa"/>
            <w:vAlign w:val="bottom"/>
          </w:tcPr>
          <w:p>
            <w:pPr>
              <w:jc w:val="right"/>
              <w:ind w:right="1019"/>
              <w:spacing w:after="0" w:line="176" w:lineRule="exact"/>
              <w:rPr>
                <w:sz w:val="20"/>
                <w:szCs w:val="20"/>
                <w:color w:val="auto"/>
              </w:rPr>
            </w:pPr>
            <w:r>
              <w:rPr>
                <w:rFonts w:ascii="Arial" w:cs="Arial" w:eastAsia="Arial" w:hAnsi="Arial"/>
                <w:sz w:val="16"/>
                <w:szCs w:val="16"/>
                <w:color w:val="auto"/>
              </w:rPr>
              <w:t>$</w:t>
            </w:r>
          </w:p>
        </w:tc>
        <w:tc>
          <w:tcPr>
            <w:tcW w:w="960" w:type="dxa"/>
            <w:vAlign w:val="bottom"/>
          </w:tcPr>
          <w:p>
            <w:pPr>
              <w:jc w:val="right"/>
              <w:ind w:right="521"/>
              <w:spacing w:after="0" w:line="176" w:lineRule="exact"/>
              <w:rPr>
                <w:sz w:val="20"/>
                <w:szCs w:val="20"/>
                <w:color w:val="auto"/>
              </w:rPr>
            </w:pPr>
            <w:r>
              <w:rPr>
                <w:rFonts w:ascii="Arial" w:cs="Arial" w:eastAsia="Arial" w:hAnsi="Arial"/>
                <w:sz w:val="16"/>
                <w:szCs w:val="16"/>
                <w:color w:val="auto"/>
              </w:rPr>
              <w:t>75</w:t>
            </w:r>
          </w:p>
        </w:tc>
        <w:tc>
          <w:tcPr>
            <w:tcW w:w="1060" w:type="dxa"/>
            <w:vAlign w:val="bottom"/>
          </w:tcPr>
          <w:p>
            <w:pPr>
              <w:ind w:left="380"/>
              <w:spacing w:after="0" w:line="176" w:lineRule="exact"/>
              <w:rPr>
                <w:sz w:val="20"/>
                <w:szCs w:val="20"/>
                <w:color w:val="auto"/>
              </w:rPr>
            </w:pPr>
            <w:r>
              <w:rPr>
                <w:rFonts w:ascii="Arial" w:cs="Arial" w:eastAsia="Arial" w:hAnsi="Arial"/>
                <w:sz w:val="16"/>
                <w:szCs w:val="16"/>
                <w:color w:val="auto"/>
              </w:rPr>
              <w:t>34 %</w:t>
            </w:r>
          </w:p>
        </w:tc>
      </w:tr>
      <w:tr>
        <w:trPr>
          <w:trHeight w:val="176"/>
        </w:trPr>
        <w:tc>
          <w:tcPr>
            <w:tcW w:w="20" w:type="dxa"/>
            <w:vAlign w:val="bottom"/>
          </w:tcPr>
          <w:p>
            <w:pPr>
              <w:spacing w:after="0"/>
              <w:rPr>
                <w:sz w:val="15"/>
                <w:szCs w:val="15"/>
                <w:color w:val="auto"/>
              </w:rPr>
            </w:pPr>
          </w:p>
        </w:tc>
        <w:tc>
          <w:tcPr>
            <w:tcW w:w="5040" w:type="dxa"/>
            <w:vAlign w:val="bottom"/>
          </w:tcPr>
          <w:p>
            <w:pPr>
              <w:ind w:left="160"/>
              <w:spacing w:after="0" w:line="176" w:lineRule="exact"/>
              <w:rPr>
                <w:sz w:val="20"/>
                <w:szCs w:val="20"/>
                <w:color w:val="auto"/>
              </w:rPr>
            </w:pPr>
            <w:r>
              <w:rPr>
                <w:rFonts w:ascii="Arial" w:cs="Arial" w:eastAsia="Arial" w:hAnsi="Arial"/>
                <w:sz w:val="16"/>
                <w:szCs w:val="16"/>
                <w:color w:val="auto"/>
              </w:rPr>
              <w:t>SoCalGas(1)</w:t>
            </w:r>
          </w:p>
        </w:tc>
        <w:tc>
          <w:tcPr>
            <w:tcW w:w="720" w:type="dxa"/>
            <w:vAlign w:val="bottom"/>
          </w:tcPr>
          <w:p>
            <w:pPr>
              <w:spacing w:after="0"/>
              <w:rPr>
                <w:sz w:val="15"/>
                <w:szCs w:val="15"/>
                <w:color w:val="auto"/>
              </w:rPr>
            </w:pPr>
          </w:p>
        </w:tc>
        <w:tc>
          <w:tcPr>
            <w:tcW w:w="1240" w:type="dxa"/>
            <w:vAlign w:val="bottom"/>
          </w:tcPr>
          <w:p>
            <w:pPr>
              <w:jc w:val="right"/>
              <w:ind w:right="341"/>
              <w:spacing w:after="0" w:line="176" w:lineRule="exact"/>
              <w:rPr>
                <w:sz w:val="20"/>
                <w:szCs w:val="20"/>
                <w:color w:val="auto"/>
              </w:rPr>
            </w:pPr>
            <w:r>
              <w:rPr>
                <w:rFonts w:ascii="Arial" w:cs="Arial" w:eastAsia="Arial" w:hAnsi="Arial"/>
                <w:sz w:val="16"/>
                <w:szCs w:val="16"/>
                <w:color w:val="auto"/>
              </w:rPr>
              <w:t>59</w:t>
            </w:r>
          </w:p>
        </w:tc>
        <w:tc>
          <w:tcPr>
            <w:tcW w:w="1060" w:type="dxa"/>
            <w:vAlign w:val="bottom"/>
          </w:tcPr>
          <w:p>
            <w:pPr>
              <w:ind w:left="540"/>
              <w:spacing w:after="0" w:line="176" w:lineRule="exact"/>
              <w:rPr>
                <w:sz w:val="20"/>
                <w:szCs w:val="20"/>
                <w:color w:val="auto"/>
              </w:rPr>
            </w:pPr>
            <w:r>
              <w:rPr>
                <w:rFonts w:ascii="Arial" w:cs="Arial" w:eastAsia="Arial" w:hAnsi="Arial"/>
                <w:sz w:val="16"/>
                <w:szCs w:val="16"/>
                <w:color w:val="auto"/>
              </w:rPr>
              <w:t>12</w:t>
            </w:r>
          </w:p>
        </w:tc>
        <w:tc>
          <w:tcPr>
            <w:tcW w:w="1320" w:type="dxa"/>
            <w:vAlign w:val="bottom"/>
          </w:tcPr>
          <w:p>
            <w:pPr>
              <w:spacing w:after="0"/>
              <w:rPr>
                <w:sz w:val="15"/>
                <w:szCs w:val="15"/>
                <w:color w:val="auto"/>
              </w:rPr>
            </w:pPr>
          </w:p>
        </w:tc>
        <w:tc>
          <w:tcPr>
            <w:tcW w:w="960" w:type="dxa"/>
            <w:vAlign w:val="bottom"/>
          </w:tcPr>
          <w:p>
            <w:pPr>
              <w:jc w:val="right"/>
              <w:ind w:right="521"/>
              <w:spacing w:after="0" w:line="176" w:lineRule="exact"/>
              <w:rPr>
                <w:sz w:val="20"/>
                <w:szCs w:val="20"/>
                <w:color w:val="auto"/>
              </w:rPr>
            </w:pPr>
            <w:r>
              <w:rPr>
                <w:rFonts w:ascii="Arial" w:cs="Arial" w:eastAsia="Arial" w:hAnsi="Arial"/>
                <w:sz w:val="16"/>
                <w:szCs w:val="16"/>
                <w:color w:val="auto"/>
              </w:rPr>
              <w:t>69</w:t>
            </w:r>
          </w:p>
        </w:tc>
        <w:tc>
          <w:tcPr>
            <w:tcW w:w="1060" w:type="dxa"/>
            <w:vAlign w:val="bottom"/>
          </w:tcPr>
          <w:p>
            <w:pPr>
              <w:ind w:left="380"/>
              <w:spacing w:after="0" w:line="176" w:lineRule="exact"/>
              <w:rPr>
                <w:sz w:val="20"/>
                <w:szCs w:val="20"/>
                <w:color w:val="auto"/>
              </w:rPr>
            </w:pPr>
            <w:r>
              <w:rPr>
                <w:rFonts w:ascii="Arial" w:cs="Arial" w:eastAsia="Arial" w:hAnsi="Arial"/>
                <w:sz w:val="16"/>
                <w:szCs w:val="16"/>
                <w:color w:val="auto"/>
              </w:rPr>
              <w:t>31</w:t>
            </w:r>
          </w:p>
        </w:tc>
      </w:tr>
      <w:tr>
        <w:trPr>
          <w:trHeight w:val="176"/>
        </w:trPr>
        <w:tc>
          <w:tcPr>
            <w:tcW w:w="5060" w:type="dxa"/>
            <w:vAlign w:val="bottom"/>
            <w:gridSpan w:val="2"/>
          </w:tcPr>
          <w:p>
            <w:pPr>
              <w:spacing w:after="0" w:line="176" w:lineRule="exact"/>
              <w:rPr>
                <w:sz w:val="20"/>
                <w:szCs w:val="20"/>
                <w:color w:val="auto"/>
              </w:rPr>
            </w:pPr>
            <w:r>
              <w:rPr>
                <w:rFonts w:ascii="Arial" w:cs="Arial" w:eastAsia="Arial" w:hAnsi="Arial"/>
                <w:sz w:val="16"/>
                <w:szCs w:val="16"/>
                <w:color w:val="auto"/>
              </w:rPr>
              <w:t>Sempra Global:</w:t>
            </w:r>
          </w:p>
        </w:tc>
        <w:tc>
          <w:tcPr>
            <w:tcW w:w="7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60" w:type="dxa"/>
            <w:vAlign w:val="bottom"/>
          </w:tcPr>
          <w:p>
            <w:pPr>
              <w:spacing w:after="0"/>
              <w:rPr>
                <w:sz w:val="15"/>
                <w:szCs w:val="15"/>
                <w:color w:val="auto"/>
              </w:rPr>
            </w:pPr>
          </w:p>
        </w:tc>
      </w:tr>
      <w:tr>
        <w:trPr>
          <w:trHeight w:val="195"/>
        </w:trPr>
        <w:tc>
          <w:tcPr>
            <w:tcW w:w="20" w:type="dxa"/>
            <w:vAlign w:val="bottom"/>
          </w:tcPr>
          <w:p>
            <w:pPr>
              <w:spacing w:after="0"/>
              <w:rPr>
                <w:sz w:val="16"/>
                <w:szCs w:val="16"/>
                <w:color w:val="auto"/>
              </w:rPr>
            </w:pPr>
          </w:p>
        </w:tc>
        <w:tc>
          <w:tcPr>
            <w:tcW w:w="5040" w:type="dxa"/>
            <w:vAlign w:val="bottom"/>
          </w:tcPr>
          <w:p>
            <w:pPr>
              <w:ind w:left="160"/>
              <w:spacing w:after="0"/>
              <w:rPr>
                <w:sz w:val="20"/>
                <w:szCs w:val="20"/>
                <w:color w:val="auto"/>
              </w:rPr>
            </w:pPr>
            <w:r>
              <w:rPr>
                <w:rFonts w:ascii="Arial" w:cs="Arial" w:eastAsia="Arial" w:hAnsi="Arial"/>
                <w:sz w:val="16"/>
                <w:szCs w:val="16"/>
                <w:color w:val="auto"/>
              </w:rPr>
              <w:t>Sempra Generation</w:t>
            </w:r>
          </w:p>
        </w:tc>
        <w:tc>
          <w:tcPr>
            <w:tcW w:w="720" w:type="dxa"/>
            <w:vAlign w:val="bottom"/>
          </w:tcPr>
          <w:p>
            <w:pPr>
              <w:spacing w:after="0"/>
              <w:rPr>
                <w:sz w:val="16"/>
                <w:szCs w:val="16"/>
                <w:color w:val="auto"/>
              </w:rPr>
            </w:pPr>
          </w:p>
        </w:tc>
        <w:tc>
          <w:tcPr>
            <w:tcW w:w="1240" w:type="dxa"/>
            <w:vAlign w:val="bottom"/>
          </w:tcPr>
          <w:p>
            <w:pPr>
              <w:jc w:val="right"/>
              <w:ind w:right="341"/>
              <w:spacing w:after="0"/>
              <w:rPr>
                <w:sz w:val="20"/>
                <w:szCs w:val="20"/>
                <w:color w:val="auto"/>
              </w:rPr>
            </w:pPr>
            <w:r>
              <w:rPr>
                <w:rFonts w:ascii="Arial" w:cs="Arial" w:eastAsia="Arial" w:hAnsi="Arial"/>
                <w:sz w:val="16"/>
                <w:szCs w:val="16"/>
                <w:color w:val="auto"/>
              </w:rPr>
              <w:t>50</w:t>
            </w:r>
          </w:p>
        </w:tc>
        <w:tc>
          <w:tcPr>
            <w:tcW w:w="1060" w:type="dxa"/>
            <w:vAlign w:val="bottom"/>
          </w:tcPr>
          <w:p>
            <w:pPr>
              <w:ind w:left="540"/>
              <w:spacing w:after="0"/>
              <w:rPr>
                <w:sz w:val="20"/>
                <w:szCs w:val="20"/>
                <w:color w:val="auto"/>
              </w:rPr>
            </w:pPr>
            <w:r>
              <w:rPr>
                <w:rFonts w:ascii="Arial" w:cs="Arial" w:eastAsia="Arial" w:hAnsi="Arial"/>
                <w:sz w:val="16"/>
                <w:szCs w:val="16"/>
                <w:color w:val="auto"/>
              </w:rPr>
              <w:t>10</w:t>
            </w:r>
          </w:p>
        </w:tc>
        <w:tc>
          <w:tcPr>
            <w:tcW w:w="1320" w:type="dxa"/>
            <w:vAlign w:val="bottom"/>
          </w:tcPr>
          <w:p>
            <w:pPr>
              <w:spacing w:after="0"/>
              <w:rPr>
                <w:sz w:val="16"/>
                <w:szCs w:val="16"/>
                <w:color w:val="auto"/>
              </w:rPr>
            </w:pPr>
          </w:p>
        </w:tc>
        <w:tc>
          <w:tcPr>
            <w:tcW w:w="960" w:type="dxa"/>
            <w:vAlign w:val="bottom"/>
          </w:tcPr>
          <w:p>
            <w:pPr>
              <w:jc w:val="right"/>
              <w:ind w:right="521"/>
              <w:spacing w:after="0"/>
              <w:rPr>
                <w:sz w:val="20"/>
                <w:szCs w:val="20"/>
                <w:color w:val="auto"/>
              </w:rPr>
            </w:pPr>
            <w:r>
              <w:rPr>
                <w:rFonts w:ascii="Arial" w:cs="Arial" w:eastAsia="Arial" w:hAnsi="Arial"/>
                <w:sz w:val="16"/>
                <w:szCs w:val="16"/>
                <w:color w:val="auto"/>
              </w:rPr>
              <w:t>52</w:t>
            </w:r>
          </w:p>
        </w:tc>
        <w:tc>
          <w:tcPr>
            <w:tcW w:w="1060" w:type="dxa"/>
            <w:vAlign w:val="bottom"/>
          </w:tcPr>
          <w:p>
            <w:pPr>
              <w:ind w:left="380"/>
              <w:spacing w:after="0"/>
              <w:rPr>
                <w:sz w:val="20"/>
                <w:szCs w:val="20"/>
                <w:color w:val="auto"/>
              </w:rPr>
            </w:pPr>
            <w:r>
              <w:rPr>
                <w:rFonts w:ascii="Arial" w:cs="Arial" w:eastAsia="Arial" w:hAnsi="Arial"/>
                <w:sz w:val="16"/>
                <w:szCs w:val="16"/>
                <w:color w:val="auto"/>
              </w:rPr>
              <w:t>23</w:t>
            </w:r>
          </w:p>
        </w:tc>
      </w:tr>
    </w:tbl>
    <w:p>
      <w:pPr>
        <w:sectPr>
          <w:pgSz w:w="11900" w:h="16918" w:orient="portrait"/>
          <w:cols w:equalWidth="0" w:num="1">
            <w:col w:w="11420"/>
          </w:cols>
          <w:pgMar w:left="240" w:top="125" w:right="239" w:bottom="0" w:gutter="0" w:footer="0" w:header="0"/>
        </w:sectPr>
      </w:pPr>
    </w:p>
    <w:bookmarkStart w:id="52" w:name="page53"/>
    <w:bookmarkEnd w:id="5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5040" w:type="dxa"/>
            <w:vAlign w:val="bottom"/>
          </w:tcPr>
          <w:p>
            <w:pPr>
              <w:ind w:left="160"/>
              <w:spacing w:after="0"/>
              <w:rPr>
                <w:sz w:val="20"/>
                <w:szCs w:val="20"/>
                <w:color w:val="auto"/>
              </w:rPr>
            </w:pPr>
            <w:r>
              <w:rPr>
                <w:rFonts w:ascii="Arial" w:cs="Arial" w:eastAsia="Arial" w:hAnsi="Arial"/>
                <w:sz w:val="16"/>
                <w:szCs w:val="16"/>
                <w:color w:val="auto"/>
              </w:rPr>
              <w:t>Sempra Pipelines &amp; Storage</w:t>
            </w:r>
          </w:p>
        </w:tc>
        <w:tc>
          <w:tcPr>
            <w:tcW w:w="680" w:type="dxa"/>
            <w:vAlign w:val="bottom"/>
          </w:tcPr>
          <w:p>
            <w:pPr>
              <w:spacing w:after="0"/>
              <w:rPr>
                <w:sz w:val="16"/>
                <w:szCs w:val="16"/>
                <w:color w:val="auto"/>
              </w:rPr>
            </w:pPr>
          </w:p>
        </w:tc>
        <w:tc>
          <w:tcPr>
            <w:tcW w:w="1340" w:type="dxa"/>
            <w:vAlign w:val="bottom"/>
          </w:tcPr>
          <w:p>
            <w:pPr>
              <w:jc w:val="right"/>
              <w:ind w:right="400"/>
              <w:spacing w:after="0"/>
              <w:rPr>
                <w:sz w:val="20"/>
                <w:szCs w:val="20"/>
                <w:color w:val="auto"/>
              </w:rPr>
            </w:pPr>
            <w:r>
              <w:rPr>
                <w:rFonts w:ascii="Arial" w:cs="Arial" w:eastAsia="Arial" w:hAnsi="Arial"/>
                <w:sz w:val="16"/>
                <w:szCs w:val="16"/>
                <w:color w:val="auto"/>
              </w:rPr>
              <w:t>337</w:t>
            </w:r>
          </w:p>
        </w:tc>
        <w:tc>
          <w:tcPr>
            <w:tcW w:w="1000" w:type="dxa"/>
            <w:vAlign w:val="bottom"/>
          </w:tcPr>
          <w:p>
            <w:pPr>
              <w:jc w:val="right"/>
              <w:ind w:right="260"/>
              <w:spacing w:after="0"/>
              <w:rPr>
                <w:sz w:val="20"/>
                <w:szCs w:val="20"/>
                <w:color w:val="auto"/>
              </w:rPr>
            </w:pPr>
            <w:r>
              <w:rPr>
                <w:rFonts w:ascii="Arial" w:cs="Arial" w:eastAsia="Arial" w:hAnsi="Arial"/>
                <w:sz w:val="16"/>
                <w:szCs w:val="16"/>
                <w:color w:val="auto"/>
              </w:rPr>
              <w:t>66</w:t>
            </w:r>
          </w:p>
        </w:tc>
        <w:tc>
          <w:tcPr>
            <w:tcW w:w="1220" w:type="dxa"/>
            <w:vAlign w:val="bottom"/>
          </w:tcPr>
          <w:p>
            <w:pPr>
              <w:spacing w:after="0"/>
              <w:rPr>
                <w:sz w:val="16"/>
                <w:szCs w:val="16"/>
                <w:color w:val="auto"/>
              </w:rPr>
            </w:pPr>
          </w:p>
        </w:tc>
        <w:tc>
          <w:tcPr>
            <w:tcW w:w="1000" w:type="dxa"/>
            <w:vAlign w:val="bottom"/>
          </w:tcPr>
          <w:p>
            <w:pPr>
              <w:jc w:val="right"/>
              <w:ind w:right="460"/>
              <w:spacing w:after="0"/>
              <w:rPr>
                <w:sz w:val="20"/>
                <w:szCs w:val="20"/>
                <w:color w:val="auto"/>
              </w:rPr>
            </w:pPr>
            <w:r>
              <w:rPr>
                <w:rFonts w:ascii="Arial" w:cs="Arial" w:eastAsia="Arial" w:hAnsi="Arial"/>
                <w:sz w:val="16"/>
                <w:szCs w:val="16"/>
                <w:color w:val="auto"/>
              </w:rPr>
              <w:t>39</w:t>
            </w:r>
          </w:p>
        </w:tc>
        <w:tc>
          <w:tcPr>
            <w:tcW w:w="1120" w:type="dxa"/>
            <w:vAlign w:val="bottom"/>
          </w:tcPr>
          <w:p>
            <w:pPr>
              <w:jc w:val="right"/>
              <w:ind w:right="419"/>
              <w:spacing w:after="0"/>
              <w:rPr>
                <w:sz w:val="20"/>
                <w:szCs w:val="20"/>
                <w:color w:val="auto"/>
              </w:rPr>
            </w:pPr>
            <w:r>
              <w:rPr>
                <w:rFonts w:ascii="Arial" w:cs="Arial" w:eastAsia="Arial" w:hAnsi="Arial"/>
                <w:sz w:val="16"/>
                <w:szCs w:val="16"/>
                <w:color w:val="auto"/>
              </w:rPr>
              <w:t>17</w:t>
            </w:r>
          </w:p>
        </w:tc>
      </w:tr>
      <w:tr>
        <w:trPr>
          <w:trHeight w:val="176"/>
        </w:trPr>
        <w:tc>
          <w:tcPr>
            <w:tcW w:w="20" w:type="dxa"/>
            <w:vAlign w:val="bottom"/>
          </w:tcPr>
          <w:p>
            <w:pPr>
              <w:spacing w:after="0"/>
              <w:rPr>
                <w:sz w:val="15"/>
                <w:szCs w:val="15"/>
                <w:color w:val="auto"/>
              </w:rPr>
            </w:pPr>
          </w:p>
        </w:tc>
        <w:tc>
          <w:tcPr>
            <w:tcW w:w="5040" w:type="dxa"/>
            <w:vAlign w:val="bottom"/>
          </w:tcPr>
          <w:p>
            <w:pPr>
              <w:ind w:left="160"/>
              <w:spacing w:after="0" w:line="176" w:lineRule="exact"/>
              <w:rPr>
                <w:sz w:val="20"/>
                <w:szCs w:val="20"/>
                <w:color w:val="auto"/>
              </w:rPr>
            </w:pPr>
            <w:r>
              <w:rPr>
                <w:rFonts w:ascii="Arial" w:cs="Arial" w:eastAsia="Arial" w:hAnsi="Arial"/>
                <w:sz w:val="16"/>
                <w:szCs w:val="16"/>
                <w:color w:val="auto"/>
              </w:rPr>
              <w:t>Sempra LNG</w:t>
            </w:r>
          </w:p>
        </w:tc>
        <w:tc>
          <w:tcPr>
            <w:tcW w:w="680" w:type="dxa"/>
            <w:vAlign w:val="bottom"/>
          </w:tcPr>
          <w:p>
            <w:pPr>
              <w:spacing w:after="0"/>
              <w:rPr>
                <w:sz w:val="15"/>
                <w:szCs w:val="15"/>
                <w:color w:val="auto"/>
              </w:rPr>
            </w:pPr>
          </w:p>
        </w:tc>
        <w:tc>
          <w:tcPr>
            <w:tcW w:w="1340" w:type="dxa"/>
            <w:vAlign w:val="bottom"/>
          </w:tcPr>
          <w:p>
            <w:pPr>
              <w:jc w:val="right"/>
              <w:ind w:right="400"/>
              <w:spacing w:after="0" w:line="176" w:lineRule="exact"/>
              <w:rPr>
                <w:sz w:val="20"/>
                <w:szCs w:val="20"/>
                <w:color w:val="auto"/>
              </w:rPr>
            </w:pPr>
            <w:r>
              <w:rPr>
                <w:rFonts w:ascii="Arial" w:cs="Arial" w:eastAsia="Arial" w:hAnsi="Arial"/>
                <w:sz w:val="16"/>
                <w:szCs w:val="16"/>
                <w:color w:val="auto"/>
              </w:rPr>
              <w:t>18</w:t>
            </w:r>
          </w:p>
        </w:tc>
        <w:tc>
          <w:tcPr>
            <w:tcW w:w="1000" w:type="dxa"/>
            <w:vAlign w:val="bottom"/>
          </w:tcPr>
          <w:p>
            <w:pPr>
              <w:jc w:val="right"/>
              <w:ind w:right="260"/>
              <w:spacing w:after="0" w:line="176" w:lineRule="exact"/>
              <w:rPr>
                <w:sz w:val="20"/>
                <w:szCs w:val="20"/>
                <w:color w:val="auto"/>
              </w:rPr>
            </w:pPr>
            <w:r>
              <w:rPr>
                <w:rFonts w:ascii="Arial" w:cs="Arial" w:eastAsia="Arial" w:hAnsi="Arial"/>
                <w:sz w:val="16"/>
                <w:szCs w:val="16"/>
                <w:color w:val="auto"/>
              </w:rPr>
              <w:t>3</w:t>
            </w:r>
          </w:p>
        </w:tc>
        <w:tc>
          <w:tcPr>
            <w:tcW w:w="1220" w:type="dxa"/>
            <w:vAlign w:val="bottom"/>
          </w:tcPr>
          <w:p>
            <w:pPr>
              <w:spacing w:after="0"/>
              <w:rPr>
                <w:sz w:val="15"/>
                <w:szCs w:val="15"/>
                <w:color w:val="auto"/>
              </w:rPr>
            </w:pPr>
          </w:p>
        </w:tc>
        <w:tc>
          <w:tcPr>
            <w:tcW w:w="1000" w:type="dxa"/>
            <w:vAlign w:val="bottom"/>
          </w:tcPr>
          <w:p>
            <w:pPr>
              <w:jc w:val="right"/>
              <w:ind w:right="460"/>
              <w:spacing w:after="0" w:line="176" w:lineRule="exact"/>
              <w:rPr>
                <w:sz w:val="20"/>
                <w:szCs w:val="20"/>
                <w:color w:val="auto"/>
              </w:rPr>
            </w:pPr>
            <w:r>
              <w:rPr>
                <w:rFonts w:ascii="Arial" w:cs="Arial" w:eastAsia="Arial" w:hAnsi="Arial"/>
                <w:sz w:val="16"/>
                <w:szCs w:val="16"/>
                <w:color w:val="auto"/>
              </w:rPr>
              <w:t>13</w:t>
            </w:r>
          </w:p>
        </w:tc>
        <w:tc>
          <w:tcPr>
            <w:tcW w:w="1120" w:type="dxa"/>
            <w:vAlign w:val="bottom"/>
          </w:tcPr>
          <w:p>
            <w:pPr>
              <w:jc w:val="right"/>
              <w:ind w:right="419"/>
              <w:spacing w:after="0" w:line="176" w:lineRule="exact"/>
              <w:rPr>
                <w:sz w:val="20"/>
                <w:szCs w:val="20"/>
                <w:color w:val="auto"/>
              </w:rPr>
            </w:pPr>
            <w:r>
              <w:rPr>
                <w:rFonts w:ascii="Arial" w:cs="Arial" w:eastAsia="Arial" w:hAnsi="Arial"/>
                <w:sz w:val="16"/>
                <w:szCs w:val="16"/>
                <w:color w:val="auto"/>
              </w:rPr>
              <w:t>6</w:t>
            </w:r>
          </w:p>
        </w:tc>
      </w:tr>
      <w:tr>
        <w:trPr>
          <w:trHeight w:val="194"/>
        </w:trPr>
        <w:tc>
          <w:tcPr>
            <w:tcW w:w="5060" w:type="dxa"/>
            <w:vAlign w:val="bottom"/>
            <w:gridSpan w:val="2"/>
          </w:tcPr>
          <w:p>
            <w:pPr>
              <w:spacing w:after="0"/>
              <w:rPr>
                <w:sz w:val="20"/>
                <w:szCs w:val="20"/>
                <w:color w:val="auto"/>
              </w:rPr>
            </w:pPr>
            <w:r>
              <w:rPr>
                <w:rFonts w:ascii="Arial" w:cs="Arial" w:eastAsia="Arial" w:hAnsi="Arial"/>
                <w:sz w:val="16"/>
                <w:szCs w:val="16"/>
                <w:color w:val="auto"/>
              </w:rPr>
              <w:t>Parent and other(2)</w:t>
            </w:r>
          </w:p>
        </w:tc>
        <w:tc>
          <w:tcPr>
            <w:tcW w:w="68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360"/>
              <w:spacing w:after="0"/>
              <w:rPr>
                <w:sz w:val="20"/>
                <w:szCs w:val="20"/>
                <w:color w:val="auto"/>
              </w:rPr>
            </w:pPr>
            <w:r>
              <w:rPr>
                <w:rFonts w:ascii="Arial" w:cs="Arial" w:eastAsia="Arial" w:hAnsi="Arial"/>
                <w:sz w:val="16"/>
                <w:szCs w:val="16"/>
                <w:color w:val="auto"/>
              </w:rPr>
              <w:t>(24)</w:t>
            </w:r>
          </w:p>
        </w:tc>
        <w:tc>
          <w:tcPr>
            <w:tcW w:w="1000" w:type="dxa"/>
            <w:vAlign w:val="bottom"/>
            <w:tcBorders>
              <w:bottom w:val="single" w:sz="8" w:color="auto"/>
            </w:tcBorders>
          </w:tcPr>
          <w:p>
            <w:pPr>
              <w:jc w:val="right"/>
              <w:ind w:right="220"/>
              <w:spacing w:after="0"/>
              <w:rPr>
                <w:sz w:val="20"/>
                <w:szCs w:val="20"/>
                <w:color w:val="auto"/>
              </w:rPr>
            </w:pPr>
            <w:r>
              <w:rPr>
                <w:rFonts w:ascii="Arial" w:cs="Arial" w:eastAsia="Arial" w:hAnsi="Arial"/>
                <w:sz w:val="16"/>
                <w:szCs w:val="16"/>
                <w:color w:val="auto"/>
              </w:rPr>
              <w:t>(5)</w:t>
            </w:r>
          </w:p>
        </w:tc>
        <w:tc>
          <w:tcPr>
            <w:tcW w:w="12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00"/>
              <w:spacing w:after="0"/>
              <w:rPr>
                <w:sz w:val="20"/>
                <w:szCs w:val="20"/>
                <w:color w:val="auto"/>
              </w:rPr>
            </w:pPr>
            <w:r>
              <w:rPr>
                <w:rFonts w:ascii="Arial" w:cs="Arial" w:eastAsia="Arial" w:hAnsi="Arial"/>
                <w:sz w:val="16"/>
                <w:szCs w:val="16"/>
                <w:color w:val="auto"/>
              </w:rPr>
              <w:t>(26)</w:t>
            </w:r>
          </w:p>
        </w:tc>
        <w:tc>
          <w:tcPr>
            <w:tcW w:w="112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color w:val="auto"/>
              </w:rPr>
              <w:t>(11)</w:t>
            </w:r>
          </w:p>
        </w:tc>
      </w:tr>
      <w:tr>
        <w:trPr>
          <w:trHeight w:val="183"/>
        </w:trPr>
        <w:tc>
          <w:tcPr>
            <w:tcW w:w="5060" w:type="dxa"/>
            <w:vAlign w:val="bottom"/>
            <w:gridSpan w:val="2"/>
          </w:tcPr>
          <w:p>
            <w:pPr>
              <w:spacing w:after="0" w:line="176" w:lineRule="exact"/>
              <w:rPr>
                <w:sz w:val="20"/>
                <w:szCs w:val="20"/>
                <w:color w:val="auto"/>
              </w:rPr>
            </w:pPr>
            <w:r>
              <w:rPr>
                <w:rFonts w:ascii="Arial" w:cs="Arial" w:eastAsia="Arial" w:hAnsi="Arial"/>
                <w:sz w:val="16"/>
                <w:szCs w:val="16"/>
                <w:color w:val="auto"/>
              </w:rPr>
              <w:t>Earnings</w:t>
            </w:r>
          </w:p>
        </w:tc>
        <w:tc>
          <w:tcPr>
            <w:tcW w:w="680" w:type="dxa"/>
            <w:vAlign w:val="bottom"/>
            <w:tcBorders>
              <w:bottom w:val="single" w:sz="8" w:color="auto"/>
            </w:tcBorders>
          </w:tcPr>
          <w:p>
            <w:pPr>
              <w:jc w:val="right"/>
              <w:ind w:right="524"/>
              <w:spacing w:after="0"/>
              <w:rPr>
                <w:sz w:val="20"/>
                <w:szCs w:val="20"/>
                <w:color w:val="auto"/>
              </w:rPr>
            </w:pPr>
            <w:r>
              <w:rPr>
                <w:rFonts w:ascii="Arial" w:cs="Arial" w:eastAsia="Arial" w:hAnsi="Arial"/>
                <w:sz w:val="15"/>
                <w:szCs w:val="15"/>
                <w:color w:val="auto"/>
                <w:w w:val="71"/>
              </w:rPr>
              <w:t>$</w:t>
            </w:r>
          </w:p>
        </w:tc>
        <w:tc>
          <w:tcPr>
            <w:tcW w:w="1340" w:type="dxa"/>
            <w:vAlign w:val="bottom"/>
            <w:tcBorders>
              <w:bottom w:val="single" w:sz="8" w:color="auto"/>
            </w:tcBorders>
          </w:tcPr>
          <w:p>
            <w:pPr>
              <w:jc w:val="right"/>
              <w:ind w:right="400"/>
              <w:spacing w:after="0" w:line="176" w:lineRule="exact"/>
              <w:rPr>
                <w:sz w:val="20"/>
                <w:szCs w:val="20"/>
                <w:color w:val="auto"/>
              </w:rPr>
            </w:pPr>
            <w:r>
              <w:rPr>
                <w:rFonts w:ascii="Arial" w:cs="Arial" w:eastAsia="Arial" w:hAnsi="Arial"/>
                <w:sz w:val="16"/>
                <w:szCs w:val="16"/>
                <w:color w:val="auto"/>
              </w:rPr>
              <w:t>511</w:t>
            </w:r>
          </w:p>
        </w:tc>
        <w:tc>
          <w:tcPr>
            <w:tcW w:w="1000" w:type="dxa"/>
            <w:vAlign w:val="bottom"/>
            <w:tcBorders>
              <w:bottom w:val="single" w:sz="8" w:color="auto"/>
            </w:tcBorders>
          </w:tcPr>
          <w:p>
            <w:pPr>
              <w:jc w:val="right"/>
              <w:ind w:right="60"/>
              <w:spacing w:after="0" w:line="176" w:lineRule="exact"/>
              <w:rPr>
                <w:sz w:val="20"/>
                <w:szCs w:val="20"/>
                <w:color w:val="auto"/>
              </w:rPr>
            </w:pPr>
            <w:r>
              <w:rPr>
                <w:rFonts w:ascii="Arial" w:cs="Arial" w:eastAsia="Arial" w:hAnsi="Arial"/>
                <w:sz w:val="16"/>
                <w:szCs w:val="16"/>
                <w:color w:val="auto"/>
              </w:rPr>
              <w:t>100 %</w:t>
            </w:r>
          </w:p>
        </w:tc>
        <w:tc>
          <w:tcPr>
            <w:tcW w:w="1220" w:type="dxa"/>
            <w:vAlign w:val="bottom"/>
            <w:tcBorders>
              <w:bottom w:val="single" w:sz="8" w:color="auto"/>
            </w:tcBorders>
          </w:tcPr>
          <w:p>
            <w:pPr>
              <w:jc w:val="right"/>
              <w:ind w:right="919"/>
              <w:spacing w:after="0" w:line="176" w:lineRule="exact"/>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tcPr>
          <w:p>
            <w:pPr>
              <w:jc w:val="right"/>
              <w:ind w:right="460"/>
              <w:spacing w:after="0" w:line="176" w:lineRule="exact"/>
              <w:rPr>
                <w:sz w:val="20"/>
                <w:szCs w:val="20"/>
                <w:color w:val="auto"/>
              </w:rPr>
            </w:pPr>
            <w:r>
              <w:rPr>
                <w:rFonts w:ascii="Arial" w:cs="Arial" w:eastAsia="Arial" w:hAnsi="Arial"/>
                <w:sz w:val="16"/>
                <w:szCs w:val="16"/>
                <w:color w:val="auto"/>
              </w:rPr>
              <w:t>222</w:t>
            </w:r>
          </w:p>
        </w:tc>
        <w:tc>
          <w:tcPr>
            <w:tcW w:w="1120" w:type="dxa"/>
            <w:vAlign w:val="bottom"/>
            <w:tcBorders>
              <w:bottom w:val="single" w:sz="8" w:color="auto"/>
            </w:tcBorders>
          </w:tcPr>
          <w:p>
            <w:pPr>
              <w:jc w:val="right"/>
              <w:ind w:right="219"/>
              <w:spacing w:after="0" w:line="176" w:lineRule="exact"/>
              <w:rPr>
                <w:sz w:val="20"/>
                <w:szCs w:val="20"/>
                <w:color w:val="auto"/>
              </w:rPr>
            </w:pPr>
            <w:r>
              <w:rPr>
                <w:rFonts w:ascii="Arial" w:cs="Arial" w:eastAsia="Arial" w:hAnsi="Arial"/>
                <w:sz w:val="16"/>
                <w:szCs w:val="16"/>
                <w:color w:val="auto"/>
              </w:rPr>
              <w:t>100 %</w:t>
            </w:r>
          </w:p>
        </w:tc>
      </w:tr>
      <w:tr>
        <w:trPr>
          <w:trHeight w:val="169"/>
        </w:trPr>
        <w:tc>
          <w:tcPr>
            <w:tcW w:w="20" w:type="dxa"/>
            <w:vAlign w:val="bottom"/>
          </w:tcPr>
          <w:p>
            <w:pPr>
              <w:spacing w:after="0"/>
              <w:rPr>
                <w:sz w:val="14"/>
                <w:szCs w:val="14"/>
                <w:color w:val="auto"/>
              </w:rPr>
            </w:pPr>
          </w:p>
        </w:tc>
        <w:tc>
          <w:tcPr>
            <w:tcW w:w="5040" w:type="dxa"/>
            <w:vAlign w:val="bottom"/>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spacing w:after="0"/>
              <w:rPr>
                <w:sz w:val="14"/>
                <w:szCs w:val="14"/>
                <w:color w:val="auto"/>
              </w:rPr>
            </w:pPr>
          </w:p>
        </w:tc>
        <w:tc>
          <w:tcPr>
            <w:tcW w:w="2220" w:type="dxa"/>
            <w:vAlign w:val="bottom"/>
            <w:tcBorders>
              <w:bottom w:val="single" w:sz="8" w:color="auto"/>
            </w:tcBorders>
            <w:gridSpan w:val="2"/>
          </w:tcPr>
          <w:p>
            <w:pPr>
              <w:jc w:val="right"/>
              <w:ind w:right="99"/>
              <w:spacing w:after="0"/>
              <w:rPr>
                <w:sz w:val="20"/>
                <w:szCs w:val="20"/>
                <w:color w:val="auto"/>
              </w:rPr>
            </w:pPr>
            <w:r>
              <w:rPr>
                <w:rFonts w:ascii="Arial" w:cs="Arial" w:eastAsia="Arial" w:hAnsi="Arial"/>
                <w:sz w:val="14"/>
                <w:szCs w:val="14"/>
                <w:color w:val="auto"/>
              </w:rPr>
              <w:t>Six months ended June 30,</w:t>
            </w:r>
          </w:p>
        </w:tc>
        <w:tc>
          <w:tcPr>
            <w:tcW w:w="100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r>
      <w:tr>
        <w:trPr>
          <w:trHeight w:val="183"/>
        </w:trPr>
        <w:tc>
          <w:tcPr>
            <w:tcW w:w="20" w:type="dxa"/>
            <w:vAlign w:val="bottom"/>
          </w:tcPr>
          <w:p>
            <w:pPr>
              <w:spacing w:after="0"/>
              <w:rPr>
                <w:sz w:val="15"/>
                <w:szCs w:val="15"/>
                <w:color w:val="auto"/>
              </w:rPr>
            </w:pPr>
          </w:p>
        </w:tc>
        <w:tc>
          <w:tcPr>
            <w:tcW w:w="504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ind w:right="220"/>
              <w:spacing w:after="0"/>
              <w:rPr>
                <w:sz w:val="20"/>
                <w:szCs w:val="20"/>
                <w:color w:val="auto"/>
              </w:rPr>
            </w:pPr>
            <w:r>
              <w:rPr>
                <w:rFonts w:ascii="Arial" w:cs="Arial" w:eastAsia="Arial" w:hAnsi="Arial"/>
                <w:sz w:val="14"/>
                <w:szCs w:val="14"/>
                <w:color w:val="auto"/>
              </w:rPr>
              <w:t>2011</w:t>
            </w:r>
          </w:p>
        </w:tc>
        <w:tc>
          <w:tcPr>
            <w:tcW w:w="100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260"/>
              <w:spacing w:after="0"/>
              <w:rPr>
                <w:sz w:val="20"/>
                <w:szCs w:val="20"/>
                <w:color w:val="auto"/>
              </w:rPr>
            </w:pPr>
            <w:r>
              <w:rPr>
                <w:rFonts w:ascii="Arial" w:cs="Arial" w:eastAsia="Arial" w:hAnsi="Arial"/>
                <w:sz w:val="14"/>
                <w:szCs w:val="14"/>
                <w:color w:val="auto"/>
              </w:rPr>
              <w:t>2010</w:t>
            </w:r>
          </w:p>
        </w:tc>
        <w:tc>
          <w:tcPr>
            <w:tcW w:w="1120" w:type="dxa"/>
            <w:vAlign w:val="bottom"/>
            <w:tcBorders>
              <w:bottom w:val="single" w:sz="8" w:color="auto"/>
            </w:tcBorders>
          </w:tcPr>
          <w:p>
            <w:pPr>
              <w:spacing w:after="0"/>
              <w:rPr>
                <w:sz w:val="15"/>
                <w:szCs w:val="15"/>
                <w:color w:val="auto"/>
              </w:rPr>
            </w:pPr>
          </w:p>
        </w:tc>
      </w:tr>
      <w:tr>
        <w:trPr>
          <w:trHeight w:val="164"/>
        </w:trPr>
        <w:tc>
          <w:tcPr>
            <w:tcW w:w="20" w:type="dxa"/>
            <w:vAlign w:val="bottom"/>
          </w:tcPr>
          <w:p>
            <w:pPr>
              <w:spacing w:after="0"/>
              <w:rPr>
                <w:sz w:val="14"/>
                <w:szCs w:val="14"/>
                <w:color w:val="auto"/>
              </w:rPr>
            </w:pPr>
          </w:p>
        </w:tc>
        <w:tc>
          <w:tcPr>
            <w:tcW w:w="5040" w:type="dxa"/>
            <w:vAlign w:val="bottom"/>
          </w:tcPr>
          <w:p>
            <w:pPr>
              <w:spacing w:after="0" w:line="164" w:lineRule="exact"/>
              <w:rPr>
                <w:sz w:val="20"/>
                <w:szCs w:val="20"/>
                <w:color w:val="auto"/>
              </w:rPr>
            </w:pPr>
            <w:r>
              <w:rPr>
                <w:rFonts w:ascii="Arial" w:cs="Arial" w:eastAsia="Arial" w:hAnsi="Arial"/>
                <w:sz w:val="16"/>
                <w:szCs w:val="16"/>
                <w:color w:val="auto"/>
              </w:rPr>
              <w:t>Sempra Utilities:</w:t>
            </w:r>
          </w:p>
        </w:tc>
        <w:tc>
          <w:tcPr>
            <w:tcW w:w="6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76"/>
        </w:trPr>
        <w:tc>
          <w:tcPr>
            <w:tcW w:w="20" w:type="dxa"/>
            <w:vAlign w:val="bottom"/>
          </w:tcPr>
          <w:p>
            <w:pPr>
              <w:spacing w:after="0"/>
              <w:rPr>
                <w:sz w:val="15"/>
                <w:szCs w:val="15"/>
                <w:color w:val="auto"/>
              </w:rPr>
            </w:pPr>
          </w:p>
        </w:tc>
        <w:tc>
          <w:tcPr>
            <w:tcW w:w="5040" w:type="dxa"/>
            <w:vAlign w:val="bottom"/>
          </w:tcPr>
          <w:p>
            <w:pPr>
              <w:ind w:left="160"/>
              <w:spacing w:after="0" w:line="176" w:lineRule="exact"/>
              <w:rPr>
                <w:sz w:val="20"/>
                <w:szCs w:val="20"/>
                <w:color w:val="auto"/>
              </w:rPr>
            </w:pPr>
            <w:r>
              <w:rPr>
                <w:rFonts w:ascii="Arial" w:cs="Arial" w:eastAsia="Arial" w:hAnsi="Arial"/>
                <w:sz w:val="16"/>
                <w:szCs w:val="16"/>
                <w:color w:val="auto"/>
              </w:rPr>
              <w:t>SDG&amp;E(1)</w:t>
            </w:r>
          </w:p>
        </w:tc>
        <w:tc>
          <w:tcPr>
            <w:tcW w:w="680" w:type="dxa"/>
            <w:vAlign w:val="bottom"/>
          </w:tcPr>
          <w:p>
            <w:pPr>
              <w:jc w:val="right"/>
              <w:ind w:right="524"/>
              <w:spacing w:after="0"/>
              <w:rPr>
                <w:sz w:val="20"/>
                <w:szCs w:val="20"/>
                <w:color w:val="auto"/>
              </w:rPr>
            </w:pPr>
            <w:r>
              <w:rPr>
                <w:rFonts w:ascii="Arial" w:cs="Arial" w:eastAsia="Arial" w:hAnsi="Arial"/>
                <w:sz w:val="15"/>
                <w:szCs w:val="15"/>
                <w:color w:val="auto"/>
                <w:w w:val="71"/>
              </w:rPr>
              <w:t>$</w:t>
            </w:r>
          </w:p>
        </w:tc>
        <w:tc>
          <w:tcPr>
            <w:tcW w:w="1340" w:type="dxa"/>
            <w:vAlign w:val="bottom"/>
          </w:tcPr>
          <w:p>
            <w:pPr>
              <w:jc w:val="right"/>
              <w:ind w:right="400"/>
              <w:spacing w:after="0" w:line="176" w:lineRule="exact"/>
              <w:rPr>
                <w:sz w:val="20"/>
                <w:szCs w:val="20"/>
                <w:color w:val="auto"/>
              </w:rPr>
            </w:pPr>
            <w:r>
              <w:rPr>
                <w:rFonts w:ascii="Arial" w:cs="Arial" w:eastAsia="Arial" w:hAnsi="Arial"/>
                <w:sz w:val="16"/>
                <w:szCs w:val="16"/>
                <w:color w:val="auto"/>
              </w:rPr>
              <w:t>160</w:t>
            </w:r>
          </w:p>
        </w:tc>
        <w:tc>
          <w:tcPr>
            <w:tcW w:w="1000" w:type="dxa"/>
            <w:vAlign w:val="bottom"/>
          </w:tcPr>
          <w:p>
            <w:pPr>
              <w:jc w:val="right"/>
              <w:ind w:right="60"/>
              <w:spacing w:after="0" w:line="176" w:lineRule="exact"/>
              <w:rPr>
                <w:sz w:val="20"/>
                <w:szCs w:val="20"/>
                <w:color w:val="auto"/>
              </w:rPr>
            </w:pPr>
            <w:r>
              <w:rPr>
                <w:rFonts w:ascii="Arial" w:cs="Arial" w:eastAsia="Arial" w:hAnsi="Arial"/>
                <w:sz w:val="16"/>
                <w:szCs w:val="16"/>
                <w:color w:val="auto"/>
              </w:rPr>
              <w:t>21 %</w:t>
            </w:r>
          </w:p>
        </w:tc>
        <w:tc>
          <w:tcPr>
            <w:tcW w:w="1220" w:type="dxa"/>
            <w:vAlign w:val="bottom"/>
          </w:tcPr>
          <w:p>
            <w:pPr>
              <w:jc w:val="right"/>
              <w:ind w:right="919"/>
              <w:spacing w:after="0" w:line="176" w:lineRule="exact"/>
              <w:rPr>
                <w:sz w:val="20"/>
                <w:szCs w:val="20"/>
                <w:color w:val="auto"/>
              </w:rPr>
            </w:pPr>
            <w:r>
              <w:rPr>
                <w:rFonts w:ascii="Arial" w:cs="Arial" w:eastAsia="Arial" w:hAnsi="Arial"/>
                <w:sz w:val="16"/>
                <w:szCs w:val="16"/>
                <w:color w:val="auto"/>
              </w:rPr>
              <w:t>$</w:t>
            </w:r>
          </w:p>
        </w:tc>
        <w:tc>
          <w:tcPr>
            <w:tcW w:w="1000" w:type="dxa"/>
            <w:vAlign w:val="bottom"/>
          </w:tcPr>
          <w:p>
            <w:pPr>
              <w:jc w:val="right"/>
              <w:ind w:right="460"/>
              <w:spacing w:after="0" w:line="176" w:lineRule="exact"/>
              <w:rPr>
                <w:sz w:val="20"/>
                <w:szCs w:val="20"/>
                <w:color w:val="auto"/>
              </w:rPr>
            </w:pPr>
            <w:r>
              <w:rPr>
                <w:rFonts w:ascii="Arial" w:cs="Arial" w:eastAsia="Arial" w:hAnsi="Arial"/>
                <w:sz w:val="16"/>
                <w:szCs w:val="16"/>
                <w:color w:val="auto"/>
              </w:rPr>
              <w:t>158</w:t>
            </w:r>
          </w:p>
        </w:tc>
        <w:tc>
          <w:tcPr>
            <w:tcW w:w="1120" w:type="dxa"/>
            <w:vAlign w:val="bottom"/>
          </w:tcPr>
          <w:p>
            <w:pPr>
              <w:jc w:val="right"/>
              <w:ind w:right="219"/>
              <w:spacing w:after="0" w:line="176" w:lineRule="exact"/>
              <w:rPr>
                <w:sz w:val="20"/>
                <w:szCs w:val="20"/>
                <w:color w:val="auto"/>
              </w:rPr>
            </w:pPr>
            <w:r>
              <w:rPr>
                <w:rFonts w:ascii="Arial" w:cs="Arial" w:eastAsia="Arial" w:hAnsi="Arial"/>
                <w:sz w:val="16"/>
                <w:szCs w:val="16"/>
                <w:color w:val="auto"/>
              </w:rPr>
              <w:t>48 %</w:t>
            </w:r>
          </w:p>
        </w:tc>
      </w:tr>
      <w:tr>
        <w:trPr>
          <w:trHeight w:val="176"/>
        </w:trPr>
        <w:tc>
          <w:tcPr>
            <w:tcW w:w="20" w:type="dxa"/>
            <w:vAlign w:val="bottom"/>
          </w:tcPr>
          <w:p>
            <w:pPr>
              <w:spacing w:after="0"/>
              <w:rPr>
                <w:sz w:val="15"/>
                <w:szCs w:val="15"/>
                <w:color w:val="auto"/>
              </w:rPr>
            </w:pPr>
          </w:p>
        </w:tc>
        <w:tc>
          <w:tcPr>
            <w:tcW w:w="5040" w:type="dxa"/>
            <w:vAlign w:val="bottom"/>
          </w:tcPr>
          <w:p>
            <w:pPr>
              <w:ind w:left="160"/>
              <w:spacing w:after="0" w:line="176" w:lineRule="exact"/>
              <w:rPr>
                <w:sz w:val="20"/>
                <w:szCs w:val="20"/>
                <w:color w:val="auto"/>
              </w:rPr>
            </w:pPr>
            <w:r>
              <w:rPr>
                <w:rFonts w:ascii="Arial" w:cs="Arial" w:eastAsia="Arial" w:hAnsi="Arial"/>
                <w:sz w:val="16"/>
                <w:szCs w:val="16"/>
                <w:color w:val="auto"/>
              </w:rPr>
              <w:t>SoCalGas(1)</w:t>
            </w:r>
          </w:p>
        </w:tc>
        <w:tc>
          <w:tcPr>
            <w:tcW w:w="680" w:type="dxa"/>
            <w:vAlign w:val="bottom"/>
          </w:tcPr>
          <w:p>
            <w:pPr>
              <w:spacing w:after="0"/>
              <w:rPr>
                <w:sz w:val="15"/>
                <w:szCs w:val="15"/>
                <w:color w:val="auto"/>
              </w:rPr>
            </w:pPr>
          </w:p>
        </w:tc>
        <w:tc>
          <w:tcPr>
            <w:tcW w:w="1340" w:type="dxa"/>
            <w:vAlign w:val="bottom"/>
          </w:tcPr>
          <w:p>
            <w:pPr>
              <w:jc w:val="right"/>
              <w:ind w:right="400"/>
              <w:spacing w:after="0" w:line="176" w:lineRule="exact"/>
              <w:rPr>
                <w:sz w:val="20"/>
                <w:szCs w:val="20"/>
                <w:color w:val="auto"/>
              </w:rPr>
            </w:pPr>
            <w:r>
              <w:rPr>
                <w:rFonts w:ascii="Arial" w:cs="Arial" w:eastAsia="Arial" w:hAnsi="Arial"/>
                <w:sz w:val="16"/>
                <w:szCs w:val="16"/>
                <w:color w:val="auto"/>
              </w:rPr>
              <w:t>127</w:t>
            </w:r>
          </w:p>
        </w:tc>
        <w:tc>
          <w:tcPr>
            <w:tcW w:w="1000" w:type="dxa"/>
            <w:vAlign w:val="bottom"/>
          </w:tcPr>
          <w:p>
            <w:pPr>
              <w:jc w:val="right"/>
              <w:ind w:right="260"/>
              <w:spacing w:after="0" w:line="176" w:lineRule="exact"/>
              <w:rPr>
                <w:sz w:val="20"/>
                <w:szCs w:val="20"/>
                <w:color w:val="auto"/>
              </w:rPr>
            </w:pPr>
            <w:r>
              <w:rPr>
                <w:rFonts w:ascii="Arial" w:cs="Arial" w:eastAsia="Arial" w:hAnsi="Arial"/>
                <w:sz w:val="16"/>
                <w:szCs w:val="16"/>
                <w:color w:val="auto"/>
              </w:rPr>
              <w:t>16</w:t>
            </w:r>
          </w:p>
        </w:tc>
        <w:tc>
          <w:tcPr>
            <w:tcW w:w="1220" w:type="dxa"/>
            <w:vAlign w:val="bottom"/>
          </w:tcPr>
          <w:p>
            <w:pPr>
              <w:spacing w:after="0"/>
              <w:rPr>
                <w:sz w:val="15"/>
                <w:szCs w:val="15"/>
                <w:color w:val="auto"/>
              </w:rPr>
            </w:pPr>
          </w:p>
        </w:tc>
        <w:tc>
          <w:tcPr>
            <w:tcW w:w="1000" w:type="dxa"/>
            <w:vAlign w:val="bottom"/>
          </w:tcPr>
          <w:p>
            <w:pPr>
              <w:jc w:val="right"/>
              <w:ind w:right="460"/>
              <w:spacing w:after="0" w:line="176" w:lineRule="exact"/>
              <w:rPr>
                <w:sz w:val="20"/>
                <w:szCs w:val="20"/>
                <w:color w:val="auto"/>
              </w:rPr>
            </w:pPr>
            <w:r>
              <w:rPr>
                <w:rFonts w:ascii="Arial" w:cs="Arial" w:eastAsia="Arial" w:hAnsi="Arial"/>
                <w:sz w:val="16"/>
                <w:szCs w:val="16"/>
                <w:color w:val="auto"/>
              </w:rPr>
              <w:t>134</w:t>
            </w:r>
          </w:p>
        </w:tc>
        <w:tc>
          <w:tcPr>
            <w:tcW w:w="1120" w:type="dxa"/>
            <w:vAlign w:val="bottom"/>
          </w:tcPr>
          <w:p>
            <w:pPr>
              <w:jc w:val="right"/>
              <w:ind w:right="419"/>
              <w:spacing w:after="0" w:line="176" w:lineRule="exact"/>
              <w:rPr>
                <w:sz w:val="20"/>
                <w:szCs w:val="20"/>
                <w:color w:val="auto"/>
              </w:rPr>
            </w:pPr>
            <w:r>
              <w:rPr>
                <w:rFonts w:ascii="Arial" w:cs="Arial" w:eastAsia="Arial" w:hAnsi="Arial"/>
                <w:sz w:val="16"/>
                <w:szCs w:val="16"/>
                <w:color w:val="auto"/>
              </w:rPr>
              <w:t>41</w:t>
            </w:r>
          </w:p>
        </w:tc>
      </w:tr>
      <w:tr>
        <w:trPr>
          <w:trHeight w:val="176"/>
        </w:trPr>
        <w:tc>
          <w:tcPr>
            <w:tcW w:w="5060" w:type="dxa"/>
            <w:vAlign w:val="bottom"/>
            <w:gridSpan w:val="2"/>
          </w:tcPr>
          <w:p>
            <w:pPr>
              <w:spacing w:after="0" w:line="176" w:lineRule="exact"/>
              <w:rPr>
                <w:sz w:val="20"/>
                <w:szCs w:val="20"/>
                <w:color w:val="auto"/>
              </w:rPr>
            </w:pPr>
            <w:r>
              <w:rPr>
                <w:rFonts w:ascii="Arial" w:cs="Arial" w:eastAsia="Arial" w:hAnsi="Arial"/>
                <w:sz w:val="16"/>
                <w:szCs w:val="16"/>
                <w:color w:val="auto"/>
              </w:rPr>
              <w:t>Sempra Global:</w:t>
            </w:r>
          </w:p>
        </w:tc>
        <w:tc>
          <w:tcPr>
            <w:tcW w:w="6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120" w:type="dxa"/>
            <w:vAlign w:val="bottom"/>
          </w:tcPr>
          <w:p>
            <w:pPr>
              <w:spacing w:after="0"/>
              <w:rPr>
                <w:sz w:val="15"/>
                <w:szCs w:val="15"/>
                <w:color w:val="auto"/>
              </w:rPr>
            </w:pPr>
          </w:p>
        </w:tc>
      </w:tr>
      <w:tr>
        <w:trPr>
          <w:trHeight w:val="176"/>
        </w:trPr>
        <w:tc>
          <w:tcPr>
            <w:tcW w:w="20" w:type="dxa"/>
            <w:vAlign w:val="bottom"/>
          </w:tcPr>
          <w:p>
            <w:pPr>
              <w:spacing w:after="0"/>
              <w:rPr>
                <w:sz w:val="15"/>
                <w:szCs w:val="15"/>
                <w:color w:val="auto"/>
              </w:rPr>
            </w:pPr>
          </w:p>
        </w:tc>
        <w:tc>
          <w:tcPr>
            <w:tcW w:w="5040" w:type="dxa"/>
            <w:vAlign w:val="bottom"/>
          </w:tcPr>
          <w:p>
            <w:pPr>
              <w:ind w:left="160"/>
              <w:spacing w:after="0" w:line="176" w:lineRule="exact"/>
              <w:rPr>
                <w:sz w:val="20"/>
                <w:szCs w:val="20"/>
                <w:color w:val="auto"/>
              </w:rPr>
            </w:pPr>
            <w:r>
              <w:rPr>
                <w:rFonts w:ascii="Arial" w:cs="Arial" w:eastAsia="Arial" w:hAnsi="Arial"/>
                <w:sz w:val="16"/>
                <w:szCs w:val="16"/>
                <w:color w:val="auto"/>
              </w:rPr>
              <w:t>Sempra Generation</w:t>
            </w:r>
          </w:p>
        </w:tc>
        <w:tc>
          <w:tcPr>
            <w:tcW w:w="680" w:type="dxa"/>
            <w:vAlign w:val="bottom"/>
          </w:tcPr>
          <w:p>
            <w:pPr>
              <w:spacing w:after="0"/>
              <w:rPr>
                <w:sz w:val="15"/>
                <w:szCs w:val="15"/>
                <w:color w:val="auto"/>
              </w:rPr>
            </w:pPr>
          </w:p>
        </w:tc>
        <w:tc>
          <w:tcPr>
            <w:tcW w:w="1340" w:type="dxa"/>
            <w:vAlign w:val="bottom"/>
          </w:tcPr>
          <w:p>
            <w:pPr>
              <w:jc w:val="right"/>
              <w:ind w:right="400"/>
              <w:spacing w:after="0" w:line="176" w:lineRule="exact"/>
              <w:rPr>
                <w:sz w:val="20"/>
                <w:szCs w:val="20"/>
                <w:color w:val="auto"/>
              </w:rPr>
            </w:pPr>
            <w:r>
              <w:rPr>
                <w:rFonts w:ascii="Arial" w:cs="Arial" w:eastAsia="Arial" w:hAnsi="Arial"/>
                <w:sz w:val="16"/>
                <w:szCs w:val="16"/>
                <w:color w:val="auto"/>
              </w:rPr>
              <w:t>94</w:t>
            </w:r>
          </w:p>
        </w:tc>
        <w:tc>
          <w:tcPr>
            <w:tcW w:w="1000" w:type="dxa"/>
            <w:vAlign w:val="bottom"/>
          </w:tcPr>
          <w:p>
            <w:pPr>
              <w:jc w:val="right"/>
              <w:ind w:right="260"/>
              <w:spacing w:after="0" w:line="176" w:lineRule="exact"/>
              <w:rPr>
                <w:sz w:val="20"/>
                <w:szCs w:val="20"/>
                <w:color w:val="auto"/>
              </w:rPr>
            </w:pPr>
            <w:r>
              <w:rPr>
                <w:rFonts w:ascii="Arial" w:cs="Arial" w:eastAsia="Arial" w:hAnsi="Arial"/>
                <w:sz w:val="16"/>
                <w:szCs w:val="16"/>
                <w:color w:val="auto"/>
              </w:rPr>
              <w:t>12</w:t>
            </w:r>
          </w:p>
        </w:tc>
        <w:tc>
          <w:tcPr>
            <w:tcW w:w="1220" w:type="dxa"/>
            <w:vAlign w:val="bottom"/>
          </w:tcPr>
          <w:p>
            <w:pPr>
              <w:spacing w:after="0"/>
              <w:rPr>
                <w:sz w:val="15"/>
                <w:szCs w:val="15"/>
                <w:color w:val="auto"/>
              </w:rPr>
            </w:pPr>
          </w:p>
        </w:tc>
        <w:tc>
          <w:tcPr>
            <w:tcW w:w="1000" w:type="dxa"/>
            <w:vAlign w:val="bottom"/>
          </w:tcPr>
          <w:p>
            <w:pPr>
              <w:jc w:val="right"/>
              <w:ind w:right="460"/>
              <w:spacing w:after="0" w:line="176" w:lineRule="exact"/>
              <w:rPr>
                <w:sz w:val="20"/>
                <w:szCs w:val="20"/>
                <w:color w:val="auto"/>
              </w:rPr>
            </w:pPr>
            <w:r>
              <w:rPr>
                <w:rFonts w:ascii="Arial" w:cs="Arial" w:eastAsia="Arial" w:hAnsi="Arial"/>
                <w:sz w:val="16"/>
                <w:szCs w:val="16"/>
                <w:color w:val="auto"/>
              </w:rPr>
              <w:t>1</w:t>
            </w:r>
          </w:p>
        </w:tc>
        <w:tc>
          <w:tcPr>
            <w:tcW w:w="1120" w:type="dxa"/>
            <w:vAlign w:val="bottom"/>
          </w:tcPr>
          <w:p>
            <w:pPr>
              <w:jc w:val="right"/>
              <w:ind w:right="419"/>
              <w:spacing w:after="0" w:line="176" w:lineRule="exact"/>
              <w:rPr>
                <w:sz w:val="20"/>
                <w:szCs w:val="20"/>
                <w:color w:val="auto"/>
              </w:rPr>
            </w:pPr>
            <w:r>
              <w:rPr>
                <w:rFonts w:ascii="Arial" w:cs="Arial" w:eastAsia="Arial" w:hAnsi="Arial"/>
                <w:sz w:val="16"/>
                <w:szCs w:val="16"/>
                <w:color w:val="auto"/>
              </w:rPr>
              <w:t>―</w:t>
            </w:r>
          </w:p>
        </w:tc>
      </w:tr>
      <w:tr>
        <w:trPr>
          <w:trHeight w:val="176"/>
        </w:trPr>
        <w:tc>
          <w:tcPr>
            <w:tcW w:w="20" w:type="dxa"/>
            <w:vAlign w:val="bottom"/>
          </w:tcPr>
          <w:p>
            <w:pPr>
              <w:spacing w:after="0"/>
              <w:rPr>
                <w:sz w:val="15"/>
                <w:szCs w:val="15"/>
                <w:color w:val="auto"/>
              </w:rPr>
            </w:pPr>
          </w:p>
        </w:tc>
        <w:tc>
          <w:tcPr>
            <w:tcW w:w="5040" w:type="dxa"/>
            <w:vAlign w:val="bottom"/>
          </w:tcPr>
          <w:p>
            <w:pPr>
              <w:ind w:left="160"/>
              <w:spacing w:after="0" w:line="176" w:lineRule="exact"/>
              <w:rPr>
                <w:sz w:val="20"/>
                <w:szCs w:val="20"/>
                <w:color w:val="auto"/>
              </w:rPr>
            </w:pPr>
            <w:r>
              <w:rPr>
                <w:rFonts w:ascii="Arial" w:cs="Arial" w:eastAsia="Arial" w:hAnsi="Arial"/>
                <w:sz w:val="16"/>
                <w:szCs w:val="16"/>
                <w:color w:val="auto"/>
              </w:rPr>
              <w:t>Sempra Pipelines &amp; Storage</w:t>
            </w:r>
          </w:p>
        </w:tc>
        <w:tc>
          <w:tcPr>
            <w:tcW w:w="680" w:type="dxa"/>
            <w:vAlign w:val="bottom"/>
          </w:tcPr>
          <w:p>
            <w:pPr>
              <w:spacing w:after="0"/>
              <w:rPr>
                <w:sz w:val="15"/>
                <w:szCs w:val="15"/>
                <w:color w:val="auto"/>
              </w:rPr>
            </w:pPr>
          </w:p>
        </w:tc>
        <w:tc>
          <w:tcPr>
            <w:tcW w:w="1340" w:type="dxa"/>
            <w:vAlign w:val="bottom"/>
          </w:tcPr>
          <w:p>
            <w:pPr>
              <w:jc w:val="right"/>
              <w:ind w:right="400"/>
              <w:spacing w:after="0" w:line="176" w:lineRule="exact"/>
              <w:rPr>
                <w:sz w:val="20"/>
                <w:szCs w:val="20"/>
                <w:color w:val="auto"/>
              </w:rPr>
            </w:pPr>
            <w:r>
              <w:rPr>
                <w:rFonts w:ascii="Arial" w:cs="Arial" w:eastAsia="Arial" w:hAnsi="Arial"/>
                <w:sz w:val="16"/>
                <w:szCs w:val="16"/>
                <w:color w:val="auto"/>
              </w:rPr>
              <w:t>391</w:t>
            </w:r>
          </w:p>
        </w:tc>
        <w:tc>
          <w:tcPr>
            <w:tcW w:w="1000" w:type="dxa"/>
            <w:vAlign w:val="bottom"/>
          </w:tcPr>
          <w:p>
            <w:pPr>
              <w:jc w:val="right"/>
              <w:ind w:right="260"/>
              <w:spacing w:after="0" w:line="176" w:lineRule="exact"/>
              <w:rPr>
                <w:sz w:val="20"/>
                <w:szCs w:val="20"/>
                <w:color w:val="auto"/>
              </w:rPr>
            </w:pPr>
            <w:r>
              <w:rPr>
                <w:rFonts w:ascii="Arial" w:cs="Arial" w:eastAsia="Arial" w:hAnsi="Arial"/>
                <w:sz w:val="16"/>
                <w:szCs w:val="16"/>
                <w:color w:val="auto"/>
              </w:rPr>
              <w:t>51</w:t>
            </w:r>
          </w:p>
        </w:tc>
        <w:tc>
          <w:tcPr>
            <w:tcW w:w="1220" w:type="dxa"/>
            <w:vAlign w:val="bottom"/>
          </w:tcPr>
          <w:p>
            <w:pPr>
              <w:spacing w:after="0"/>
              <w:rPr>
                <w:sz w:val="15"/>
                <w:szCs w:val="15"/>
                <w:color w:val="auto"/>
              </w:rPr>
            </w:pPr>
          </w:p>
        </w:tc>
        <w:tc>
          <w:tcPr>
            <w:tcW w:w="1000" w:type="dxa"/>
            <w:vAlign w:val="bottom"/>
          </w:tcPr>
          <w:p>
            <w:pPr>
              <w:jc w:val="right"/>
              <w:ind w:right="460"/>
              <w:spacing w:after="0" w:line="176" w:lineRule="exact"/>
              <w:rPr>
                <w:sz w:val="20"/>
                <w:szCs w:val="20"/>
                <w:color w:val="auto"/>
              </w:rPr>
            </w:pPr>
            <w:r>
              <w:rPr>
                <w:rFonts w:ascii="Arial" w:cs="Arial" w:eastAsia="Arial" w:hAnsi="Arial"/>
                <w:sz w:val="16"/>
                <w:szCs w:val="16"/>
                <w:color w:val="auto"/>
              </w:rPr>
              <w:t>77</w:t>
            </w:r>
          </w:p>
        </w:tc>
        <w:tc>
          <w:tcPr>
            <w:tcW w:w="1120" w:type="dxa"/>
            <w:vAlign w:val="bottom"/>
          </w:tcPr>
          <w:p>
            <w:pPr>
              <w:jc w:val="right"/>
              <w:ind w:right="419"/>
              <w:spacing w:after="0" w:line="176" w:lineRule="exact"/>
              <w:rPr>
                <w:sz w:val="20"/>
                <w:szCs w:val="20"/>
                <w:color w:val="auto"/>
              </w:rPr>
            </w:pPr>
            <w:r>
              <w:rPr>
                <w:rFonts w:ascii="Arial" w:cs="Arial" w:eastAsia="Arial" w:hAnsi="Arial"/>
                <w:sz w:val="16"/>
                <w:szCs w:val="16"/>
                <w:color w:val="auto"/>
              </w:rPr>
              <w:t>24</w:t>
            </w:r>
          </w:p>
        </w:tc>
      </w:tr>
      <w:tr>
        <w:trPr>
          <w:trHeight w:val="176"/>
        </w:trPr>
        <w:tc>
          <w:tcPr>
            <w:tcW w:w="20" w:type="dxa"/>
            <w:vAlign w:val="bottom"/>
          </w:tcPr>
          <w:p>
            <w:pPr>
              <w:spacing w:after="0"/>
              <w:rPr>
                <w:sz w:val="15"/>
                <w:szCs w:val="15"/>
                <w:color w:val="auto"/>
              </w:rPr>
            </w:pPr>
          </w:p>
        </w:tc>
        <w:tc>
          <w:tcPr>
            <w:tcW w:w="5040" w:type="dxa"/>
            <w:vAlign w:val="bottom"/>
          </w:tcPr>
          <w:p>
            <w:pPr>
              <w:ind w:left="160"/>
              <w:spacing w:after="0" w:line="176" w:lineRule="exact"/>
              <w:rPr>
                <w:sz w:val="20"/>
                <w:szCs w:val="20"/>
                <w:color w:val="auto"/>
              </w:rPr>
            </w:pPr>
            <w:r>
              <w:rPr>
                <w:rFonts w:ascii="Arial" w:cs="Arial" w:eastAsia="Arial" w:hAnsi="Arial"/>
                <w:sz w:val="16"/>
                <w:szCs w:val="16"/>
                <w:color w:val="auto"/>
              </w:rPr>
              <w:t>Sempra LNG</w:t>
            </w:r>
          </w:p>
        </w:tc>
        <w:tc>
          <w:tcPr>
            <w:tcW w:w="680" w:type="dxa"/>
            <w:vAlign w:val="bottom"/>
          </w:tcPr>
          <w:p>
            <w:pPr>
              <w:spacing w:after="0"/>
              <w:rPr>
                <w:sz w:val="15"/>
                <w:szCs w:val="15"/>
                <w:color w:val="auto"/>
              </w:rPr>
            </w:pPr>
          </w:p>
        </w:tc>
        <w:tc>
          <w:tcPr>
            <w:tcW w:w="1340" w:type="dxa"/>
            <w:vAlign w:val="bottom"/>
          </w:tcPr>
          <w:p>
            <w:pPr>
              <w:jc w:val="right"/>
              <w:ind w:right="400"/>
              <w:spacing w:after="0" w:line="176" w:lineRule="exact"/>
              <w:rPr>
                <w:sz w:val="20"/>
                <w:szCs w:val="20"/>
                <w:color w:val="auto"/>
              </w:rPr>
            </w:pPr>
            <w:r>
              <w:rPr>
                <w:rFonts w:ascii="Arial" w:cs="Arial" w:eastAsia="Arial" w:hAnsi="Arial"/>
                <w:sz w:val="16"/>
                <w:szCs w:val="16"/>
                <w:color w:val="auto"/>
              </w:rPr>
              <w:t>51</w:t>
            </w:r>
          </w:p>
        </w:tc>
        <w:tc>
          <w:tcPr>
            <w:tcW w:w="1000" w:type="dxa"/>
            <w:vAlign w:val="bottom"/>
          </w:tcPr>
          <w:p>
            <w:pPr>
              <w:jc w:val="right"/>
              <w:ind w:right="260"/>
              <w:spacing w:after="0" w:line="176" w:lineRule="exact"/>
              <w:rPr>
                <w:sz w:val="20"/>
                <w:szCs w:val="20"/>
                <w:color w:val="auto"/>
              </w:rPr>
            </w:pPr>
            <w:r>
              <w:rPr>
                <w:rFonts w:ascii="Arial" w:cs="Arial" w:eastAsia="Arial" w:hAnsi="Arial"/>
                <w:sz w:val="16"/>
                <w:szCs w:val="16"/>
                <w:color w:val="auto"/>
              </w:rPr>
              <w:t>7</w:t>
            </w:r>
          </w:p>
        </w:tc>
        <w:tc>
          <w:tcPr>
            <w:tcW w:w="1220" w:type="dxa"/>
            <w:vAlign w:val="bottom"/>
          </w:tcPr>
          <w:p>
            <w:pPr>
              <w:spacing w:after="0"/>
              <w:rPr>
                <w:sz w:val="15"/>
                <w:szCs w:val="15"/>
                <w:color w:val="auto"/>
              </w:rPr>
            </w:pPr>
          </w:p>
        </w:tc>
        <w:tc>
          <w:tcPr>
            <w:tcW w:w="1000" w:type="dxa"/>
            <w:vAlign w:val="bottom"/>
          </w:tcPr>
          <w:p>
            <w:pPr>
              <w:jc w:val="right"/>
              <w:ind w:right="460"/>
              <w:spacing w:after="0" w:line="176" w:lineRule="exact"/>
              <w:rPr>
                <w:sz w:val="20"/>
                <w:szCs w:val="20"/>
                <w:color w:val="auto"/>
              </w:rPr>
            </w:pPr>
            <w:r>
              <w:rPr>
                <w:rFonts w:ascii="Arial" w:cs="Arial" w:eastAsia="Arial" w:hAnsi="Arial"/>
                <w:sz w:val="16"/>
                <w:szCs w:val="16"/>
                <w:color w:val="auto"/>
              </w:rPr>
              <w:t>45</w:t>
            </w:r>
          </w:p>
        </w:tc>
        <w:tc>
          <w:tcPr>
            <w:tcW w:w="1120" w:type="dxa"/>
            <w:vAlign w:val="bottom"/>
          </w:tcPr>
          <w:p>
            <w:pPr>
              <w:jc w:val="right"/>
              <w:ind w:right="419"/>
              <w:spacing w:after="0" w:line="176" w:lineRule="exact"/>
              <w:rPr>
                <w:sz w:val="20"/>
                <w:szCs w:val="20"/>
                <w:color w:val="auto"/>
              </w:rPr>
            </w:pPr>
            <w:r>
              <w:rPr>
                <w:rFonts w:ascii="Arial" w:cs="Arial" w:eastAsia="Arial" w:hAnsi="Arial"/>
                <w:sz w:val="16"/>
                <w:szCs w:val="16"/>
                <w:color w:val="auto"/>
              </w:rPr>
              <w:t>14</w:t>
            </w:r>
          </w:p>
        </w:tc>
      </w:tr>
      <w:tr>
        <w:trPr>
          <w:trHeight w:val="194"/>
        </w:trPr>
        <w:tc>
          <w:tcPr>
            <w:tcW w:w="5060" w:type="dxa"/>
            <w:vAlign w:val="bottom"/>
            <w:gridSpan w:val="2"/>
          </w:tcPr>
          <w:p>
            <w:pPr>
              <w:spacing w:after="0"/>
              <w:rPr>
                <w:sz w:val="20"/>
                <w:szCs w:val="20"/>
                <w:color w:val="auto"/>
              </w:rPr>
            </w:pPr>
            <w:r>
              <w:rPr>
                <w:rFonts w:ascii="Arial" w:cs="Arial" w:eastAsia="Arial" w:hAnsi="Arial"/>
                <w:sz w:val="16"/>
                <w:szCs w:val="16"/>
                <w:color w:val="auto"/>
              </w:rPr>
              <w:t>Parent and other(2)</w:t>
            </w:r>
          </w:p>
        </w:tc>
        <w:tc>
          <w:tcPr>
            <w:tcW w:w="68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360"/>
              <w:spacing w:after="0"/>
              <w:rPr>
                <w:sz w:val="20"/>
                <w:szCs w:val="20"/>
                <w:color w:val="auto"/>
              </w:rPr>
            </w:pPr>
            <w:r>
              <w:rPr>
                <w:rFonts w:ascii="Arial" w:cs="Arial" w:eastAsia="Arial" w:hAnsi="Arial"/>
                <w:sz w:val="16"/>
                <w:szCs w:val="16"/>
                <w:color w:val="auto"/>
              </w:rPr>
              <w:t>(54)</w:t>
            </w:r>
          </w:p>
        </w:tc>
        <w:tc>
          <w:tcPr>
            <w:tcW w:w="1000" w:type="dxa"/>
            <w:vAlign w:val="bottom"/>
            <w:tcBorders>
              <w:bottom w:val="single" w:sz="8" w:color="auto"/>
            </w:tcBorders>
          </w:tcPr>
          <w:p>
            <w:pPr>
              <w:jc w:val="right"/>
              <w:ind w:right="220"/>
              <w:spacing w:after="0"/>
              <w:rPr>
                <w:sz w:val="20"/>
                <w:szCs w:val="20"/>
                <w:color w:val="auto"/>
              </w:rPr>
            </w:pPr>
            <w:r>
              <w:rPr>
                <w:rFonts w:ascii="Arial" w:cs="Arial" w:eastAsia="Arial" w:hAnsi="Arial"/>
                <w:sz w:val="16"/>
                <w:szCs w:val="16"/>
                <w:color w:val="auto"/>
              </w:rPr>
              <w:t>(7)</w:t>
            </w:r>
          </w:p>
        </w:tc>
        <w:tc>
          <w:tcPr>
            <w:tcW w:w="12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00"/>
              <w:spacing w:after="0"/>
              <w:rPr>
                <w:sz w:val="20"/>
                <w:szCs w:val="20"/>
                <w:color w:val="auto"/>
              </w:rPr>
            </w:pPr>
            <w:r>
              <w:rPr>
                <w:rFonts w:ascii="Arial" w:cs="Arial" w:eastAsia="Arial" w:hAnsi="Arial"/>
                <w:sz w:val="16"/>
                <w:szCs w:val="16"/>
                <w:color w:val="auto"/>
              </w:rPr>
              <w:t>(87)</w:t>
            </w:r>
          </w:p>
        </w:tc>
        <w:tc>
          <w:tcPr>
            <w:tcW w:w="112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color w:val="auto"/>
              </w:rPr>
              <w:t>(27)</w:t>
            </w:r>
          </w:p>
        </w:tc>
      </w:tr>
      <w:tr>
        <w:trPr>
          <w:trHeight w:val="195"/>
        </w:trPr>
        <w:tc>
          <w:tcPr>
            <w:tcW w:w="5060" w:type="dxa"/>
            <w:vAlign w:val="bottom"/>
            <w:gridSpan w:val="2"/>
          </w:tcPr>
          <w:p>
            <w:pPr>
              <w:spacing w:after="0"/>
              <w:rPr>
                <w:sz w:val="20"/>
                <w:szCs w:val="20"/>
                <w:color w:val="auto"/>
              </w:rPr>
            </w:pPr>
            <w:r>
              <w:rPr>
                <w:rFonts w:ascii="Arial" w:cs="Arial" w:eastAsia="Arial" w:hAnsi="Arial"/>
                <w:sz w:val="16"/>
                <w:szCs w:val="16"/>
                <w:color w:val="auto"/>
              </w:rPr>
              <w:t>Earnings</w:t>
            </w:r>
          </w:p>
        </w:tc>
        <w:tc>
          <w:tcPr>
            <w:tcW w:w="680" w:type="dxa"/>
            <w:vAlign w:val="bottom"/>
          </w:tcPr>
          <w:p>
            <w:pPr>
              <w:jc w:val="right"/>
              <w:ind w:right="524"/>
              <w:spacing w:after="0"/>
              <w:rPr>
                <w:sz w:val="20"/>
                <w:szCs w:val="20"/>
                <w:color w:val="auto"/>
              </w:rPr>
            </w:pPr>
            <w:r>
              <w:rPr>
                <w:rFonts w:ascii="Arial" w:cs="Arial" w:eastAsia="Arial" w:hAnsi="Arial"/>
                <w:sz w:val="15"/>
                <w:szCs w:val="15"/>
                <w:color w:val="auto"/>
                <w:w w:val="71"/>
              </w:rPr>
              <w:t>$</w:t>
            </w:r>
          </w:p>
        </w:tc>
        <w:tc>
          <w:tcPr>
            <w:tcW w:w="1340" w:type="dxa"/>
            <w:vAlign w:val="bottom"/>
          </w:tcPr>
          <w:p>
            <w:pPr>
              <w:jc w:val="right"/>
              <w:ind w:right="400"/>
              <w:spacing w:after="0"/>
              <w:rPr>
                <w:sz w:val="20"/>
                <w:szCs w:val="20"/>
                <w:color w:val="auto"/>
              </w:rPr>
            </w:pPr>
            <w:r>
              <w:rPr>
                <w:rFonts w:ascii="Arial" w:cs="Arial" w:eastAsia="Arial" w:hAnsi="Arial"/>
                <w:sz w:val="16"/>
                <w:szCs w:val="16"/>
                <w:color w:val="auto"/>
              </w:rPr>
              <w:t>769</w:t>
            </w:r>
          </w:p>
        </w:tc>
        <w:tc>
          <w:tcPr>
            <w:tcW w:w="1000" w:type="dxa"/>
            <w:vAlign w:val="bottom"/>
          </w:tcPr>
          <w:p>
            <w:pPr>
              <w:jc w:val="right"/>
              <w:ind w:right="60"/>
              <w:spacing w:after="0"/>
              <w:rPr>
                <w:sz w:val="20"/>
                <w:szCs w:val="20"/>
                <w:color w:val="auto"/>
              </w:rPr>
            </w:pPr>
            <w:r>
              <w:rPr>
                <w:rFonts w:ascii="Arial" w:cs="Arial" w:eastAsia="Arial" w:hAnsi="Arial"/>
                <w:sz w:val="16"/>
                <w:szCs w:val="16"/>
                <w:color w:val="auto"/>
              </w:rPr>
              <w:t>100 %</w:t>
            </w:r>
          </w:p>
        </w:tc>
        <w:tc>
          <w:tcPr>
            <w:tcW w:w="1220" w:type="dxa"/>
            <w:vAlign w:val="bottom"/>
          </w:tcPr>
          <w:p>
            <w:pPr>
              <w:jc w:val="right"/>
              <w:ind w:right="919"/>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460"/>
              <w:spacing w:after="0"/>
              <w:rPr>
                <w:sz w:val="20"/>
                <w:szCs w:val="20"/>
                <w:color w:val="auto"/>
              </w:rPr>
            </w:pPr>
            <w:r>
              <w:rPr>
                <w:rFonts w:ascii="Arial" w:cs="Arial" w:eastAsia="Arial" w:hAnsi="Arial"/>
                <w:sz w:val="16"/>
                <w:szCs w:val="16"/>
                <w:color w:val="auto"/>
              </w:rPr>
              <w:t>328</w:t>
            </w:r>
          </w:p>
        </w:tc>
        <w:tc>
          <w:tcPr>
            <w:tcW w:w="1120" w:type="dxa"/>
            <w:vAlign w:val="bottom"/>
          </w:tcPr>
          <w:p>
            <w:pPr>
              <w:jc w:val="right"/>
              <w:ind w:right="219"/>
              <w:spacing w:after="0"/>
              <w:rPr>
                <w:sz w:val="20"/>
                <w:szCs w:val="20"/>
                <w:color w:val="auto"/>
              </w:rPr>
            </w:pPr>
            <w:r>
              <w:rPr>
                <w:rFonts w:ascii="Arial" w:cs="Arial" w:eastAsia="Arial" w:hAnsi="Arial"/>
                <w:sz w:val="16"/>
                <w:szCs w:val="16"/>
                <w:color w:val="auto"/>
              </w:rPr>
              <w:t>100 %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246620"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ind w:left="580" w:hanging="572"/>
        <w:spacing w:after="0"/>
        <w:tabs>
          <w:tab w:leader="none" w:pos="580" w:val="left"/>
        </w:tabs>
        <w:numPr>
          <w:ilvl w:val="0"/>
          <w:numId w:val="45"/>
        </w:numPr>
        <w:rPr>
          <w:rFonts w:ascii="Arial" w:cs="Arial" w:eastAsia="Arial" w:hAnsi="Arial"/>
          <w:sz w:val="14"/>
          <w:szCs w:val="14"/>
          <w:i w:val="1"/>
          <w:iCs w:val="1"/>
          <w:color w:val="auto"/>
        </w:rPr>
      </w:pPr>
      <w:r>
        <w:rPr>
          <w:rFonts w:ascii="Arial" w:cs="Arial" w:eastAsia="Arial" w:hAnsi="Arial"/>
          <w:sz w:val="14"/>
          <w:szCs w:val="14"/>
          <w:i w:val="1"/>
          <w:iCs w:val="1"/>
          <w:color w:val="auto"/>
        </w:rPr>
        <w:t>After preferred dividends.</w:t>
      </w:r>
    </w:p>
    <w:p>
      <w:pPr>
        <w:spacing w:after="0" w:line="13" w:lineRule="exact"/>
        <w:rPr>
          <w:rFonts w:ascii="Arial" w:cs="Arial" w:eastAsia="Arial" w:hAnsi="Arial"/>
          <w:sz w:val="14"/>
          <w:szCs w:val="14"/>
          <w:i w:val="1"/>
          <w:iCs w:val="1"/>
          <w:color w:val="auto"/>
        </w:rPr>
      </w:pPr>
    </w:p>
    <w:p>
      <w:pPr>
        <w:ind w:left="580" w:right="120" w:hanging="572"/>
        <w:spacing w:after="0" w:line="247" w:lineRule="auto"/>
        <w:tabs>
          <w:tab w:leader="none" w:pos="580" w:val="left"/>
        </w:tabs>
        <w:numPr>
          <w:ilvl w:val="0"/>
          <w:numId w:val="45"/>
        </w:numPr>
        <w:rPr>
          <w:rFonts w:ascii="Arial" w:cs="Arial" w:eastAsia="Arial" w:hAnsi="Arial"/>
          <w:sz w:val="14"/>
          <w:szCs w:val="14"/>
          <w:i w:val="1"/>
          <w:iCs w:val="1"/>
          <w:color w:val="auto"/>
        </w:rPr>
      </w:pPr>
      <w:r>
        <w:rPr>
          <w:rFonts w:ascii="Arial" w:cs="Arial" w:eastAsia="Arial" w:hAnsi="Arial"/>
          <w:sz w:val="14"/>
          <w:szCs w:val="14"/>
          <w:i w:val="1"/>
          <w:iCs w:val="1"/>
          <w:color w:val="auto"/>
        </w:rPr>
        <w:t>Includes after-tax interest expense ($35 million and $37 million for the three months ended June 30, 2011 and 2010, respectively, and $69 million and $75 million for the six months ended June 30, 2011 and 2010, respectively), results from our former Sempra Commodities segment (losses of $1 million and $4 million for the three months ended June 30, 2011 and 2010, respectively, and $6 million and $11 million for the six months ended June 30, 2011 and 2010, respectively), intercompany eliminations recorded in consolidation and certain corporate costs.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UNIT RESULTS</w:t>
      </w:r>
    </w:p>
    <w:p>
      <w:pPr>
        <w:spacing w:after="0" w:line="234"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The following section is a discussion of earnings (losses) by business unit, as it appears in the table above. All amounts discussed within this subheading, “Business Unit Results,” are after-tax, unless otherwise noted.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391795</wp:posOffset>
            </wp:positionV>
            <wp:extent cx="7246620" cy="24892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46620" cy="2489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EARNINGS BY BUSINESS UNIT -- SEMPRA UTILITIES</w:t>
      </w:r>
    </w:p>
    <w:p>
      <w:pPr>
        <w:spacing w:after="0" w:line="31"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(Dollars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450215</wp:posOffset>
            </wp:positionV>
            <wp:extent cx="6003290" cy="30016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003290" cy="30016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SDG&amp;E</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SDG&amp;E business unit earnings were</w:t>
      </w:r>
    </w:p>
    <w:p>
      <w:pPr>
        <w:spacing w:after="0" w:line="225" w:lineRule="exact"/>
        <w:rPr>
          <w:sz w:val="20"/>
          <w:szCs w:val="20"/>
          <w:color w:val="auto"/>
        </w:rPr>
      </w:pPr>
    </w:p>
    <w:p>
      <w:pPr>
        <w:ind w:left="340" w:hanging="188"/>
        <w:spacing w:after="0"/>
        <w:tabs>
          <w:tab w:leader="none" w:pos="3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$71 million in the three months ended June 30, 2011 ($72 million before preferred dividends)</w:t>
      </w:r>
    </w:p>
    <w:p>
      <w:pPr>
        <w:spacing w:after="0" w:line="252" w:lineRule="exact"/>
        <w:rPr>
          <w:rFonts w:ascii="Arial" w:cs="Arial" w:eastAsia="Arial" w:hAnsi="Arial"/>
          <w:sz w:val="18"/>
          <w:szCs w:val="18"/>
          <w:color w:val="auto"/>
        </w:rPr>
      </w:pPr>
    </w:p>
    <w:p>
      <w:pPr>
        <w:ind w:left="340" w:hanging="188"/>
        <w:spacing w:after="0"/>
        <w:tabs>
          <w:tab w:leader="none" w:pos="3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$75 million in the three months ended June 30, 2010 ($76 million before preferred dividends)</w:t>
      </w:r>
    </w:p>
    <w:p>
      <w:pPr>
        <w:spacing w:after="0" w:line="252" w:lineRule="exact"/>
        <w:rPr>
          <w:rFonts w:ascii="Arial" w:cs="Arial" w:eastAsia="Arial" w:hAnsi="Arial"/>
          <w:sz w:val="18"/>
          <w:szCs w:val="18"/>
          <w:color w:val="auto"/>
        </w:rPr>
      </w:pPr>
    </w:p>
    <w:p>
      <w:pPr>
        <w:ind w:left="340" w:hanging="188"/>
        <w:spacing w:after="0"/>
        <w:tabs>
          <w:tab w:leader="none" w:pos="3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$160 million for the first six months of 2011 ($162 million before preferred dividends)</w:t>
      </w:r>
    </w:p>
    <w:p>
      <w:pPr>
        <w:spacing w:after="0" w:line="252" w:lineRule="exact"/>
        <w:rPr>
          <w:rFonts w:ascii="Arial" w:cs="Arial" w:eastAsia="Arial" w:hAnsi="Arial"/>
          <w:sz w:val="18"/>
          <w:szCs w:val="18"/>
          <w:color w:val="auto"/>
        </w:rPr>
      </w:pPr>
    </w:p>
    <w:p>
      <w:pPr>
        <w:ind w:left="340" w:hanging="188"/>
        <w:spacing w:after="0"/>
        <w:tabs>
          <w:tab w:leader="none" w:pos="3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$158 million for the first six months of 2010 ($160 million before preferred dividends)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340" w:hanging="188"/>
        <w:spacing w:after="0"/>
        <w:tabs>
          <w:tab w:leader="none" w:pos="340" w:val="left"/>
        </w:tabs>
        <w:numPr>
          <w:ilvl w:val="0"/>
          <w:numId w:val="47"/>
        </w:numPr>
        <w:rPr>
          <w:rFonts w:ascii="Arial" w:cs="Arial" w:eastAsia="Arial" w:hAnsi="Arial"/>
          <w:sz w:val="18"/>
          <w:szCs w:val="18"/>
          <w:b w:val="1"/>
          <w:bCs w:val="1"/>
          <w:color w:val="auto"/>
        </w:rPr>
      </w:pPr>
      <w:r>
        <w:rPr>
          <w:rFonts w:ascii="Arial" w:cs="Arial" w:eastAsia="Arial" w:hAnsi="Arial"/>
          <w:sz w:val="18"/>
          <w:szCs w:val="18"/>
          <w:color w:val="auto"/>
        </w:rPr>
        <w:t>$12 million primarily from the resolution of litigation matters which had a favorable impact on earnings in 2010; and</w:t>
      </w:r>
    </w:p>
    <w:p>
      <w:pPr>
        <w:sectPr>
          <w:pgSz w:w="11900" w:h="16838" w:orient="portrait"/>
          <w:cols w:equalWidth="0" w:num="1">
            <w:col w:w="11420"/>
          </w:cols>
          <w:pgMar w:left="240" w:top="120" w:right="239" w:bottom="0" w:gutter="0" w:footer="0" w:header="0"/>
        </w:sectPr>
      </w:pPr>
    </w:p>
    <w:bookmarkStart w:id="53" w:name="page54"/>
    <w:bookmarkEnd w:id="53"/>
    <w:p>
      <w:pPr>
        <w:ind w:left="340" w:hanging="188"/>
        <w:spacing w:after="0"/>
        <w:tabs>
          <w:tab w:leader="none" w:pos="340" w:val="left"/>
        </w:tabs>
        <w:numPr>
          <w:ilvl w:val="0"/>
          <w:numId w:val="48"/>
        </w:numPr>
        <w:rPr>
          <w:rFonts w:ascii="Arial" w:cs="Arial" w:eastAsia="Arial" w:hAnsi="Arial"/>
          <w:sz w:val="18"/>
          <w:szCs w:val="18"/>
          <w:b w:val="1"/>
          <w:bCs w:val="1"/>
          <w:color w:val="auto"/>
        </w:rPr>
      </w:pPr>
      <w:r>
        <w:rPr>
          <w:rFonts w:ascii="Arial" w:cs="Arial" w:eastAsia="Arial" w:hAnsi="Arial"/>
          <w:sz w:val="18"/>
          <w:szCs w:val="18"/>
          <w:color w:val="auto"/>
        </w:rPr>
        <w:t xml:space="preserve">$2 million higher liability insurance premiums for wildfire coverage; </w:t>
      </w:r>
      <w:r>
        <w:rPr>
          <w:rFonts w:ascii="Arial" w:cs="Arial" w:eastAsia="Arial" w:hAnsi="Arial"/>
          <w:sz w:val="18"/>
          <w:szCs w:val="18"/>
          <w:b w:val="1"/>
          <w:bCs w:val="1"/>
          <w:color w:val="auto"/>
        </w:rPr>
        <w:t>offset by</w:t>
      </w:r>
    </w:p>
    <w:p>
      <w:pPr>
        <w:spacing w:after="0" w:line="256" w:lineRule="exact"/>
        <w:rPr>
          <w:rFonts w:ascii="Arial" w:cs="Arial" w:eastAsia="Arial" w:hAnsi="Arial"/>
          <w:sz w:val="18"/>
          <w:szCs w:val="18"/>
          <w:b w:val="1"/>
          <w:bCs w:val="1"/>
          <w:color w:val="auto"/>
        </w:rPr>
      </w:pPr>
    </w:p>
    <w:p>
      <w:pPr>
        <w:ind w:left="340" w:hanging="188"/>
        <w:spacing w:after="0"/>
        <w:tabs>
          <w:tab w:leader="none" w:pos="340" w:val="left"/>
        </w:tabs>
        <w:numPr>
          <w:ilvl w:val="0"/>
          <w:numId w:val="48"/>
        </w:numPr>
        <w:rPr>
          <w:rFonts w:ascii="Arial" w:cs="Arial" w:eastAsia="Arial" w:hAnsi="Arial"/>
          <w:sz w:val="18"/>
          <w:szCs w:val="18"/>
          <w:b w:val="1"/>
          <w:bCs w:val="1"/>
          <w:color w:val="auto"/>
        </w:rPr>
      </w:pPr>
      <w:r>
        <w:rPr>
          <w:rFonts w:ascii="Arial" w:cs="Arial" w:eastAsia="Arial" w:hAnsi="Arial"/>
          <w:sz w:val="18"/>
          <w:szCs w:val="18"/>
          <w:color w:val="auto"/>
        </w:rPr>
        <w:t>$7 million increased allowance for funds used during construction (AFUDC) related to equity net of higher interest expense; and</w:t>
      </w:r>
    </w:p>
    <w:p>
      <w:pPr>
        <w:spacing w:after="0" w:line="252" w:lineRule="exact"/>
        <w:rPr>
          <w:rFonts w:ascii="Arial" w:cs="Arial" w:eastAsia="Arial" w:hAnsi="Arial"/>
          <w:sz w:val="18"/>
          <w:szCs w:val="18"/>
          <w:b w:val="1"/>
          <w:bCs w:val="1"/>
          <w:color w:val="auto"/>
        </w:rPr>
      </w:pPr>
    </w:p>
    <w:p>
      <w:pPr>
        <w:ind w:left="340" w:hanging="188"/>
        <w:spacing w:after="0"/>
        <w:tabs>
          <w:tab w:leader="none" w:pos="340" w:val="left"/>
        </w:tabs>
        <w:numPr>
          <w:ilvl w:val="0"/>
          <w:numId w:val="48"/>
        </w:numPr>
        <w:rPr>
          <w:rFonts w:ascii="Arial" w:cs="Arial" w:eastAsia="Arial" w:hAnsi="Arial"/>
          <w:sz w:val="18"/>
          <w:szCs w:val="18"/>
          <w:b w:val="1"/>
          <w:bCs w:val="1"/>
          <w:color w:val="auto"/>
        </w:rPr>
      </w:pPr>
      <w:r>
        <w:rPr>
          <w:rFonts w:ascii="Arial" w:cs="Arial" w:eastAsia="Arial" w:hAnsi="Arial"/>
          <w:sz w:val="18"/>
          <w:szCs w:val="18"/>
          <w:color w:val="auto"/>
        </w:rPr>
        <w:t>$6 million lower expenses associated with the settlement of 2007 wildfire claims.</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color w:val="auto"/>
        </w:rPr>
        <w:t>The increase of $2 million (1%) for the first six months of 2011 was primarily due to:</w:t>
      </w:r>
    </w:p>
    <w:p>
      <w:pPr>
        <w:spacing w:after="0" w:line="225" w:lineRule="exact"/>
        <w:rPr>
          <w:sz w:val="20"/>
          <w:szCs w:val="20"/>
          <w:color w:val="auto"/>
        </w:rPr>
      </w:pPr>
    </w:p>
    <w:p>
      <w:pPr>
        <w:ind w:left="340" w:hanging="188"/>
        <w:spacing w:after="0"/>
        <w:tabs>
          <w:tab w:leader="none" w:pos="340" w:val="left"/>
        </w:tabs>
        <w:numPr>
          <w:ilvl w:val="0"/>
          <w:numId w:val="49"/>
        </w:numPr>
        <w:rPr>
          <w:rFonts w:ascii="Arial" w:cs="Arial" w:eastAsia="Arial" w:hAnsi="Arial"/>
          <w:sz w:val="18"/>
          <w:szCs w:val="18"/>
          <w:color w:val="auto"/>
        </w:rPr>
      </w:pPr>
      <w:r>
        <w:rPr>
          <w:rFonts w:ascii="Arial" w:cs="Arial" w:eastAsia="Arial" w:hAnsi="Arial"/>
          <w:sz w:val="18"/>
          <w:szCs w:val="18"/>
          <w:color w:val="auto"/>
        </w:rPr>
        <w:t>$8 million increased AFUDC related to equity net of higher interest expense;</w:t>
      </w:r>
    </w:p>
    <w:p>
      <w:pPr>
        <w:spacing w:after="0" w:line="252" w:lineRule="exact"/>
        <w:rPr>
          <w:rFonts w:ascii="Arial" w:cs="Arial" w:eastAsia="Arial" w:hAnsi="Arial"/>
          <w:sz w:val="18"/>
          <w:szCs w:val="18"/>
          <w:color w:val="auto"/>
        </w:rPr>
      </w:pPr>
    </w:p>
    <w:p>
      <w:pPr>
        <w:ind w:left="340" w:hanging="188"/>
        <w:spacing w:after="0"/>
        <w:tabs>
          <w:tab w:leader="none" w:pos="340" w:val="left"/>
        </w:tabs>
        <w:numPr>
          <w:ilvl w:val="0"/>
          <w:numId w:val="49"/>
        </w:numPr>
        <w:rPr>
          <w:rFonts w:ascii="Arial" w:cs="Arial" w:eastAsia="Arial" w:hAnsi="Arial"/>
          <w:sz w:val="18"/>
          <w:szCs w:val="18"/>
          <w:color w:val="auto"/>
        </w:rPr>
      </w:pPr>
      <w:r>
        <w:rPr>
          <w:rFonts w:ascii="Arial" w:cs="Arial" w:eastAsia="Arial" w:hAnsi="Arial"/>
          <w:sz w:val="18"/>
          <w:szCs w:val="18"/>
          <w:color w:val="auto"/>
        </w:rPr>
        <w:t>$8 million lower expenses associated with the settlement of 2007 wildfire claims;</w:t>
      </w:r>
    </w:p>
    <w:p>
      <w:pPr>
        <w:spacing w:after="0" w:line="252" w:lineRule="exact"/>
        <w:rPr>
          <w:rFonts w:ascii="Arial" w:cs="Arial" w:eastAsia="Arial" w:hAnsi="Arial"/>
          <w:sz w:val="18"/>
          <w:szCs w:val="18"/>
          <w:color w:val="auto"/>
        </w:rPr>
      </w:pPr>
    </w:p>
    <w:p>
      <w:pPr>
        <w:ind w:left="340" w:hanging="188"/>
        <w:spacing w:after="0" w:line="277" w:lineRule="auto"/>
        <w:tabs>
          <w:tab w:leader="none" w:pos="340" w:val="left"/>
        </w:tabs>
        <w:numPr>
          <w:ilvl w:val="0"/>
          <w:numId w:val="49"/>
        </w:numPr>
        <w:rPr>
          <w:rFonts w:ascii="Arial" w:cs="Arial" w:eastAsia="Arial" w:hAnsi="Arial"/>
          <w:sz w:val="18"/>
          <w:szCs w:val="18"/>
          <w:b w:val="1"/>
          <w:bCs w:val="1"/>
          <w:color w:val="auto"/>
        </w:rPr>
      </w:pPr>
      <w:r>
        <w:rPr>
          <w:rFonts w:ascii="Arial" w:cs="Arial" w:eastAsia="Arial" w:hAnsi="Arial"/>
          <w:sz w:val="18"/>
          <w:szCs w:val="18"/>
          <w:color w:val="auto"/>
        </w:rPr>
        <w:t>$4 million higher authorized margin for California Public Utilities Commission (CPUC)-regulated operations, net of higher operation and maintenance expenses (excluding insurance premiums for wildfire coverage and litigation-related expenses); and</w:t>
      </w:r>
    </w:p>
    <w:p>
      <w:pPr>
        <w:spacing w:after="0" w:line="193" w:lineRule="exact"/>
        <w:rPr>
          <w:rFonts w:ascii="Arial" w:cs="Arial" w:eastAsia="Arial" w:hAnsi="Arial"/>
          <w:sz w:val="18"/>
          <w:szCs w:val="18"/>
          <w:b w:val="1"/>
          <w:bCs w:val="1"/>
          <w:color w:val="auto"/>
        </w:rPr>
      </w:pPr>
    </w:p>
    <w:p>
      <w:pPr>
        <w:ind w:left="340" w:hanging="188"/>
        <w:spacing w:after="0"/>
        <w:tabs>
          <w:tab w:leader="none" w:pos="340" w:val="left"/>
        </w:tabs>
        <w:numPr>
          <w:ilvl w:val="0"/>
          <w:numId w:val="49"/>
        </w:numPr>
        <w:rPr>
          <w:rFonts w:ascii="Arial" w:cs="Arial" w:eastAsia="Arial" w:hAnsi="Arial"/>
          <w:sz w:val="16"/>
          <w:szCs w:val="16"/>
          <w:b w:val="1"/>
          <w:bCs w:val="1"/>
          <w:color w:val="auto"/>
        </w:rPr>
      </w:pPr>
      <w:r>
        <w:rPr>
          <w:rFonts w:ascii="Arial" w:cs="Arial" w:eastAsia="Arial" w:hAnsi="Arial"/>
          <w:sz w:val="16"/>
          <w:szCs w:val="16"/>
          <w:color w:val="auto"/>
        </w:rPr>
        <w:t xml:space="preserve">$3 million due to the write-down of deferred tax assets as a result of a change in U.S. tax law regarding the Medicare Part D subsidy in 2010; </w:t>
      </w:r>
      <w:r>
        <w:rPr>
          <w:rFonts w:ascii="Arial" w:cs="Arial" w:eastAsia="Arial" w:hAnsi="Arial"/>
          <w:sz w:val="16"/>
          <w:szCs w:val="16"/>
          <w:b w:val="1"/>
          <w:bCs w:val="1"/>
          <w:color w:val="auto"/>
        </w:rPr>
        <w:t>offset by</w:t>
      </w:r>
    </w:p>
    <w:p>
      <w:pPr>
        <w:spacing w:after="0" w:line="279" w:lineRule="exact"/>
        <w:rPr>
          <w:rFonts w:ascii="Arial" w:cs="Arial" w:eastAsia="Arial" w:hAnsi="Arial"/>
          <w:sz w:val="16"/>
          <w:szCs w:val="16"/>
          <w:b w:val="1"/>
          <w:bCs w:val="1"/>
          <w:color w:val="auto"/>
        </w:rPr>
      </w:pPr>
    </w:p>
    <w:p>
      <w:pPr>
        <w:ind w:left="340" w:hanging="188"/>
        <w:spacing w:after="0"/>
        <w:tabs>
          <w:tab w:leader="none" w:pos="340" w:val="left"/>
        </w:tabs>
        <w:numPr>
          <w:ilvl w:val="0"/>
          <w:numId w:val="49"/>
        </w:numPr>
        <w:rPr>
          <w:rFonts w:ascii="Arial" w:cs="Arial" w:eastAsia="Arial" w:hAnsi="Arial"/>
          <w:sz w:val="18"/>
          <w:szCs w:val="18"/>
          <w:b w:val="1"/>
          <w:bCs w:val="1"/>
          <w:color w:val="auto"/>
        </w:rPr>
      </w:pPr>
      <w:r>
        <w:rPr>
          <w:rFonts w:ascii="Arial" w:cs="Arial" w:eastAsia="Arial" w:hAnsi="Arial"/>
          <w:sz w:val="18"/>
          <w:szCs w:val="18"/>
          <w:color w:val="auto"/>
        </w:rPr>
        <w:t>$12 million primarily from the resolution of litigation matters which had a favorable impact on earnings in 2010; and</w:t>
      </w:r>
    </w:p>
    <w:p>
      <w:pPr>
        <w:spacing w:after="0" w:line="252" w:lineRule="exact"/>
        <w:rPr>
          <w:rFonts w:ascii="Arial" w:cs="Arial" w:eastAsia="Arial" w:hAnsi="Arial"/>
          <w:sz w:val="18"/>
          <w:szCs w:val="18"/>
          <w:b w:val="1"/>
          <w:bCs w:val="1"/>
          <w:color w:val="auto"/>
        </w:rPr>
      </w:pPr>
    </w:p>
    <w:p>
      <w:pPr>
        <w:ind w:left="340" w:hanging="188"/>
        <w:spacing w:after="0"/>
        <w:tabs>
          <w:tab w:leader="none" w:pos="340" w:val="left"/>
        </w:tabs>
        <w:numPr>
          <w:ilvl w:val="0"/>
          <w:numId w:val="49"/>
        </w:numPr>
        <w:rPr>
          <w:rFonts w:ascii="Arial" w:cs="Arial" w:eastAsia="Arial" w:hAnsi="Arial"/>
          <w:sz w:val="18"/>
          <w:szCs w:val="18"/>
          <w:b w:val="1"/>
          <w:bCs w:val="1"/>
          <w:color w:val="auto"/>
        </w:rPr>
      </w:pPr>
      <w:r>
        <w:rPr>
          <w:rFonts w:ascii="Arial" w:cs="Arial" w:eastAsia="Arial" w:hAnsi="Arial"/>
          <w:sz w:val="18"/>
          <w:szCs w:val="18"/>
          <w:color w:val="auto"/>
        </w:rPr>
        <w:t>$7 million higher liability insurance premiums for wildfire coverage.</w:t>
      </w: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SoCalGas</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SoCalGas business unit earnings were</w:t>
      </w:r>
    </w:p>
    <w:p>
      <w:pPr>
        <w:spacing w:after="0" w:line="225" w:lineRule="exact"/>
        <w:rPr>
          <w:sz w:val="20"/>
          <w:szCs w:val="20"/>
          <w:color w:val="auto"/>
        </w:rPr>
      </w:pPr>
    </w:p>
    <w:p>
      <w:pPr>
        <w:ind w:left="340" w:hanging="188"/>
        <w:spacing w:after="0"/>
        <w:tabs>
          <w:tab w:leader="none" w:pos="340" w:val="left"/>
        </w:tabs>
        <w:numPr>
          <w:ilvl w:val="0"/>
          <w:numId w:val="50"/>
        </w:numPr>
        <w:rPr>
          <w:rFonts w:ascii="Arial" w:cs="Arial" w:eastAsia="Arial" w:hAnsi="Arial"/>
          <w:sz w:val="18"/>
          <w:szCs w:val="18"/>
          <w:color w:val="auto"/>
        </w:rPr>
      </w:pPr>
      <w:r>
        <w:rPr>
          <w:rFonts w:ascii="Arial" w:cs="Arial" w:eastAsia="Arial" w:hAnsi="Arial"/>
          <w:sz w:val="18"/>
          <w:szCs w:val="18"/>
          <w:color w:val="auto"/>
        </w:rPr>
        <w:t>$59 million in the three months ended June 30, 2011 ($60 million before preferred dividends)</w:t>
      </w:r>
    </w:p>
    <w:p>
      <w:pPr>
        <w:spacing w:after="0" w:line="252" w:lineRule="exact"/>
        <w:rPr>
          <w:rFonts w:ascii="Arial" w:cs="Arial" w:eastAsia="Arial" w:hAnsi="Arial"/>
          <w:sz w:val="18"/>
          <w:szCs w:val="18"/>
          <w:color w:val="auto"/>
        </w:rPr>
      </w:pPr>
    </w:p>
    <w:p>
      <w:pPr>
        <w:ind w:left="340" w:hanging="188"/>
        <w:spacing w:after="0"/>
        <w:tabs>
          <w:tab w:leader="none" w:pos="340" w:val="left"/>
        </w:tabs>
        <w:numPr>
          <w:ilvl w:val="0"/>
          <w:numId w:val="50"/>
        </w:numPr>
        <w:rPr>
          <w:rFonts w:ascii="Arial" w:cs="Arial" w:eastAsia="Arial" w:hAnsi="Arial"/>
          <w:sz w:val="18"/>
          <w:szCs w:val="18"/>
          <w:color w:val="auto"/>
        </w:rPr>
      </w:pPr>
      <w:r>
        <w:rPr>
          <w:rFonts w:ascii="Arial" w:cs="Arial" w:eastAsia="Arial" w:hAnsi="Arial"/>
          <w:sz w:val="18"/>
          <w:szCs w:val="18"/>
          <w:color w:val="auto"/>
        </w:rPr>
        <w:t>$69 million in the three months ended June 30, 2010 ($70 million before preferred dividends)</w:t>
      </w:r>
    </w:p>
    <w:p>
      <w:pPr>
        <w:spacing w:after="0" w:line="252" w:lineRule="exact"/>
        <w:rPr>
          <w:rFonts w:ascii="Arial" w:cs="Arial" w:eastAsia="Arial" w:hAnsi="Arial"/>
          <w:sz w:val="18"/>
          <w:szCs w:val="18"/>
          <w:color w:val="auto"/>
        </w:rPr>
      </w:pPr>
    </w:p>
    <w:p>
      <w:pPr>
        <w:ind w:left="340" w:hanging="188"/>
        <w:spacing w:after="0"/>
        <w:tabs>
          <w:tab w:leader="none" w:pos="340" w:val="left"/>
        </w:tabs>
        <w:numPr>
          <w:ilvl w:val="0"/>
          <w:numId w:val="50"/>
        </w:numPr>
        <w:rPr>
          <w:rFonts w:ascii="Arial" w:cs="Arial" w:eastAsia="Arial" w:hAnsi="Arial"/>
          <w:sz w:val="18"/>
          <w:szCs w:val="18"/>
          <w:color w:val="auto"/>
        </w:rPr>
      </w:pPr>
      <w:r>
        <w:rPr>
          <w:rFonts w:ascii="Arial" w:cs="Arial" w:eastAsia="Arial" w:hAnsi="Arial"/>
          <w:sz w:val="18"/>
          <w:szCs w:val="18"/>
          <w:color w:val="auto"/>
        </w:rPr>
        <w:t>$127 million for the first six months of 2011 ($128 million before preferred dividends)</w:t>
      </w:r>
    </w:p>
    <w:p>
      <w:pPr>
        <w:spacing w:after="0" w:line="252" w:lineRule="exact"/>
        <w:rPr>
          <w:rFonts w:ascii="Arial" w:cs="Arial" w:eastAsia="Arial" w:hAnsi="Arial"/>
          <w:sz w:val="18"/>
          <w:szCs w:val="18"/>
          <w:color w:val="auto"/>
        </w:rPr>
      </w:pPr>
    </w:p>
    <w:p>
      <w:pPr>
        <w:ind w:left="340" w:hanging="188"/>
        <w:spacing w:after="0"/>
        <w:tabs>
          <w:tab w:leader="none" w:pos="340" w:val="left"/>
        </w:tabs>
        <w:numPr>
          <w:ilvl w:val="0"/>
          <w:numId w:val="50"/>
        </w:numPr>
        <w:rPr>
          <w:rFonts w:ascii="Arial" w:cs="Arial" w:eastAsia="Arial" w:hAnsi="Arial"/>
          <w:sz w:val="18"/>
          <w:szCs w:val="18"/>
          <w:color w:val="auto"/>
        </w:rPr>
      </w:pPr>
      <w:r>
        <w:rPr>
          <w:rFonts w:ascii="Arial" w:cs="Arial" w:eastAsia="Arial" w:hAnsi="Arial"/>
          <w:sz w:val="18"/>
          <w:szCs w:val="18"/>
          <w:color w:val="auto"/>
        </w:rPr>
        <w:t>$134 million for the first six months of 2010 ($135 million before preferred dividends)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340" w:hanging="188"/>
        <w:spacing w:after="0"/>
        <w:tabs>
          <w:tab w:leader="none" w:pos="340" w:val="left"/>
        </w:tabs>
        <w:numPr>
          <w:ilvl w:val="0"/>
          <w:numId w:val="51"/>
        </w:numPr>
        <w:rPr>
          <w:rFonts w:ascii="Arial" w:cs="Arial" w:eastAsia="Arial" w:hAnsi="Arial"/>
          <w:sz w:val="16"/>
          <w:szCs w:val="16"/>
          <w:b w:val="1"/>
          <w:bCs w:val="1"/>
          <w:color w:val="auto"/>
        </w:rPr>
      </w:pPr>
      <w:r>
        <w:rPr>
          <w:rFonts w:ascii="Arial" w:cs="Arial" w:eastAsia="Arial" w:hAnsi="Arial"/>
          <w:sz w:val="16"/>
          <w:szCs w:val="16"/>
          <w:color w:val="auto"/>
        </w:rPr>
        <w:t>$7 million due to an increase in employee benefit costs and other operating expenses, net of higher authorized margin for CPUC-related operations;</w:t>
      </w:r>
    </w:p>
    <w:p>
      <w:pPr>
        <w:spacing w:after="0" w:line="275" w:lineRule="exact"/>
        <w:rPr>
          <w:rFonts w:ascii="Arial" w:cs="Arial" w:eastAsia="Arial" w:hAnsi="Arial"/>
          <w:sz w:val="16"/>
          <w:szCs w:val="16"/>
          <w:b w:val="1"/>
          <w:bCs w:val="1"/>
          <w:color w:val="auto"/>
        </w:rPr>
      </w:pPr>
    </w:p>
    <w:p>
      <w:pPr>
        <w:ind w:left="340" w:hanging="188"/>
        <w:spacing w:after="0"/>
        <w:tabs>
          <w:tab w:leader="none" w:pos="340" w:val="left"/>
        </w:tabs>
        <w:numPr>
          <w:ilvl w:val="0"/>
          <w:numId w:val="51"/>
        </w:numPr>
        <w:rPr>
          <w:rFonts w:ascii="Arial" w:cs="Arial" w:eastAsia="Arial" w:hAnsi="Arial"/>
          <w:sz w:val="18"/>
          <w:szCs w:val="18"/>
          <w:b w:val="1"/>
          <w:bCs w:val="1"/>
          <w:color w:val="auto"/>
        </w:rPr>
      </w:pPr>
      <w:r>
        <w:rPr>
          <w:rFonts w:ascii="Arial" w:cs="Arial" w:eastAsia="Arial" w:hAnsi="Arial"/>
          <w:sz w:val="18"/>
          <w:szCs w:val="18"/>
          <w:color w:val="auto"/>
        </w:rPr>
        <w:t>$1 million lower non-core storage revenues; and</w:t>
      </w:r>
    </w:p>
    <w:p>
      <w:pPr>
        <w:spacing w:after="0" w:line="252" w:lineRule="exact"/>
        <w:rPr>
          <w:rFonts w:ascii="Arial" w:cs="Arial" w:eastAsia="Arial" w:hAnsi="Arial"/>
          <w:sz w:val="18"/>
          <w:szCs w:val="18"/>
          <w:b w:val="1"/>
          <w:bCs w:val="1"/>
          <w:color w:val="auto"/>
        </w:rPr>
      </w:pPr>
    </w:p>
    <w:p>
      <w:pPr>
        <w:ind w:left="340" w:hanging="188"/>
        <w:spacing w:after="0"/>
        <w:tabs>
          <w:tab w:leader="none" w:pos="340" w:val="left"/>
        </w:tabs>
        <w:numPr>
          <w:ilvl w:val="0"/>
          <w:numId w:val="51"/>
        </w:numPr>
        <w:rPr>
          <w:rFonts w:ascii="Arial" w:cs="Arial" w:eastAsia="Arial" w:hAnsi="Arial"/>
          <w:sz w:val="18"/>
          <w:szCs w:val="18"/>
          <w:b w:val="1"/>
          <w:bCs w:val="1"/>
          <w:color w:val="auto"/>
        </w:rPr>
      </w:pPr>
      <w:r>
        <w:rPr>
          <w:rFonts w:ascii="Arial" w:cs="Arial" w:eastAsia="Arial" w:hAnsi="Arial"/>
          <w:sz w:val="18"/>
          <w:szCs w:val="18"/>
          <w:color w:val="auto"/>
        </w:rPr>
        <w:t>$1 million higher bad debt accruals.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340" w:hanging="188"/>
        <w:spacing w:after="0"/>
        <w:tabs>
          <w:tab w:leader="none" w:pos="340" w:val="left"/>
        </w:tabs>
        <w:numPr>
          <w:ilvl w:val="0"/>
          <w:numId w:val="52"/>
        </w:numPr>
        <w:rPr>
          <w:rFonts w:ascii="Arial" w:cs="Arial" w:eastAsia="Arial" w:hAnsi="Arial"/>
          <w:sz w:val="18"/>
          <w:szCs w:val="18"/>
          <w:b w:val="1"/>
          <w:bCs w:val="1"/>
          <w:color w:val="auto"/>
        </w:rPr>
      </w:pPr>
      <w:r>
        <w:rPr>
          <w:rFonts w:ascii="Arial" w:cs="Arial" w:eastAsia="Arial" w:hAnsi="Arial"/>
          <w:sz w:val="18"/>
          <w:szCs w:val="18"/>
          <w:color w:val="auto"/>
        </w:rPr>
        <w:t>$6 million lower regulatory awards;</w:t>
      </w:r>
    </w:p>
    <w:p>
      <w:pPr>
        <w:spacing w:after="0" w:line="252" w:lineRule="exact"/>
        <w:rPr>
          <w:rFonts w:ascii="Arial" w:cs="Arial" w:eastAsia="Arial" w:hAnsi="Arial"/>
          <w:sz w:val="18"/>
          <w:szCs w:val="18"/>
          <w:b w:val="1"/>
          <w:bCs w:val="1"/>
          <w:color w:val="auto"/>
        </w:rPr>
      </w:pPr>
    </w:p>
    <w:p>
      <w:pPr>
        <w:ind w:left="340" w:hanging="188"/>
        <w:spacing w:after="0"/>
        <w:tabs>
          <w:tab w:leader="none" w:pos="340" w:val="left"/>
        </w:tabs>
        <w:numPr>
          <w:ilvl w:val="0"/>
          <w:numId w:val="52"/>
        </w:numPr>
        <w:rPr>
          <w:rFonts w:ascii="Arial" w:cs="Arial" w:eastAsia="Arial" w:hAnsi="Arial"/>
          <w:sz w:val="16"/>
          <w:szCs w:val="16"/>
          <w:b w:val="1"/>
          <w:bCs w:val="1"/>
          <w:color w:val="auto"/>
        </w:rPr>
      </w:pPr>
      <w:r>
        <w:rPr>
          <w:rFonts w:ascii="Arial" w:cs="Arial" w:eastAsia="Arial" w:hAnsi="Arial"/>
          <w:sz w:val="16"/>
          <w:szCs w:val="16"/>
          <w:color w:val="auto"/>
        </w:rPr>
        <w:t>$6 million due to an increase in employee benefit costs and other operating expenses, net of higher authorized margin for CPUC-related operations;</w:t>
      </w:r>
    </w:p>
    <w:p>
      <w:pPr>
        <w:spacing w:after="0" w:line="275" w:lineRule="exact"/>
        <w:rPr>
          <w:rFonts w:ascii="Arial" w:cs="Arial" w:eastAsia="Arial" w:hAnsi="Arial"/>
          <w:sz w:val="16"/>
          <w:szCs w:val="16"/>
          <w:b w:val="1"/>
          <w:bCs w:val="1"/>
          <w:color w:val="auto"/>
        </w:rPr>
      </w:pPr>
    </w:p>
    <w:p>
      <w:pPr>
        <w:ind w:left="340" w:hanging="188"/>
        <w:spacing w:after="0"/>
        <w:tabs>
          <w:tab w:leader="none" w:pos="340" w:val="left"/>
        </w:tabs>
        <w:numPr>
          <w:ilvl w:val="0"/>
          <w:numId w:val="52"/>
        </w:numPr>
        <w:rPr>
          <w:rFonts w:ascii="Arial" w:cs="Arial" w:eastAsia="Arial" w:hAnsi="Arial"/>
          <w:sz w:val="18"/>
          <w:szCs w:val="18"/>
          <w:b w:val="1"/>
          <w:bCs w:val="1"/>
          <w:color w:val="auto"/>
        </w:rPr>
      </w:pPr>
      <w:r>
        <w:rPr>
          <w:rFonts w:ascii="Arial" w:cs="Arial" w:eastAsia="Arial" w:hAnsi="Arial"/>
          <w:sz w:val="18"/>
          <w:szCs w:val="18"/>
          <w:color w:val="auto"/>
        </w:rPr>
        <w:t>$2 million lower non-core storage revenues; and</w:t>
      </w:r>
    </w:p>
    <w:p>
      <w:pPr>
        <w:spacing w:after="0" w:line="248" w:lineRule="exact"/>
        <w:rPr>
          <w:rFonts w:ascii="Arial" w:cs="Arial" w:eastAsia="Arial" w:hAnsi="Arial"/>
          <w:sz w:val="18"/>
          <w:szCs w:val="18"/>
          <w:b w:val="1"/>
          <w:bCs w:val="1"/>
          <w:color w:val="auto"/>
        </w:rPr>
      </w:pPr>
    </w:p>
    <w:p>
      <w:pPr>
        <w:ind w:left="340" w:hanging="188"/>
        <w:spacing w:after="0"/>
        <w:tabs>
          <w:tab w:leader="none" w:pos="340" w:val="left"/>
        </w:tabs>
        <w:numPr>
          <w:ilvl w:val="0"/>
          <w:numId w:val="52"/>
        </w:numPr>
        <w:rPr>
          <w:rFonts w:ascii="Arial" w:cs="Arial" w:eastAsia="Arial" w:hAnsi="Arial"/>
          <w:sz w:val="18"/>
          <w:szCs w:val="18"/>
          <w:b w:val="1"/>
          <w:bCs w:val="1"/>
          <w:color w:val="auto"/>
        </w:rPr>
      </w:pPr>
      <w:r>
        <w:rPr>
          <w:rFonts w:ascii="Arial" w:cs="Arial" w:eastAsia="Arial" w:hAnsi="Arial"/>
          <w:sz w:val="18"/>
          <w:szCs w:val="18"/>
          <w:color w:val="auto"/>
        </w:rPr>
        <w:t xml:space="preserve">$2 million higher bad debt accruals; </w:t>
      </w:r>
      <w:r>
        <w:rPr>
          <w:rFonts w:ascii="Arial" w:cs="Arial" w:eastAsia="Arial" w:hAnsi="Arial"/>
          <w:sz w:val="18"/>
          <w:szCs w:val="18"/>
          <w:b w:val="1"/>
          <w:bCs w:val="1"/>
          <w:color w:val="auto"/>
        </w:rPr>
        <w:t>offset by</w:t>
      </w:r>
    </w:p>
    <w:p>
      <w:pPr>
        <w:spacing w:after="0" w:line="256" w:lineRule="exact"/>
        <w:rPr>
          <w:rFonts w:ascii="Arial" w:cs="Arial" w:eastAsia="Arial" w:hAnsi="Arial"/>
          <w:sz w:val="18"/>
          <w:szCs w:val="18"/>
          <w:b w:val="1"/>
          <w:bCs w:val="1"/>
          <w:color w:val="auto"/>
        </w:rPr>
      </w:pPr>
    </w:p>
    <w:p>
      <w:pPr>
        <w:ind w:left="340" w:hanging="188"/>
        <w:spacing w:after="0"/>
        <w:tabs>
          <w:tab w:leader="none" w:pos="340" w:val="left"/>
        </w:tabs>
        <w:numPr>
          <w:ilvl w:val="0"/>
          <w:numId w:val="52"/>
        </w:numPr>
        <w:rPr>
          <w:rFonts w:ascii="Arial" w:cs="Arial" w:eastAsia="Arial" w:hAnsi="Arial"/>
          <w:sz w:val="17"/>
          <w:szCs w:val="17"/>
          <w:color w:val="auto"/>
        </w:rPr>
      </w:pPr>
      <w:r>
        <w:rPr>
          <w:rFonts w:ascii="Arial" w:cs="Arial" w:eastAsia="Arial" w:hAnsi="Arial"/>
          <w:sz w:val="17"/>
          <w:szCs w:val="17"/>
          <w:color w:val="auto"/>
        </w:rPr>
        <w:t>$13 million due to the write-down of deferred tax assets as a result of the change in U.S. tax law regarding the Medicare Part D subsidy in 2010.</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EARNINGS BY BUSINESS UNIT – SEMPRA GLOBAL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-104775</wp:posOffset>
            </wp:positionV>
            <wp:extent cx="7246620" cy="22288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46620" cy="222885"/>
                    </a:xfrm>
                    <a:prstGeom prst="rect">
                      <a:avLst/>
                    </a:prstGeom>
                    <a:noFill/>
                  </pic:spPr>
                </pic:pic>
              </a:graphicData>
            </a:graphic>
          </wp:anchor>
        </w:drawing>
      </w:r>
    </w:p>
    <w:p>
      <w:pPr>
        <w:spacing w:after="0" w:line="8"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(Dollars in millions)</w:t>
      </w:r>
    </w:p>
    <w:p>
      <w:pPr>
        <w:sectPr>
          <w:pgSz w:w="11900" w:h="16838" w:orient="portrait"/>
          <w:cols w:equalWidth="0" w:num="1">
            <w:col w:w="11400"/>
          </w:cols>
          <w:pgMar w:left="240" w:top="364" w:right="259" w:bottom="1440" w:gutter="0" w:footer="0" w:header="0"/>
        </w:sectPr>
      </w:pPr>
    </w:p>
    <w:bookmarkStart w:id="54" w:name="page55"/>
    <w:bookmarkEnd w:id="5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6003290" cy="30016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clrChange>
                        <a:clrFrom>
                          <a:srgbClr val="FFFFFF"/>
                        </a:clrFrom>
                        <a:clrTo>
                          <a:srgbClr val="FFFFFF">
                            <a:alpha val="0"/>
                          </a:srgbClr>
                        </a:clrTo>
                      </a:clrChange>
                      <a:extLst>
                        <a:ext uri="{28A0092B-C50C-407E-A947-70E740481C1C}"/>
                      </a:extLst>
                    </a:blip>
                    <a:srcRect/>
                    <a:stretch>
                      <a:fillRect/>
                    </a:stretch>
                  </pic:blipFill>
                  <pic:spPr bwMode="auto">
                    <a:xfrm>
                      <a:off x="0" y="0"/>
                      <a:ext cx="6003290" cy="30016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Sempra Generation</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Sempra Generation recorded business unit earnings of:</w:t>
      </w:r>
    </w:p>
    <w:p>
      <w:pPr>
        <w:spacing w:after="0" w:line="225" w:lineRule="exact"/>
        <w:rPr>
          <w:sz w:val="20"/>
          <w:szCs w:val="20"/>
          <w:color w:val="auto"/>
        </w:rPr>
      </w:pPr>
    </w:p>
    <w:p>
      <w:pPr>
        <w:ind w:left="340" w:hanging="188"/>
        <w:spacing w:after="0"/>
        <w:tabs>
          <w:tab w:leader="none" w:pos="340" w:val="left"/>
        </w:tabs>
        <w:numPr>
          <w:ilvl w:val="0"/>
          <w:numId w:val="53"/>
        </w:numPr>
        <w:rPr>
          <w:rFonts w:ascii="Arial" w:cs="Arial" w:eastAsia="Arial" w:hAnsi="Arial"/>
          <w:sz w:val="18"/>
          <w:szCs w:val="18"/>
          <w:color w:val="auto"/>
        </w:rPr>
      </w:pPr>
      <w:r>
        <w:rPr>
          <w:rFonts w:ascii="Arial" w:cs="Arial" w:eastAsia="Arial" w:hAnsi="Arial"/>
          <w:sz w:val="18"/>
          <w:szCs w:val="18"/>
          <w:color w:val="auto"/>
        </w:rPr>
        <w:t>$50 million in the three months ended June 30, 2011</w:t>
      </w:r>
    </w:p>
    <w:p>
      <w:pPr>
        <w:spacing w:after="0" w:line="252" w:lineRule="exact"/>
        <w:rPr>
          <w:rFonts w:ascii="Arial" w:cs="Arial" w:eastAsia="Arial" w:hAnsi="Arial"/>
          <w:sz w:val="18"/>
          <w:szCs w:val="18"/>
          <w:color w:val="auto"/>
        </w:rPr>
      </w:pPr>
    </w:p>
    <w:p>
      <w:pPr>
        <w:ind w:left="340" w:hanging="188"/>
        <w:spacing w:after="0"/>
        <w:tabs>
          <w:tab w:leader="none" w:pos="340" w:val="left"/>
        </w:tabs>
        <w:numPr>
          <w:ilvl w:val="0"/>
          <w:numId w:val="53"/>
        </w:numPr>
        <w:rPr>
          <w:rFonts w:ascii="Arial" w:cs="Arial" w:eastAsia="Arial" w:hAnsi="Arial"/>
          <w:sz w:val="18"/>
          <w:szCs w:val="18"/>
          <w:color w:val="auto"/>
        </w:rPr>
      </w:pPr>
      <w:r>
        <w:rPr>
          <w:rFonts w:ascii="Arial" w:cs="Arial" w:eastAsia="Arial" w:hAnsi="Arial"/>
          <w:sz w:val="18"/>
          <w:szCs w:val="18"/>
          <w:color w:val="auto"/>
        </w:rPr>
        <w:t>$52 million in the three months ended June 30, 2010</w:t>
      </w:r>
    </w:p>
    <w:p>
      <w:pPr>
        <w:spacing w:after="0" w:line="252" w:lineRule="exact"/>
        <w:rPr>
          <w:rFonts w:ascii="Arial" w:cs="Arial" w:eastAsia="Arial" w:hAnsi="Arial"/>
          <w:sz w:val="18"/>
          <w:szCs w:val="18"/>
          <w:color w:val="auto"/>
        </w:rPr>
      </w:pPr>
    </w:p>
    <w:p>
      <w:pPr>
        <w:ind w:left="340" w:hanging="188"/>
        <w:spacing w:after="0"/>
        <w:tabs>
          <w:tab w:leader="none" w:pos="340" w:val="left"/>
        </w:tabs>
        <w:numPr>
          <w:ilvl w:val="0"/>
          <w:numId w:val="53"/>
        </w:numPr>
        <w:rPr>
          <w:rFonts w:ascii="Arial" w:cs="Arial" w:eastAsia="Arial" w:hAnsi="Arial"/>
          <w:sz w:val="18"/>
          <w:szCs w:val="18"/>
          <w:color w:val="auto"/>
        </w:rPr>
      </w:pPr>
      <w:r>
        <w:rPr>
          <w:rFonts w:ascii="Arial" w:cs="Arial" w:eastAsia="Arial" w:hAnsi="Arial"/>
          <w:sz w:val="18"/>
          <w:szCs w:val="18"/>
          <w:color w:val="auto"/>
        </w:rPr>
        <w:t>$94 million for the first six months of 2011</w:t>
      </w:r>
    </w:p>
    <w:p>
      <w:pPr>
        <w:spacing w:after="0" w:line="252" w:lineRule="exact"/>
        <w:rPr>
          <w:rFonts w:ascii="Arial" w:cs="Arial" w:eastAsia="Arial" w:hAnsi="Arial"/>
          <w:sz w:val="18"/>
          <w:szCs w:val="18"/>
          <w:color w:val="auto"/>
        </w:rPr>
      </w:pPr>
    </w:p>
    <w:p>
      <w:pPr>
        <w:ind w:left="340" w:hanging="188"/>
        <w:spacing w:after="0"/>
        <w:tabs>
          <w:tab w:leader="none" w:pos="340" w:val="left"/>
        </w:tabs>
        <w:numPr>
          <w:ilvl w:val="0"/>
          <w:numId w:val="53"/>
        </w:numPr>
        <w:rPr>
          <w:rFonts w:ascii="Arial" w:cs="Arial" w:eastAsia="Arial" w:hAnsi="Arial"/>
          <w:sz w:val="18"/>
          <w:szCs w:val="18"/>
          <w:color w:val="auto"/>
        </w:rPr>
      </w:pPr>
      <w:r>
        <w:rPr>
          <w:rFonts w:ascii="Arial" w:cs="Arial" w:eastAsia="Arial" w:hAnsi="Arial"/>
          <w:sz w:val="18"/>
          <w:szCs w:val="18"/>
          <w:color w:val="auto"/>
        </w:rPr>
        <w:t>$1 million for the first six months of 2010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340" w:hanging="188"/>
        <w:spacing w:after="0" w:line="277" w:lineRule="auto"/>
        <w:tabs>
          <w:tab w:leader="none" w:pos="340" w:val="left"/>
        </w:tabs>
        <w:numPr>
          <w:ilvl w:val="0"/>
          <w:numId w:val="54"/>
        </w:numPr>
        <w:rPr>
          <w:rFonts w:ascii="Arial" w:cs="Arial" w:eastAsia="Arial" w:hAnsi="Arial"/>
          <w:sz w:val="18"/>
          <w:szCs w:val="18"/>
          <w:color w:val="auto"/>
        </w:rPr>
      </w:pPr>
      <w:r>
        <w:rPr>
          <w:rFonts w:ascii="Arial" w:cs="Arial" w:eastAsia="Arial" w:hAnsi="Arial"/>
          <w:sz w:val="18"/>
          <w:szCs w:val="18"/>
          <w:color w:val="auto"/>
        </w:rPr>
        <w:t>$84 million decreased litigation expense primarily related to a 2010 agreement to settle energy crisis litigation, as we discuss in Note 16 of the Notes to Consolidated Financial Statements in the Annual Report; and</w:t>
      </w:r>
    </w:p>
    <w:p>
      <w:pPr>
        <w:spacing w:after="0" w:line="197" w:lineRule="exact"/>
        <w:rPr>
          <w:rFonts w:ascii="Arial" w:cs="Arial" w:eastAsia="Arial" w:hAnsi="Arial"/>
          <w:sz w:val="18"/>
          <w:szCs w:val="18"/>
          <w:color w:val="auto"/>
        </w:rPr>
      </w:pPr>
    </w:p>
    <w:p>
      <w:pPr>
        <w:ind w:left="340" w:hanging="188"/>
        <w:spacing w:after="0" w:line="277" w:lineRule="auto"/>
        <w:tabs>
          <w:tab w:leader="none" w:pos="340" w:val="left"/>
        </w:tabs>
        <w:numPr>
          <w:ilvl w:val="0"/>
          <w:numId w:val="54"/>
        </w:numPr>
        <w:rPr>
          <w:rFonts w:ascii="Arial" w:cs="Arial" w:eastAsia="Arial" w:hAnsi="Arial"/>
          <w:sz w:val="18"/>
          <w:szCs w:val="18"/>
          <w:color w:val="auto"/>
        </w:rPr>
      </w:pPr>
      <w:r>
        <w:rPr>
          <w:rFonts w:ascii="Arial" w:cs="Arial" w:eastAsia="Arial" w:hAnsi="Arial"/>
          <w:sz w:val="18"/>
          <w:szCs w:val="18"/>
          <w:color w:val="auto"/>
        </w:rPr>
        <w:t xml:space="preserve">$15 million lower operation and maintenance costs as a result of 2010 scheduled plant maintenance and earthquake damage to our Mexicali power plant; </w:t>
      </w:r>
      <w:r>
        <w:rPr>
          <w:rFonts w:ascii="Arial" w:cs="Arial" w:eastAsia="Arial" w:hAnsi="Arial"/>
          <w:sz w:val="18"/>
          <w:szCs w:val="18"/>
          <w:b w:val="1"/>
          <w:bCs w:val="1"/>
          <w:color w:val="auto"/>
        </w:rPr>
        <w:t>offset by</w:t>
      </w:r>
    </w:p>
    <w:p>
      <w:pPr>
        <w:spacing w:after="0" w:line="197" w:lineRule="exact"/>
        <w:rPr>
          <w:rFonts w:ascii="Arial" w:cs="Arial" w:eastAsia="Arial" w:hAnsi="Arial"/>
          <w:sz w:val="18"/>
          <w:szCs w:val="18"/>
          <w:color w:val="auto"/>
        </w:rPr>
      </w:pPr>
    </w:p>
    <w:p>
      <w:pPr>
        <w:ind w:left="340" w:hanging="188"/>
        <w:spacing w:after="0"/>
        <w:tabs>
          <w:tab w:leader="none" w:pos="340" w:val="left"/>
        </w:tabs>
        <w:numPr>
          <w:ilvl w:val="0"/>
          <w:numId w:val="54"/>
        </w:numPr>
        <w:rPr>
          <w:rFonts w:ascii="Arial" w:cs="Arial" w:eastAsia="Arial" w:hAnsi="Arial"/>
          <w:sz w:val="18"/>
          <w:szCs w:val="18"/>
          <w:color w:val="auto"/>
        </w:rPr>
      </w:pPr>
      <w:r>
        <w:rPr>
          <w:rFonts w:ascii="Arial" w:cs="Arial" w:eastAsia="Arial" w:hAnsi="Arial"/>
          <w:sz w:val="18"/>
          <w:szCs w:val="18"/>
          <w:color w:val="auto"/>
        </w:rPr>
        <w:t>$4 million higher depreciation expense.</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Sempra Pipelines &amp; Storage</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Sempra Pipelines &amp; Storage recorded business unit earnings of:</w:t>
      </w:r>
    </w:p>
    <w:p>
      <w:pPr>
        <w:spacing w:after="0" w:line="225" w:lineRule="exact"/>
        <w:rPr>
          <w:sz w:val="20"/>
          <w:szCs w:val="20"/>
          <w:color w:val="auto"/>
        </w:rPr>
      </w:pPr>
    </w:p>
    <w:p>
      <w:pPr>
        <w:ind w:left="340" w:hanging="188"/>
        <w:spacing w:after="0"/>
        <w:tabs>
          <w:tab w:leader="none" w:pos="340" w:val="left"/>
        </w:tabs>
        <w:numPr>
          <w:ilvl w:val="0"/>
          <w:numId w:val="55"/>
        </w:numPr>
        <w:rPr>
          <w:rFonts w:ascii="Arial" w:cs="Arial" w:eastAsia="Arial" w:hAnsi="Arial"/>
          <w:sz w:val="18"/>
          <w:szCs w:val="18"/>
          <w:color w:val="auto"/>
        </w:rPr>
      </w:pPr>
      <w:r>
        <w:rPr>
          <w:rFonts w:ascii="Arial" w:cs="Arial" w:eastAsia="Arial" w:hAnsi="Arial"/>
          <w:sz w:val="18"/>
          <w:szCs w:val="18"/>
          <w:color w:val="auto"/>
        </w:rPr>
        <w:t>$337 million in the three months ended June 30, 2011</w:t>
      </w:r>
    </w:p>
    <w:p>
      <w:pPr>
        <w:spacing w:after="0" w:line="252" w:lineRule="exact"/>
        <w:rPr>
          <w:rFonts w:ascii="Arial" w:cs="Arial" w:eastAsia="Arial" w:hAnsi="Arial"/>
          <w:sz w:val="18"/>
          <w:szCs w:val="18"/>
          <w:color w:val="auto"/>
        </w:rPr>
      </w:pPr>
    </w:p>
    <w:p>
      <w:pPr>
        <w:ind w:left="340" w:hanging="188"/>
        <w:spacing w:after="0"/>
        <w:tabs>
          <w:tab w:leader="none" w:pos="340" w:val="left"/>
        </w:tabs>
        <w:numPr>
          <w:ilvl w:val="0"/>
          <w:numId w:val="55"/>
        </w:numPr>
        <w:rPr>
          <w:rFonts w:ascii="Arial" w:cs="Arial" w:eastAsia="Arial" w:hAnsi="Arial"/>
          <w:sz w:val="18"/>
          <w:szCs w:val="18"/>
          <w:color w:val="auto"/>
        </w:rPr>
      </w:pPr>
      <w:r>
        <w:rPr>
          <w:rFonts w:ascii="Arial" w:cs="Arial" w:eastAsia="Arial" w:hAnsi="Arial"/>
          <w:sz w:val="18"/>
          <w:szCs w:val="18"/>
          <w:color w:val="auto"/>
        </w:rPr>
        <w:t>$39 million in the three months ended June 30, 2010</w:t>
      </w:r>
    </w:p>
    <w:p>
      <w:pPr>
        <w:spacing w:after="0" w:line="252" w:lineRule="exact"/>
        <w:rPr>
          <w:rFonts w:ascii="Arial" w:cs="Arial" w:eastAsia="Arial" w:hAnsi="Arial"/>
          <w:sz w:val="18"/>
          <w:szCs w:val="18"/>
          <w:color w:val="auto"/>
        </w:rPr>
      </w:pPr>
    </w:p>
    <w:p>
      <w:pPr>
        <w:ind w:left="340" w:hanging="188"/>
        <w:spacing w:after="0"/>
        <w:tabs>
          <w:tab w:leader="none" w:pos="340" w:val="left"/>
        </w:tabs>
        <w:numPr>
          <w:ilvl w:val="0"/>
          <w:numId w:val="55"/>
        </w:numPr>
        <w:rPr>
          <w:rFonts w:ascii="Arial" w:cs="Arial" w:eastAsia="Arial" w:hAnsi="Arial"/>
          <w:sz w:val="18"/>
          <w:szCs w:val="18"/>
          <w:color w:val="auto"/>
        </w:rPr>
      </w:pPr>
      <w:r>
        <w:rPr>
          <w:rFonts w:ascii="Arial" w:cs="Arial" w:eastAsia="Arial" w:hAnsi="Arial"/>
          <w:sz w:val="18"/>
          <w:szCs w:val="18"/>
          <w:color w:val="auto"/>
        </w:rPr>
        <w:t>$391 million for the first six months of 2011</w:t>
      </w:r>
    </w:p>
    <w:p>
      <w:pPr>
        <w:spacing w:after="0" w:line="252" w:lineRule="exact"/>
        <w:rPr>
          <w:rFonts w:ascii="Arial" w:cs="Arial" w:eastAsia="Arial" w:hAnsi="Arial"/>
          <w:sz w:val="18"/>
          <w:szCs w:val="18"/>
          <w:color w:val="auto"/>
        </w:rPr>
      </w:pPr>
    </w:p>
    <w:p>
      <w:pPr>
        <w:ind w:left="340" w:hanging="188"/>
        <w:spacing w:after="0"/>
        <w:tabs>
          <w:tab w:leader="none" w:pos="340" w:val="left"/>
        </w:tabs>
        <w:numPr>
          <w:ilvl w:val="0"/>
          <w:numId w:val="55"/>
        </w:numPr>
        <w:rPr>
          <w:rFonts w:ascii="Arial" w:cs="Arial" w:eastAsia="Arial" w:hAnsi="Arial"/>
          <w:sz w:val="18"/>
          <w:szCs w:val="18"/>
          <w:color w:val="auto"/>
        </w:rPr>
      </w:pPr>
      <w:r>
        <w:rPr>
          <w:rFonts w:ascii="Arial" w:cs="Arial" w:eastAsia="Arial" w:hAnsi="Arial"/>
          <w:sz w:val="18"/>
          <w:szCs w:val="18"/>
          <w:color w:val="auto"/>
        </w:rPr>
        <w:t>$77 million for the first six months of 2010</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340" w:hanging="188"/>
        <w:spacing w:after="0"/>
        <w:tabs>
          <w:tab w:leader="none" w:pos="340" w:val="left"/>
        </w:tabs>
        <w:numPr>
          <w:ilvl w:val="0"/>
          <w:numId w:val="56"/>
        </w:numPr>
        <w:rPr>
          <w:rFonts w:ascii="Arial" w:cs="Arial" w:eastAsia="Arial" w:hAnsi="Arial"/>
          <w:sz w:val="18"/>
          <w:szCs w:val="18"/>
          <w:b w:val="1"/>
          <w:bCs w:val="1"/>
          <w:color w:val="auto"/>
        </w:rPr>
      </w:pPr>
      <w:r>
        <w:rPr>
          <w:rFonts w:ascii="Arial" w:cs="Arial" w:eastAsia="Arial" w:hAnsi="Arial"/>
          <w:sz w:val="18"/>
          <w:szCs w:val="18"/>
          <w:color w:val="auto"/>
        </w:rPr>
        <w:t>$277 million gain related to the remeasurement of the Chilquinta Energía and Luz del Sur equity method investments;</w:t>
      </w:r>
    </w:p>
    <w:p>
      <w:pPr>
        <w:spacing w:after="0" w:line="252" w:lineRule="exact"/>
        <w:rPr>
          <w:rFonts w:ascii="Arial" w:cs="Arial" w:eastAsia="Arial" w:hAnsi="Arial"/>
          <w:sz w:val="18"/>
          <w:szCs w:val="18"/>
          <w:b w:val="1"/>
          <w:bCs w:val="1"/>
          <w:color w:val="auto"/>
        </w:rPr>
      </w:pPr>
    </w:p>
    <w:p>
      <w:pPr>
        <w:ind w:left="340" w:hanging="188"/>
        <w:spacing w:after="0"/>
        <w:tabs>
          <w:tab w:leader="none" w:pos="340" w:val="left"/>
        </w:tabs>
        <w:numPr>
          <w:ilvl w:val="0"/>
          <w:numId w:val="56"/>
        </w:numPr>
        <w:rPr>
          <w:rFonts w:ascii="Arial" w:cs="Arial" w:eastAsia="Arial" w:hAnsi="Arial"/>
          <w:sz w:val="17"/>
          <w:szCs w:val="17"/>
          <w:color w:val="auto"/>
        </w:rPr>
      </w:pPr>
      <w:r>
        <w:rPr>
          <w:rFonts w:ascii="Arial" w:cs="Arial" w:eastAsia="Arial" w:hAnsi="Arial"/>
          <w:sz w:val="17"/>
          <w:szCs w:val="17"/>
          <w:color w:val="auto"/>
        </w:rPr>
        <w:t>$14 million higher earnings primarily related to the acquisition of additional interests in Chilquinta Energía and Luz del Sur in April 2011; and</w:t>
      </w:r>
    </w:p>
    <w:p>
      <w:pPr>
        <w:spacing w:after="0" w:line="263" w:lineRule="exact"/>
        <w:rPr>
          <w:rFonts w:ascii="Arial" w:cs="Arial" w:eastAsia="Arial" w:hAnsi="Arial"/>
          <w:sz w:val="17"/>
          <w:szCs w:val="17"/>
          <w:color w:val="auto"/>
        </w:rPr>
      </w:pPr>
    </w:p>
    <w:p>
      <w:pPr>
        <w:ind w:left="340" w:hanging="188"/>
        <w:spacing w:after="0"/>
        <w:tabs>
          <w:tab w:leader="none" w:pos="340" w:val="left"/>
        </w:tabs>
        <w:numPr>
          <w:ilvl w:val="0"/>
          <w:numId w:val="56"/>
        </w:numPr>
        <w:rPr>
          <w:rFonts w:ascii="Arial" w:cs="Arial" w:eastAsia="Arial" w:hAnsi="Arial"/>
          <w:sz w:val="18"/>
          <w:szCs w:val="18"/>
          <w:b w:val="1"/>
          <w:bCs w:val="1"/>
          <w:color w:val="auto"/>
        </w:rPr>
      </w:pPr>
      <w:r>
        <w:rPr>
          <w:rFonts w:ascii="Arial" w:cs="Arial" w:eastAsia="Arial" w:hAnsi="Arial"/>
          <w:sz w:val="18"/>
          <w:szCs w:val="18"/>
          <w:color w:val="auto"/>
        </w:rPr>
        <w:t>$5 million higher earnings from pipeline assets in Mexico acquired in April 2010.</w:t>
      </w:r>
    </w:p>
    <w:p>
      <w:pPr>
        <w:sectPr>
          <w:pgSz w:w="11900" w:h="16838" w:orient="portrait"/>
          <w:cols w:equalWidth="0" w:num="1">
            <w:col w:w="11420"/>
          </w:cols>
          <w:pgMar w:left="240" w:top="1440" w:right="239" w:bottom="32" w:gutter="0" w:footer="0" w:header="0"/>
        </w:sectPr>
      </w:pPr>
    </w:p>
    <w:bookmarkStart w:id="55" w:name="page56"/>
    <w:bookmarkEnd w:id="55"/>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The increase of $314 million for the first six months of 2011 was primarily due to:</w:t>
      </w:r>
    </w:p>
    <w:p>
      <w:pPr>
        <w:spacing w:after="0" w:line="225" w:lineRule="exact"/>
        <w:rPr>
          <w:sz w:val="20"/>
          <w:szCs w:val="20"/>
          <w:color w:val="auto"/>
        </w:rPr>
      </w:pPr>
    </w:p>
    <w:p>
      <w:pPr>
        <w:ind w:left="340" w:hanging="188"/>
        <w:spacing w:after="0"/>
        <w:tabs>
          <w:tab w:leader="none" w:pos="340" w:val="left"/>
        </w:tabs>
        <w:numPr>
          <w:ilvl w:val="0"/>
          <w:numId w:val="57"/>
        </w:numPr>
        <w:rPr>
          <w:rFonts w:ascii="Arial" w:cs="Arial" w:eastAsia="Arial" w:hAnsi="Arial"/>
          <w:sz w:val="18"/>
          <w:szCs w:val="18"/>
          <w:b w:val="1"/>
          <w:bCs w:val="1"/>
          <w:color w:val="auto"/>
        </w:rPr>
      </w:pPr>
      <w:r>
        <w:rPr>
          <w:rFonts w:ascii="Arial" w:cs="Arial" w:eastAsia="Arial" w:hAnsi="Arial"/>
          <w:sz w:val="18"/>
          <w:szCs w:val="18"/>
          <w:color w:val="auto"/>
        </w:rPr>
        <w:t>$277 million gain related to the remeasurement of the Chilquinta Energía and Luz del Sur equity method investments;</w:t>
      </w:r>
    </w:p>
    <w:p>
      <w:pPr>
        <w:spacing w:after="0" w:line="252" w:lineRule="exact"/>
        <w:rPr>
          <w:rFonts w:ascii="Arial" w:cs="Arial" w:eastAsia="Arial" w:hAnsi="Arial"/>
          <w:sz w:val="18"/>
          <w:szCs w:val="18"/>
          <w:b w:val="1"/>
          <w:bCs w:val="1"/>
          <w:color w:val="auto"/>
        </w:rPr>
      </w:pPr>
    </w:p>
    <w:p>
      <w:pPr>
        <w:ind w:left="340" w:hanging="188"/>
        <w:spacing w:after="0"/>
        <w:tabs>
          <w:tab w:leader="none" w:pos="340" w:val="left"/>
        </w:tabs>
        <w:numPr>
          <w:ilvl w:val="0"/>
          <w:numId w:val="57"/>
        </w:numPr>
        <w:rPr>
          <w:rFonts w:ascii="Arial" w:cs="Arial" w:eastAsia="Arial" w:hAnsi="Arial"/>
          <w:sz w:val="17"/>
          <w:szCs w:val="17"/>
          <w:color w:val="auto"/>
        </w:rPr>
      </w:pPr>
      <w:r>
        <w:rPr>
          <w:rFonts w:ascii="Arial" w:cs="Arial" w:eastAsia="Arial" w:hAnsi="Arial"/>
          <w:sz w:val="17"/>
          <w:szCs w:val="17"/>
          <w:color w:val="auto"/>
        </w:rPr>
        <w:t>$20 million higher earnings primarily related to the acquisition of additional interests in Chilquinta Energía and Luz del Sur in April 2011; and</w:t>
      </w:r>
    </w:p>
    <w:p>
      <w:pPr>
        <w:spacing w:after="0" w:line="263" w:lineRule="exact"/>
        <w:rPr>
          <w:rFonts w:ascii="Arial" w:cs="Arial" w:eastAsia="Arial" w:hAnsi="Arial"/>
          <w:sz w:val="17"/>
          <w:szCs w:val="17"/>
          <w:color w:val="auto"/>
        </w:rPr>
      </w:pPr>
    </w:p>
    <w:p>
      <w:pPr>
        <w:ind w:left="340" w:hanging="188"/>
        <w:spacing w:after="0"/>
        <w:tabs>
          <w:tab w:leader="none" w:pos="340" w:val="left"/>
        </w:tabs>
        <w:numPr>
          <w:ilvl w:val="0"/>
          <w:numId w:val="57"/>
        </w:numPr>
        <w:rPr>
          <w:rFonts w:ascii="Arial" w:cs="Arial" w:eastAsia="Arial" w:hAnsi="Arial"/>
          <w:sz w:val="18"/>
          <w:szCs w:val="18"/>
          <w:b w:val="1"/>
          <w:bCs w:val="1"/>
          <w:color w:val="auto"/>
        </w:rPr>
      </w:pPr>
      <w:r>
        <w:rPr>
          <w:rFonts w:ascii="Arial" w:cs="Arial" w:eastAsia="Arial" w:hAnsi="Arial"/>
          <w:sz w:val="18"/>
          <w:szCs w:val="18"/>
          <w:color w:val="auto"/>
        </w:rPr>
        <w:t>$13 million higher earnings from pipeline assets in Mexico acquired in April 2010.</w:t>
      </w: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Sempra LNG</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Sempra LNG recorded earnings of:</w:t>
      </w:r>
    </w:p>
    <w:p>
      <w:pPr>
        <w:spacing w:after="0" w:line="225" w:lineRule="exact"/>
        <w:rPr>
          <w:sz w:val="20"/>
          <w:szCs w:val="20"/>
          <w:color w:val="auto"/>
        </w:rPr>
      </w:pPr>
    </w:p>
    <w:p>
      <w:pPr>
        <w:ind w:left="340" w:hanging="188"/>
        <w:spacing w:after="0"/>
        <w:tabs>
          <w:tab w:leader="none" w:pos="340" w:val="left"/>
        </w:tabs>
        <w:numPr>
          <w:ilvl w:val="0"/>
          <w:numId w:val="58"/>
        </w:numPr>
        <w:rPr>
          <w:rFonts w:ascii="Arial" w:cs="Arial" w:eastAsia="Arial" w:hAnsi="Arial"/>
          <w:sz w:val="18"/>
          <w:szCs w:val="18"/>
          <w:color w:val="auto"/>
        </w:rPr>
      </w:pPr>
      <w:r>
        <w:rPr>
          <w:rFonts w:ascii="Arial" w:cs="Arial" w:eastAsia="Arial" w:hAnsi="Arial"/>
          <w:sz w:val="18"/>
          <w:szCs w:val="18"/>
          <w:color w:val="auto"/>
        </w:rPr>
        <w:t>$18 million in the three months ended June 30, 2011</w:t>
      </w:r>
    </w:p>
    <w:p>
      <w:pPr>
        <w:spacing w:after="0" w:line="252" w:lineRule="exact"/>
        <w:rPr>
          <w:rFonts w:ascii="Arial" w:cs="Arial" w:eastAsia="Arial" w:hAnsi="Arial"/>
          <w:sz w:val="18"/>
          <w:szCs w:val="18"/>
          <w:color w:val="auto"/>
        </w:rPr>
      </w:pPr>
    </w:p>
    <w:p>
      <w:pPr>
        <w:ind w:left="340" w:hanging="188"/>
        <w:spacing w:after="0"/>
        <w:tabs>
          <w:tab w:leader="none" w:pos="340" w:val="left"/>
        </w:tabs>
        <w:numPr>
          <w:ilvl w:val="0"/>
          <w:numId w:val="58"/>
        </w:numPr>
        <w:rPr>
          <w:rFonts w:ascii="Arial" w:cs="Arial" w:eastAsia="Arial" w:hAnsi="Arial"/>
          <w:sz w:val="18"/>
          <w:szCs w:val="18"/>
          <w:color w:val="auto"/>
        </w:rPr>
      </w:pPr>
      <w:r>
        <w:rPr>
          <w:rFonts w:ascii="Arial" w:cs="Arial" w:eastAsia="Arial" w:hAnsi="Arial"/>
          <w:sz w:val="18"/>
          <w:szCs w:val="18"/>
          <w:color w:val="auto"/>
        </w:rPr>
        <w:t>$13 million in the three months ended June 30, 2010</w:t>
      </w:r>
    </w:p>
    <w:p>
      <w:pPr>
        <w:spacing w:after="0" w:line="252" w:lineRule="exact"/>
        <w:rPr>
          <w:rFonts w:ascii="Arial" w:cs="Arial" w:eastAsia="Arial" w:hAnsi="Arial"/>
          <w:sz w:val="18"/>
          <w:szCs w:val="18"/>
          <w:color w:val="auto"/>
        </w:rPr>
      </w:pPr>
    </w:p>
    <w:p>
      <w:pPr>
        <w:ind w:left="340" w:hanging="188"/>
        <w:spacing w:after="0"/>
        <w:tabs>
          <w:tab w:leader="none" w:pos="340" w:val="left"/>
        </w:tabs>
        <w:numPr>
          <w:ilvl w:val="0"/>
          <w:numId w:val="58"/>
        </w:numPr>
        <w:rPr>
          <w:rFonts w:ascii="Arial" w:cs="Arial" w:eastAsia="Arial" w:hAnsi="Arial"/>
          <w:sz w:val="18"/>
          <w:szCs w:val="18"/>
          <w:color w:val="auto"/>
        </w:rPr>
      </w:pPr>
      <w:r>
        <w:rPr>
          <w:rFonts w:ascii="Arial" w:cs="Arial" w:eastAsia="Arial" w:hAnsi="Arial"/>
          <w:sz w:val="18"/>
          <w:szCs w:val="18"/>
          <w:color w:val="auto"/>
        </w:rPr>
        <w:t>$51 million for the first six months of 2011</w:t>
      </w:r>
    </w:p>
    <w:p>
      <w:pPr>
        <w:spacing w:after="0" w:line="252" w:lineRule="exact"/>
        <w:rPr>
          <w:rFonts w:ascii="Arial" w:cs="Arial" w:eastAsia="Arial" w:hAnsi="Arial"/>
          <w:sz w:val="18"/>
          <w:szCs w:val="18"/>
          <w:color w:val="auto"/>
        </w:rPr>
      </w:pPr>
    </w:p>
    <w:p>
      <w:pPr>
        <w:ind w:left="340" w:hanging="188"/>
        <w:spacing w:after="0"/>
        <w:tabs>
          <w:tab w:leader="none" w:pos="340" w:val="left"/>
        </w:tabs>
        <w:numPr>
          <w:ilvl w:val="0"/>
          <w:numId w:val="58"/>
        </w:numPr>
        <w:rPr>
          <w:rFonts w:ascii="Arial" w:cs="Arial" w:eastAsia="Arial" w:hAnsi="Arial"/>
          <w:sz w:val="18"/>
          <w:szCs w:val="18"/>
          <w:color w:val="auto"/>
        </w:rPr>
      </w:pPr>
      <w:r>
        <w:rPr>
          <w:rFonts w:ascii="Arial" w:cs="Arial" w:eastAsia="Arial" w:hAnsi="Arial"/>
          <w:sz w:val="18"/>
          <w:szCs w:val="18"/>
          <w:color w:val="auto"/>
        </w:rPr>
        <w:t>$45 million for the first six months of 2010</w:t>
      </w:r>
    </w:p>
    <w:p>
      <w:pPr>
        <w:spacing w:after="0" w:line="25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increases of $5 million and $6 million in the three months and six months ended June 30, 2011, respectively, were primarily due to higher earnings from contractual counterparty obligations for non-delivery of cargoes.</w:t>
      </w:r>
    </w:p>
    <w:p>
      <w:pPr>
        <w:spacing w:after="0" w:line="384"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Parent and Other</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Losses for Parent and Other were</w:t>
      </w:r>
    </w:p>
    <w:p>
      <w:pPr>
        <w:spacing w:after="0" w:line="225" w:lineRule="exact"/>
        <w:rPr>
          <w:sz w:val="20"/>
          <w:szCs w:val="20"/>
          <w:color w:val="auto"/>
        </w:rPr>
      </w:pPr>
    </w:p>
    <w:p>
      <w:pPr>
        <w:ind w:left="340" w:hanging="188"/>
        <w:spacing w:after="0"/>
        <w:tabs>
          <w:tab w:leader="none" w:pos="340" w:val="left"/>
        </w:tabs>
        <w:numPr>
          <w:ilvl w:val="0"/>
          <w:numId w:val="59"/>
        </w:numPr>
        <w:rPr>
          <w:rFonts w:ascii="Arial" w:cs="Arial" w:eastAsia="Arial" w:hAnsi="Arial"/>
          <w:sz w:val="18"/>
          <w:szCs w:val="18"/>
          <w:color w:val="auto"/>
        </w:rPr>
      </w:pPr>
      <w:r>
        <w:rPr>
          <w:rFonts w:ascii="Arial" w:cs="Arial" w:eastAsia="Arial" w:hAnsi="Arial"/>
          <w:sz w:val="18"/>
          <w:szCs w:val="18"/>
          <w:color w:val="auto"/>
        </w:rPr>
        <w:t>$24 million in the three months ended June 30, 2011</w:t>
      </w:r>
    </w:p>
    <w:p>
      <w:pPr>
        <w:spacing w:after="0" w:line="252" w:lineRule="exact"/>
        <w:rPr>
          <w:rFonts w:ascii="Arial" w:cs="Arial" w:eastAsia="Arial" w:hAnsi="Arial"/>
          <w:sz w:val="18"/>
          <w:szCs w:val="18"/>
          <w:color w:val="auto"/>
        </w:rPr>
      </w:pPr>
    </w:p>
    <w:p>
      <w:pPr>
        <w:ind w:left="340" w:hanging="188"/>
        <w:spacing w:after="0"/>
        <w:tabs>
          <w:tab w:leader="none" w:pos="340" w:val="left"/>
        </w:tabs>
        <w:numPr>
          <w:ilvl w:val="0"/>
          <w:numId w:val="59"/>
        </w:numPr>
        <w:rPr>
          <w:rFonts w:ascii="Arial" w:cs="Arial" w:eastAsia="Arial" w:hAnsi="Arial"/>
          <w:sz w:val="18"/>
          <w:szCs w:val="18"/>
          <w:color w:val="auto"/>
        </w:rPr>
      </w:pPr>
      <w:r>
        <w:rPr>
          <w:rFonts w:ascii="Arial" w:cs="Arial" w:eastAsia="Arial" w:hAnsi="Arial"/>
          <w:sz w:val="18"/>
          <w:szCs w:val="18"/>
          <w:color w:val="auto"/>
        </w:rPr>
        <w:t>$26 million in the three months ended June 30, 2010</w:t>
      </w:r>
    </w:p>
    <w:p>
      <w:pPr>
        <w:spacing w:after="0" w:line="252" w:lineRule="exact"/>
        <w:rPr>
          <w:rFonts w:ascii="Arial" w:cs="Arial" w:eastAsia="Arial" w:hAnsi="Arial"/>
          <w:sz w:val="18"/>
          <w:szCs w:val="18"/>
          <w:color w:val="auto"/>
        </w:rPr>
      </w:pPr>
    </w:p>
    <w:p>
      <w:pPr>
        <w:ind w:left="340" w:hanging="188"/>
        <w:spacing w:after="0"/>
        <w:tabs>
          <w:tab w:leader="none" w:pos="340" w:val="left"/>
        </w:tabs>
        <w:numPr>
          <w:ilvl w:val="0"/>
          <w:numId w:val="59"/>
        </w:numPr>
        <w:rPr>
          <w:rFonts w:ascii="Arial" w:cs="Arial" w:eastAsia="Arial" w:hAnsi="Arial"/>
          <w:sz w:val="18"/>
          <w:szCs w:val="18"/>
          <w:color w:val="auto"/>
        </w:rPr>
      </w:pPr>
      <w:r>
        <w:rPr>
          <w:rFonts w:ascii="Arial" w:cs="Arial" w:eastAsia="Arial" w:hAnsi="Arial"/>
          <w:sz w:val="18"/>
          <w:szCs w:val="18"/>
          <w:color w:val="auto"/>
        </w:rPr>
        <w:t>$54 million for the first six months of 2011</w:t>
      </w:r>
    </w:p>
    <w:p>
      <w:pPr>
        <w:spacing w:after="0" w:line="252" w:lineRule="exact"/>
        <w:rPr>
          <w:rFonts w:ascii="Arial" w:cs="Arial" w:eastAsia="Arial" w:hAnsi="Arial"/>
          <w:sz w:val="18"/>
          <w:szCs w:val="18"/>
          <w:color w:val="auto"/>
        </w:rPr>
      </w:pPr>
    </w:p>
    <w:p>
      <w:pPr>
        <w:ind w:left="340" w:hanging="188"/>
        <w:spacing w:after="0"/>
        <w:tabs>
          <w:tab w:leader="none" w:pos="340" w:val="left"/>
        </w:tabs>
        <w:numPr>
          <w:ilvl w:val="0"/>
          <w:numId w:val="59"/>
        </w:numPr>
        <w:rPr>
          <w:rFonts w:ascii="Arial" w:cs="Arial" w:eastAsia="Arial" w:hAnsi="Arial"/>
          <w:sz w:val="18"/>
          <w:szCs w:val="18"/>
          <w:color w:val="auto"/>
        </w:rPr>
      </w:pPr>
      <w:r>
        <w:rPr>
          <w:rFonts w:ascii="Arial" w:cs="Arial" w:eastAsia="Arial" w:hAnsi="Arial"/>
          <w:sz w:val="18"/>
          <w:szCs w:val="18"/>
          <w:color w:val="auto"/>
        </w:rPr>
        <w:t>$87 million for the first six months of 2010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340" w:hanging="188"/>
        <w:spacing w:after="0"/>
        <w:tabs>
          <w:tab w:leader="none" w:pos="340" w:val="left"/>
        </w:tabs>
        <w:numPr>
          <w:ilvl w:val="0"/>
          <w:numId w:val="60"/>
        </w:numPr>
        <w:rPr>
          <w:rFonts w:ascii="Arial" w:cs="Arial" w:eastAsia="Arial" w:hAnsi="Arial"/>
          <w:sz w:val="18"/>
          <w:szCs w:val="18"/>
          <w:b w:val="1"/>
          <w:bCs w:val="1"/>
          <w:color w:val="auto"/>
        </w:rPr>
      </w:pPr>
      <w:r>
        <w:rPr>
          <w:rFonts w:ascii="Arial" w:cs="Arial" w:eastAsia="Arial" w:hAnsi="Arial"/>
          <w:sz w:val="18"/>
          <w:szCs w:val="18"/>
          <w:color w:val="auto"/>
        </w:rPr>
        <w:t>$26 million increase in income tax benefits; and</w:t>
      </w:r>
    </w:p>
    <w:p>
      <w:pPr>
        <w:spacing w:after="0" w:line="248" w:lineRule="exact"/>
        <w:rPr>
          <w:rFonts w:ascii="Arial" w:cs="Arial" w:eastAsia="Arial" w:hAnsi="Arial"/>
          <w:sz w:val="18"/>
          <w:szCs w:val="18"/>
          <w:b w:val="1"/>
          <w:bCs w:val="1"/>
          <w:color w:val="auto"/>
        </w:rPr>
      </w:pPr>
    </w:p>
    <w:p>
      <w:pPr>
        <w:ind w:left="340" w:hanging="188"/>
        <w:spacing w:after="0"/>
        <w:tabs>
          <w:tab w:leader="none" w:pos="340" w:val="left"/>
        </w:tabs>
        <w:numPr>
          <w:ilvl w:val="0"/>
          <w:numId w:val="60"/>
        </w:numPr>
        <w:rPr>
          <w:rFonts w:ascii="Arial" w:cs="Arial" w:eastAsia="Arial" w:hAnsi="Arial"/>
          <w:sz w:val="18"/>
          <w:szCs w:val="18"/>
          <w:b w:val="1"/>
          <w:bCs w:val="1"/>
          <w:color w:val="auto"/>
        </w:rPr>
      </w:pPr>
      <w:r>
        <w:rPr>
          <w:rFonts w:ascii="Arial" w:cs="Arial" w:eastAsia="Arial" w:hAnsi="Arial"/>
          <w:sz w:val="18"/>
          <w:szCs w:val="18"/>
          <w:color w:val="auto"/>
        </w:rPr>
        <w:t xml:space="preserve">$12 million energy crisis litigation expense recorded in 2010 related to our former commodities-marketing businesses; </w:t>
      </w:r>
      <w:r>
        <w:rPr>
          <w:rFonts w:ascii="Arial" w:cs="Arial" w:eastAsia="Arial" w:hAnsi="Arial"/>
          <w:sz w:val="18"/>
          <w:szCs w:val="18"/>
          <w:b w:val="1"/>
          <w:bCs w:val="1"/>
          <w:color w:val="auto"/>
        </w:rPr>
        <w:t>offset by</w:t>
      </w:r>
    </w:p>
    <w:p>
      <w:pPr>
        <w:spacing w:after="0" w:line="256" w:lineRule="exact"/>
        <w:rPr>
          <w:rFonts w:ascii="Arial" w:cs="Arial" w:eastAsia="Arial" w:hAnsi="Arial"/>
          <w:sz w:val="18"/>
          <w:szCs w:val="18"/>
          <w:b w:val="1"/>
          <w:bCs w:val="1"/>
          <w:color w:val="auto"/>
        </w:rPr>
      </w:pPr>
    </w:p>
    <w:p>
      <w:pPr>
        <w:ind w:left="340" w:hanging="188"/>
        <w:spacing w:after="0"/>
        <w:tabs>
          <w:tab w:leader="none" w:pos="340" w:val="left"/>
        </w:tabs>
        <w:numPr>
          <w:ilvl w:val="0"/>
          <w:numId w:val="60"/>
        </w:numPr>
        <w:rPr>
          <w:rFonts w:ascii="Arial" w:cs="Arial" w:eastAsia="Arial" w:hAnsi="Arial"/>
          <w:sz w:val="18"/>
          <w:szCs w:val="18"/>
          <w:b w:val="1"/>
          <w:bCs w:val="1"/>
          <w:color w:val="auto"/>
        </w:rPr>
      </w:pPr>
      <w:r>
        <w:rPr>
          <w:rFonts w:ascii="Arial" w:cs="Arial" w:eastAsia="Arial" w:hAnsi="Arial"/>
          <w:sz w:val="18"/>
          <w:szCs w:val="18"/>
          <w:color w:val="auto"/>
        </w:rPr>
        <w:t>$5 million equity losses from our former commodities-marketing businesses in 2011 compared to $6 million equity earnings in 2010.</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REVENUES, COSTS AND EARNINGS</w:t>
      </w:r>
    </w:p>
    <w:p>
      <w:pPr>
        <w:spacing w:after="0" w:line="234"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This section contains a discussion of the differences between periods in specific line items of the Condensed Consolidated Statements of Operations for Sempra Energy, SDG&amp;E and SoCalGas.</w:t>
      </w:r>
    </w:p>
    <w:p>
      <w:pPr>
        <w:spacing w:after="0" w:line="384"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Utilities Revenues</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Our utilities revenues include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Natural gas revenues at:</w:t>
      </w:r>
    </w:p>
    <w:p>
      <w:pPr>
        <w:spacing w:after="0" w:line="225" w:lineRule="exact"/>
        <w:rPr>
          <w:sz w:val="20"/>
          <w:szCs w:val="20"/>
          <w:color w:val="auto"/>
        </w:rPr>
      </w:pPr>
    </w:p>
    <w:p>
      <w:pPr>
        <w:ind w:left="340" w:hanging="188"/>
        <w:spacing w:after="0"/>
        <w:tabs>
          <w:tab w:leader="none" w:pos="340" w:val="left"/>
        </w:tabs>
        <w:numPr>
          <w:ilvl w:val="0"/>
          <w:numId w:val="61"/>
        </w:numPr>
        <w:rPr>
          <w:rFonts w:ascii="Arial" w:cs="Arial" w:eastAsia="Arial" w:hAnsi="Arial"/>
          <w:sz w:val="18"/>
          <w:szCs w:val="18"/>
          <w:color w:val="auto"/>
        </w:rPr>
      </w:pPr>
      <w:r>
        <w:rPr>
          <w:rFonts w:ascii="Arial" w:cs="Arial" w:eastAsia="Arial" w:hAnsi="Arial"/>
          <w:sz w:val="18"/>
          <w:szCs w:val="18"/>
          <w:color w:val="auto"/>
        </w:rPr>
        <w:t>SDG&amp;E</w:t>
      </w:r>
    </w:p>
    <w:p>
      <w:pPr>
        <w:spacing w:after="0" w:line="252" w:lineRule="exact"/>
        <w:rPr>
          <w:rFonts w:ascii="Arial" w:cs="Arial" w:eastAsia="Arial" w:hAnsi="Arial"/>
          <w:sz w:val="18"/>
          <w:szCs w:val="18"/>
          <w:color w:val="auto"/>
        </w:rPr>
      </w:pPr>
    </w:p>
    <w:p>
      <w:pPr>
        <w:ind w:left="340" w:hanging="188"/>
        <w:spacing w:after="0"/>
        <w:tabs>
          <w:tab w:leader="none" w:pos="340" w:val="left"/>
        </w:tabs>
        <w:numPr>
          <w:ilvl w:val="0"/>
          <w:numId w:val="61"/>
        </w:numPr>
        <w:rPr>
          <w:rFonts w:ascii="Arial" w:cs="Arial" w:eastAsia="Arial" w:hAnsi="Arial"/>
          <w:sz w:val="18"/>
          <w:szCs w:val="18"/>
          <w:color w:val="auto"/>
        </w:rPr>
      </w:pPr>
      <w:r>
        <w:rPr>
          <w:rFonts w:ascii="Arial" w:cs="Arial" w:eastAsia="Arial" w:hAnsi="Arial"/>
          <w:sz w:val="18"/>
          <w:szCs w:val="18"/>
          <w:color w:val="auto"/>
        </w:rPr>
        <w:t>SoCalGas</w:t>
      </w:r>
    </w:p>
    <w:p>
      <w:pPr>
        <w:spacing w:after="0" w:line="252" w:lineRule="exact"/>
        <w:rPr>
          <w:rFonts w:ascii="Arial" w:cs="Arial" w:eastAsia="Arial" w:hAnsi="Arial"/>
          <w:sz w:val="18"/>
          <w:szCs w:val="18"/>
          <w:color w:val="auto"/>
        </w:rPr>
      </w:pPr>
    </w:p>
    <w:p>
      <w:pPr>
        <w:ind w:left="340" w:hanging="188"/>
        <w:spacing w:after="0"/>
        <w:tabs>
          <w:tab w:leader="none" w:pos="340" w:val="left"/>
        </w:tabs>
        <w:numPr>
          <w:ilvl w:val="0"/>
          <w:numId w:val="61"/>
        </w:numPr>
        <w:rPr>
          <w:rFonts w:ascii="Arial" w:cs="Arial" w:eastAsia="Arial" w:hAnsi="Arial"/>
          <w:sz w:val="18"/>
          <w:szCs w:val="18"/>
          <w:color w:val="auto"/>
        </w:rPr>
      </w:pPr>
      <w:r>
        <w:rPr>
          <w:rFonts w:ascii="Arial" w:cs="Arial" w:eastAsia="Arial" w:hAnsi="Arial"/>
          <w:sz w:val="18"/>
          <w:szCs w:val="18"/>
          <w:color w:val="auto"/>
        </w:rPr>
        <w:t>Mobile Gas Service Corporation (Mobile Gas), a regulated natural gas distribution utility in southwest Alabama</w:t>
      </w:r>
    </w:p>
    <w:p>
      <w:pPr>
        <w:spacing w:after="0" w:line="252" w:lineRule="exact"/>
        <w:rPr>
          <w:rFonts w:ascii="Arial" w:cs="Arial" w:eastAsia="Arial" w:hAnsi="Arial"/>
          <w:sz w:val="18"/>
          <w:szCs w:val="18"/>
          <w:color w:val="auto"/>
        </w:rPr>
      </w:pPr>
    </w:p>
    <w:p>
      <w:pPr>
        <w:ind w:left="340" w:hanging="188"/>
        <w:spacing w:after="0"/>
        <w:tabs>
          <w:tab w:leader="none" w:pos="340" w:val="left"/>
        </w:tabs>
        <w:numPr>
          <w:ilvl w:val="0"/>
          <w:numId w:val="61"/>
        </w:numPr>
        <w:rPr>
          <w:rFonts w:ascii="Arial" w:cs="Arial" w:eastAsia="Arial" w:hAnsi="Arial"/>
          <w:sz w:val="18"/>
          <w:szCs w:val="18"/>
          <w:color w:val="auto"/>
        </w:rPr>
      </w:pPr>
      <w:r>
        <w:rPr>
          <w:rFonts w:ascii="Arial" w:cs="Arial" w:eastAsia="Arial" w:hAnsi="Arial"/>
          <w:sz w:val="18"/>
          <w:szCs w:val="18"/>
          <w:color w:val="auto"/>
        </w:rPr>
        <w:t>Ecogas Mexico, S de RL de CV (Ecogas), a regulated natural gas distribution utility in Northern Mexico</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340" w:hanging="188"/>
        <w:spacing w:after="0"/>
        <w:tabs>
          <w:tab w:leader="none" w:pos="340" w:val="left"/>
        </w:tabs>
        <w:numPr>
          <w:ilvl w:val="0"/>
          <w:numId w:val="62"/>
        </w:numPr>
        <w:rPr>
          <w:rFonts w:ascii="Arial" w:cs="Arial" w:eastAsia="Arial" w:hAnsi="Arial"/>
          <w:sz w:val="18"/>
          <w:szCs w:val="18"/>
          <w:color w:val="auto"/>
        </w:rPr>
      </w:pPr>
      <w:r>
        <w:rPr>
          <w:rFonts w:ascii="Arial" w:cs="Arial" w:eastAsia="Arial" w:hAnsi="Arial"/>
          <w:sz w:val="18"/>
          <w:szCs w:val="18"/>
          <w:color w:val="auto"/>
        </w:rPr>
        <w:t>SDG&amp;E</w:t>
      </w:r>
    </w:p>
    <w:p>
      <w:pPr>
        <w:spacing w:after="0" w:line="252" w:lineRule="exact"/>
        <w:rPr>
          <w:rFonts w:ascii="Arial" w:cs="Arial" w:eastAsia="Arial" w:hAnsi="Arial"/>
          <w:sz w:val="18"/>
          <w:szCs w:val="18"/>
          <w:color w:val="auto"/>
        </w:rPr>
      </w:pPr>
    </w:p>
    <w:p>
      <w:pPr>
        <w:ind w:left="340" w:hanging="188"/>
        <w:spacing w:after="0"/>
        <w:tabs>
          <w:tab w:leader="none" w:pos="340" w:val="left"/>
        </w:tabs>
        <w:numPr>
          <w:ilvl w:val="0"/>
          <w:numId w:val="62"/>
        </w:numPr>
        <w:rPr>
          <w:rFonts w:ascii="Arial" w:cs="Arial" w:eastAsia="Arial" w:hAnsi="Arial"/>
          <w:sz w:val="18"/>
          <w:szCs w:val="18"/>
          <w:color w:val="auto"/>
        </w:rPr>
      </w:pPr>
      <w:r>
        <w:rPr>
          <w:rFonts w:ascii="Arial" w:cs="Arial" w:eastAsia="Arial" w:hAnsi="Arial"/>
          <w:sz w:val="18"/>
          <w:szCs w:val="18"/>
          <w:color w:val="auto"/>
        </w:rPr>
        <w:t>Chilquinta Energía</w:t>
      </w:r>
    </w:p>
    <w:p>
      <w:pPr>
        <w:sectPr>
          <w:pgSz w:w="11900" w:h="16847" w:orient="portrait"/>
          <w:cols w:equalWidth="0" w:num="1">
            <w:col w:w="11300"/>
          </w:cols>
          <w:pgMar w:left="240" w:top="125" w:right="359" w:bottom="0" w:gutter="0" w:footer="0" w:header="0"/>
        </w:sectPr>
      </w:pPr>
    </w:p>
    <w:bookmarkStart w:id="56" w:name="page57"/>
    <w:bookmarkEnd w:id="56"/>
    <w:p>
      <w:pPr>
        <w:ind w:left="160"/>
        <w:spacing w:after="0"/>
        <w:rPr>
          <w:sz w:val="20"/>
          <w:szCs w:val="20"/>
          <w:color w:val="auto"/>
        </w:rPr>
      </w:pPr>
      <w:r>
        <w:rPr>
          <w:rFonts w:ascii="Arial" w:cs="Arial" w:eastAsia="Arial" w:hAnsi="Arial"/>
          <w:sz w:val="18"/>
          <w:szCs w:val="18"/>
          <w:color w:val="auto"/>
        </w:rPr>
        <w:t>§ Luz del Sur</w:t>
      </w:r>
    </w:p>
    <w:p>
      <w:pPr>
        <w:spacing w:after="0" w:line="252" w:lineRule="exact"/>
        <w:rPr>
          <w:sz w:val="20"/>
          <w:szCs w:val="20"/>
          <w:color w:val="auto"/>
        </w:rPr>
      </w:pPr>
    </w:p>
    <w:p>
      <w:pPr>
        <w:ind w:right="700"/>
        <w:spacing w:after="0" w:line="277" w:lineRule="auto"/>
        <w:rPr>
          <w:sz w:val="20"/>
          <w:szCs w:val="20"/>
          <w:color w:val="auto"/>
        </w:rPr>
      </w:pPr>
      <w:r>
        <w:rPr>
          <w:rFonts w:ascii="Arial" w:cs="Arial" w:eastAsia="Arial" w:hAnsi="Arial"/>
          <w:sz w:val="18"/>
          <w:szCs w:val="18"/>
          <w:color w:val="auto"/>
        </w:rPr>
        <w:t>Intercompany revenues included in the separate revenues of each utility are eliminated in the Sempra Energy Condensed Consolidated Statements of Operations.</w:t>
      </w:r>
    </w:p>
    <w:p>
      <w:pPr>
        <w:spacing w:after="0" w:line="168"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The Sempra Utilities</w:t>
      </w:r>
    </w:p>
    <w:p>
      <w:pPr>
        <w:spacing w:after="0" w:line="205" w:lineRule="exact"/>
        <w:rPr>
          <w:sz w:val="20"/>
          <w:szCs w:val="20"/>
          <w:color w:val="auto"/>
        </w:rPr>
      </w:pPr>
    </w:p>
    <w:p>
      <w:pPr>
        <w:jc w:val="both"/>
        <w:ind w:right="140"/>
        <w:spacing w:after="0" w:line="273" w:lineRule="auto"/>
        <w:rPr>
          <w:sz w:val="20"/>
          <w:szCs w:val="20"/>
          <w:color w:val="auto"/>
        </w:rPr>
      </w:pPr>
      <w:r>
        <w:rPr>
          <w:rFonts w:ascii="Arial" w:cs="Arial" w:eastAsia="Arial" w:hAnsi="Arial"/>
          <w:sz w:val="17"/>
          <w:szCs w:val="17"/>
          <w:color w:val="auto"/>
        </w:rPr>
        <w:t>The current regulatory framework for SoCalGas and SDG&amp;E permits the cost of natural gas purchased for core customers (primarily residential and small commercial and industrial customers) to be passed on to customers substantially as incurred. However, SoCalGas' Gas Cost Incentive Mechanism provides SoCalGas the opportunity to share in the savings and/or costs from buying natural gas for its core customers at prices below or above monthly market-based benchmarks. This mechanism permits full recovery of costs incurred when average purchase costs are within a price range around the benchmark price. Any higher costs incurred or savings realized outside this range are shared between the core customers and SoCalGas. We provide further discussion in Note 9 of the Notes to Condensed Consolidated Financial Statements herein.</w:t>
      </w:r>
    </w:p>
    <w:p>
      <w:pPr>
        <w:spacing w:after="0" w:line="178" w:lineRule="exact"/>
        <w:rPr>
          <w:sz w:val="20"/>
          <w:szCs w:val="20"/>
          <w:color w:val="auto"/>
        </w:rPr>
      </w:pPr>
    </w:p>
    <w:p>
      <w:pPr>
        <w:jc w:val="both"/>
        <w:ind w:right="140"/>
        <w:spacing w:after="0" w:line="308" w:lineRule="auto"/>
        <w:rPr>
          <w:sz w:val="20"/>
          <w:szCs w:val="20"/>
          <w:color w:val="auto"/>
        </w:rPr>
      </w:pPr>
      <w:r>
        <w:rPr>
          <w:rFonts w:ascii="Arial" w:cs="Arial" w:eastAsia="Arial" w:hAnsi="Arial"/>
          <w:sz w:val="17"/>
          <w:szCs w:val="17"/>
          <w:color w:val="auto"/>
        </w:rPr>
        <w:t>The regulatory framework also permits SDG&amp;E to recover the actual cost incurred to generate or procure electricity based on annual estimates of the cost of electricity supplied to customers. The differences in cost between estimates and actual are recovered in the next year through rates.</w:t>
      </w:r>
    </w:p>
    <w:p>
      <w:pPr>
        <w:spacing w:after="0" w:line="390"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summarizes Utilities Revenues for Sempra Energy, net of intercompany activity:</w:t>
      </w: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UTILITIES REVENUES AND COST OF SALES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-104775</wp:posOffset>
            </wp:positionV>
            <wp:extent cx="7246620" cy="22288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46620" cy="222885"/>
                    </a:xfrm>
                    <a:prstGeom prst="rect">
                      <a:avLst/>
                    </a:prstGeom>
                    <a:noFill/>
                  </pic:spPr>
                </pic:pic>
              </a:graphicData>
            </a:graphic>
          </wp:anchor>
        </w:drawing>
      </w: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400" w:type="dxa"/>
            <w:vAlign w:val="bottom"/>
            <w:gridSpan w:val="2"/>
          </w:tcPr>
          <w:p>
            <w:pPr>
              <w:spacing w:after="0"/>
              <w:rPr>
                <w:sz w:val="20"/>
                <w:szCs w:val="20"/>
                <w:color w:val="auto"/>
              </w:rPr>
            </w:pPr>
            <w:r>
              <w:rPr>
                <w:rFonts w:ascii="Arial" w:cs="Arial" w:eastAsia="Arial" w:hAnsi="Arial"/>
                <w:sz w:val="14"/>
                <w:szCs w:val="14"/>
                <w:i w:val="1"/>
                <w:iCs w:val="1"/>
                <w:color w:val="auto"/>
              </w:rPr>
              <w:t>(Dollars in millions)</w:t>
            </w:r>
          </w:p>
        </w:tc>
        <w:tc>
          <w:tcPr>
            <w:tcW w:w="1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40" w:type="dxa"/>
            <w:vAlign w:val="bottom"/>
            <w:shd w:val="clear" w:color="auto" w:fill="C0C0C0"/>
          </w:tcPr>
          <w:p>
            <w:pPr>
              <w:spacing w:after="0"/>
              <w:rPr>
                <w:sz w:val="14"/>
                <w:szCs w:val="14"/>
                <w:color w:val="auto"/>
              </w:rPr>
            </w:pPr>
          </w:p>
        </w:tc>
        <w:tc>
          <w:tcPr>
            <w:tcW w:w="1140" w:type="dxa"/>
            <w:vAlign w:val="bottom"/>
            <w:shd w:val="clear" w:color="auto" w:fill="C0C0C0"/>
          </w:tcPr>
          <w:p>
            <w:pPr>
              <w:spacing w:after="0"/>
              <w:rPr>
                <w:sz w:val="14"/>
                <w:szCs w:val="14"/>
                <w:color w:val="auto"/>
              </w:rPr>
            </w:pPr>
          </w:p>
        </w:tc>
        <w:tc>
          <w:tcPr>
            <w:tcW w:w="340" w:type="dxa"/>
            <w:vAlign w:val="bottom"/>
            <w:shd w:val="clear" w:color="auto" w:fill="C0C0C0"/>
          </w:tcPr>
          <w:p>
            <w:pPr>
              <w:spacing w:after="0"/>
              <w:rPr>
                <w:sz w:val="14"/>
                <w:szCs w:val="14"/>
                <w:color w:val="auto"/>
              </w:rPr>
            </w:pPr>
          </w:p>
        </w:tc>
        <w:tc>
          <w:tcPr>
            <w:tcW w:w="1160" w:type="dxa"/>
            <w:vAlign w:val="bottom"/>
            <w:shd w:val="clear" w:color="auto" w:fill="C0C0C0"/>
          </w:tcPr>
          <w:p>
            <w:pPr>
              <w:spacing w:after="0"/>
              <w:rPr>
                <w:sz w:val="14"/>
                <w:szCs w:val="14"/>
                <w:color w:val="auto"/>
              </w:rPr>
            </w:pPr>
          </w:p>
        </w:tc>
      </w:tr>
      <w:tr>
        <w:trPr>
          <w:trHeight w:val="191"/>
        </w:trPr>
        <w:tc>
          <w:tcPr>
            <w:tcW w:w="20" w:type="dxa"/>
            <w:vAlign w:val="bottom"/>
          </w:tcPr>
          <w:p>
            <w:pPr>
              <w:spacing w:after="0"/>
              <w:rPr>
                <w:sz w:val="16"/>
                <w:szCs w:val="16"/>
                <w:color w:val="auto"/>
              </w:rPr>
            </w:pPr>
          </w:p>
        </w:tc>
        <w:tc>
          <w:tcPr>
            <w:tcW w:w="43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460" w:type="dxa"/>
            <w:vAlign w:val="bottom"/>
            <w:gridSpan w:val="3"/>
          </w:tcPr>
          <w:p>
            <w:pPr>
              <w:jc w:val="right"/>
              <w:spacing w:after="0"/>
              <w:rPr>
                <w:sz w:val="20"/>
                <w:szCs w:val="20"/>
                <w:color w:val="auto"/>
              </w:rPr>
            </w:pPr>
            <w:r>
              <w:rPr>
                <w:rFonts w:ascii="Arial" w:cs="Arial" w:eastAsia="Arial" w:hAnsi="Arial"/>
                <w:sz w:val="14"/>
                <w:szCs w:val="14"/>
                <w:color w:val="auto"/>
              </w:rPr>
              <w:t>Three months ended June 30,</w:t>
            </w:r>
          </w:p>
        </w:tc>
        <w:tc>
          <w:tcPr>
            <w:tcW w:w="4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640" w:type="dxa"/>
            <w:vAlign w:val="bottom"/>
            <w:gridSpan w:val="3"/>
          </w:tcPr>
          <w:p>
            <w:pPr>
              <w:jc w:val="right"/>
              <w:ind w:right="539"/>
              <w:spacing w:after="0"/>
              <w:rPr>
                <w:sz w:val="20"/>
                <w:szCs w:val="20"/>
                <w:color w:val="auto"/>
              </w:rPr>
            </w:pPr>
            <w:r>
              <w:rPr>
                <w:rFonts w:ascii="Arial" w:cs="Arial" w:eastAsia="Arial" w:hAnsi="Arial"/>
                <w:sz w:val="14"/>
                <w:szCs w:val="14"/>
                <w:color w:val="auto"/>
              </w:rPr>
              <w:t>Six months ended June 30,</w:t>
            </w:r>
          </w:p>
        </w:tc>
      </w:tr>
      <w:tr>
        <w:trPr>
          <w:trHeight w:val="168"/>
        </w:trPr>
        <w:tc>
          <w:tcPr>
            <w:tcW w:w="20" w:type="dxa"/>
            <w:vAlign w:val="bottom"/>
          </w:tcPr>
          <w:p>
            <w:pPr>
              <w:spacing w:after="0"/>
              <w:rPr>
                <w:sz w:val="14"/>
                <w:szCs w:val="14"/>
                <w:color w:val="auto"/>
              </w:rPr>
            </w:pPr>
          </w:p>
        </w:tc>
        <w:tc>
          <w:tcPr>
            <w:tcW w:w="4380" w:type="dxa"/>
            <w:vAlign w:val="bottom"/>
            <w:tcBorders>
              <w:bottom w:val="single" w:sz="8" w:color="auto"/>
            </w:tcBorders>
          </w:tcPr>
          <w:p>
            <w:pPr>
              <w:spacing w:after="0"/>
              <w:rPr>
                <w:sz w:val="14"/>
                <w:szCs w:val="14"/>
                <w:color w:val="auto"/>
              </w:rPr>
            </w:pPr>
          </w:p>
        </w:tc>
        <w:tc>
          <w:tcPr>
            <w:tcW w:w="2060" w:type="dxa"/>
            <w:vAlign w:val="bottom"/>
            <w:tcBorders>
              <w:bottom w:val="single" w:sz="8" w:color="auto"/>
            </w:tcBorders>
            <w:gridSpan w:val="2"/>
          </w:tcPr>
          <w:p>
            <w:pPr>
              <w:jc w:val="right"/>
              <w:ind w:right="1"/>
              <w:spacing w:after="0"/>
              <w:rPr>
                <w:sz w:val="20"/>
                <w:szCs w:val="20"/>
                <w:color w:val="auto"/>
              </w:rPr>
            </w:pPr>
            <w:r>
              <w:rPr>
                <w:rFonts w:ascii="Arial" w:cs="Arial" w:eastAsia="Arial" w:hAnsi="Arial"/>
                <w:sz w:val="14"/>
                <w:szCs w:val="14"/>
                <w:color w:val="auto"/>
              </w:rPr>
              <w:t>2011</w:t>
            </w:r>
          </w:p>
        </w:tc>
        <w:tc>
          <w:tcPr>
            <w:tcW w:w="52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25"/>
              <w:spacing w:after="0"/>
              <w:rPr>
                <w:sz w:val="20"/>
                <w:szCs w:val="20"/>
                <w:color w:val="auto"/>
              </w:rPr>
            </w:pPr>
            <w:r>
              <w:rPr>
                <w:rFonts w:ascii="Arial" w:cs="Arial" w:eastAsia="Arial" w:hAnsi="Arial"/>
                <w:sz w:val="14"/>
                <w:szCs w:val="14"/>
                <w:color w:val="auto"/>
              </w:rPr>
              <w:t>2010</w:t>
            </w:r>
          </w:p>
        </w:tc>
        <w:tc>
          <w:tcPr>
            <w:tcW w:w="48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520"/>
              <w:spacing w:after="0"/>
              <w:rPr>
                <w:sz w:val="20"/>
                <w:szCs w:val="20"/>
                <w:color w:val="auto"/>
              </w:rPr>
            </w:pPr>
            <w:r>
              <w:rPr>
                <w:rFonts w:ascii="Arial" w:cs="Arial" w:eastAsia="Arial" w:hAnsi="Arial"/>
                <w:sz w:val="14"/>
                <w:szCs w:val="14"/>
                <w:color w:val="auto"/>
              </w:rPr>
              <w:t>2011</w:t>
            </w:r>
          </w:p>
        </w:tc>
        <w:tc>
          <w:tcPr>
            <w:tcW w:w="34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519"/>
              <w:spacing w:after="0"/>
              <w:rPr>
                <w:sz w:val="20"/>
                <w:szCs w:val="20"/>
                <w:color w:val="auto"/>
              </w:rPr>
            </w:pPr>
            <w:r>
              <w:rPr>
                <w:rFonts w:ascii="Arial" w:cs="Arial" w:eastAsia="Arial" w:hAnsi="Arial"/>
                <w:sz w:val="14"/>
                <w:szCs w:val="14"/>
                <w:color w:val="auto"/>
              </w:rPr>
              <w:t>2010</w:t>
            </w:r>
          </w:p>
        </w:tc>
      </w:tr>
      <w:tr>
        <w:trPr>
          <w:trHeight w:val="164"/>
        </w:trPr>
        <w:tc>
          <w:tcPr>
            <w:tcW w:w="20" w:type="dxa"/>
            <w:vAlign w:val="bottom"/>
          </w:tcPr>
          <w:p>
            <w:pPr>
              <w:spacing w:after="0"/>
              <w:rPr>
                <w:sz w:val="14"/>
                <w:szCs w:val="14"/>
                <w:color w:val="auto"/>
              </w:rPr>
            </w:pPr>
          </w:p>
        </w:tc>
        <w:tc>
          <w:tcPr>
            <w:tcW w:w="4380" w:type="dxa"/>
            <w:vAlign w:val="bottom"/>
          </w:tcPr>
          <w:p>
            <w:pPr>
              <w:spacing w:after="0" w:line="164" w:lineRule="exact"/>
              <w:rPr>
                <w:sz w:val="20"/>
                <w:szCs w:val="20"/>
                <w:color w:val="auto"/>
              </w:rPr>
            </w:pPr>
            <w:r>
              <w:rPr>
                <w:rFonts w:ascii="Arial" w:cs="Arial" w:eastAsia="Arial" w:hAnsi="Arial"/>
                <w:sz w:val="16"/>
                <w:szCs w:val="16"/>
                <w:b w:val="1"/>
                <w:bCs w:val="1"/>
                <w:color w:val="auto"/>
              </w:rPr>
              <w:t>Electric revenues:</w:t>
            </w:r>
          </w:p>
        </w:tc>
        <w:tc>
          <w:tcPr>
            <w:tcW w:w="1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76"/>
        </w:trPr>
        <w:tc>
          <w:tcPr>
            <w:tcW w:w="4400" w:type="dxa"/>
            <w:vAlign w:val="bottom"/>
            <w:gridSpan w:val="2"/>
          </w:tcPr>
          <w:p>
            <w:pPr>
              <w:spacing w:after="0" w:line="176" w:lineRule="exact"/>
              <w:rPr>
                <w:sz w:val="20"/>
                <w:szCs w:val="20"/>
                <w:color w:val="auto"/>
              </w:rPr>
            </w:pPr>
            <w:r>
              <w:rPr>
                <w:rFonts w:ascii="Arial" w:cs="Arial" w:eastAsia="Arial" w:hAnsi="Arial"/>
                <w:sz w:val="16"/>
                <w:szCs w:val="16"/>
                <w:color w:val="auto"/>
              </w:rPr>
              <w:t>SDG&amp;E</w:t>
            </w:r>
          </w:p>
        </w:tc>
        <w:tc>
          <w:tcPr>
            <w:tcW w:w="2060" w:type="dxa"/>
            <w:vAlign w:val="bottom"/>
            <w:gridSpan w:val="2"/>
          </w:tcPr>
          <w:p>
            <w:pPr>
              <w:jc w:val="right"/>
              <w:ind w:right="781"/>
              <w:spacing w:after="0" w:line="176" w:lineRule="exact"/>
              <w:rPr>
                <w:sz w:val="20"/>
                <w:szCs w:val="20"/>
                <w:color w:val="auto"/>
              </w:rPr>
            </w:pPr>
            <w:r>
              <w:rPr>
                <w:rFonts w:ascii="Arial" w:cs="Arial" w:eastAsia="Arial" w:hAnsi="Arial"/>
                <w:sz w:val="16"/>
                <w:szCs w:val="16"/>
                <w:color w:val="auto"/>
              </w:rPr>
              <w:t>$</w:t>
            </w:r>
          </w:p>
        </w:tc>
        <w:tc>
          <w:tcPr>
            <w:tcW w:w="520" w:type="dxa"/>
            <w:vAlign w:val="bottom"/>
          </w:tcPr>
          <w:p>
            <w:pPr>
              <w:jc w:val="right"/>
              <w:spacing w:after="0" w:line="176" w:lineRule="exact"/>
              <w:rPr>
                <w:sz w:val="20"/>
                <w:szCs w:val="20"/>
                <w:color w:val="auto"/>
              </w:rPr>
            </w:pPr>
            <w:r>
              <w:rPr>
                <w:rFonts w:ascii="Arial" w:cs="Arial" w:eastAsia="Arial" w:hAnsi="Arial"/>
                <w:sz w:val="16"/>
                <w:szCs w:val="16"/>
                <w:color w:val="auto"/>
              </w:rPr>
              <w:t>583</w:t>
            </w:r>
          </w:p>
        </w:tc>
        <w:tc>
          <w:tcPr>
            <w:tcW w:w="980" w:type="dxa"/>
            <w:vAlign w:val="bottom"/>
          </w:tcPr>
          <w:p>
            <w:pPr>
              <w:jc w:val="right"/>
              <w:ind w:right="825"/>
              <w:spacing w:after="0"/>
              <w:rPr>
                <w:sz w:val="20"/>
                <w:szCs w:val="20"/>
                <w:color w:val="auto"/>
              </w:rPr>
            </w:pPr>
            <w:r>
              <w:rPr>
                <w:rFonts w:ascii="Arial" w:cs="Arial" w:eastAsia="Arial" w:hAnsi="Arial"/>
                <w:sz w:val="15"/>
                <w:szCs w:val="15"/>
                <w:color w:val="auto"/>
                <w:w w:val="71"/>
              </w:rPr>
              <w:t>$</w:t>
            </w:r>
          </w:p>
        </w:tc>
        <w:tc>
          <w:tcPr>
            <w:tcW w:w="480" w:type="dxa"/>
            <w:vAlign w:val="bottom"/>
          </w:tcPr>
          <w:p>
            <w:pPr>
              <w:jc w:val="right"/>
              <w:spacing w:after="0" w:line="176" w:lineRule="exact"/>
              <w:rPr>
                <w:sz w:val="20"/>
                <w:szCs w:val="20"/>
                <w:color w:val="auto"/>
              </w:rPr>
            </w:pPr>
            <w:r>
              <w:rPr>
                <w:rFonts w:ascii="Arial" w:cs="Arial" w:eastAsia="Arial" w:hAnsi="Arial"/>
                <w:sz w:val="16"/>
                <w:szCs w:val="16"/>
                <w:color w:val="auto"/>
              </w:rPr>
              <w:t>589</w:t>
            </w:r>
          </w:p>
        </w:tc>
        <w:tc>
          <w:tcPr>
            <w:tcW w:w="340" w:type="dxa"/>
            <w:vAlign w:val="bottom"/>
          </w:tcPr>
          <w:p>
            <w:pPr>
              <w:jc w:val="right"/>
              <w:ind w:right="159"/>
              <w:spacing w:after="0" w:line="176" w:lineRule="exact"/>
              <w:rPr>
                <w:sz w:val="20"/>
                <w:szCs w:val="20"/>
                <w:color w:val="auto"/>
              </w:rPr>
            </w:pPr>
            <w:r>
              <w:rPr>
                <w:rFonts w:ascii="Arial" w:cs="Arial" w:eastAsia="Arial" w:hAnsi="Arial"/>
                <w:sz w:val="16"/>
                <w:szCs w:val="16"/>
                <w:color w:val="auto"/>
                <w:w w:val="89"/>
              </w:rPr>
              <w:t>$</w:t>
            </w:r>
          </w:p>
        </w:tc>
        <w:tc>
          <w:tcPr>
            <w:tcW w:w="1140" w:type="dxa"/>
            <w:vAlign w:val="bottom"/>
          </w:tcPr>
          <w:p>
            <w:pPr>
              <w:jc w:val="right"/>
              <w:spacing w:after="0" w:line="176" w:lineRule="exact"/>
              <w:rPr>
                <w:sz w:val="20"/>
                <w:szCs w:val="20"/>
                <w:color w:val="auto"/>
              </w:rPr>
            </w:pPr>
            <w:r>
              <w:rPr>
                <w:rFonts w:ascii="Arial" w:cs="Arial" w:eastAsia="Arial" w:hAnsi="Arial"/>
                <w:sz w:val="16"/>
                <w:szCs w:val="16"/>
                <w:color w:val="auto"/>
              </w:rPr>
              <w:t>1,248</w:t>
            </w:r>
          </w:p>
        </w:tc>
        <w:tc>
          <w:tcPr>
            <w:tcW w:w="340" w:type="dxa"/>
            <w:vAlign w:val="bottom"/>
          </w:tcPr>
          <w:p>
            <w:pPr>
              <w:jc w:val="right"/>
              <w:ind w:right="159"/>
              <w:spacing w:after="0" w:line="176" w:lineRule="exact"/>
              <w:rPr>
                <w:sz w:val="20"/>
                <w:szCs w:val="20"/>
                <w:color w:val="auto"/>
              </w:rPr>
            </w:pPr>
            <w:r>
              <w:rPr>
                <w:rFonts w:ascii="Arial" w:cs="Arial" w:eastAsia="Arial" w:hAnsi="Arial"/>
                <w:sz w:val="16"/>
                <w:szCs w:val="16"/>
                <w:color w:val="auto"/>
                <w:w w:val="89"/>
              </w:rPr>
              <w:t>$</w:t>
            </w:r>
          </w:p>
        </w:tc>
        <w:tc>
          <w:tcPr>
            <w:tcW w:w="1160" w:type="dxa"/>
            <w:vAlign w:val="bottom"/>
          </w:tcPr>
          <w:p>
            <w:pPr>
              <w:jc w:val="right"/>
              <w:spacing w:after="0" w:line="176" w:lineRule="exact"/>
              <w:rPr>
                <w:sz w:val="20"/>
                <w:szCs w:val="20"/>
                <w:color w:val="auto"/>
              </w:rPr>
            </w:pPr>
            <w:r>
              <w:rPr>
                <w:rFonts w:ascii="Arial" w:cs="Arial" w:eastAsia="Arial" w:hAnsi="Arial"/>
                <w:sz w:val="16"/>
                <w:szCs w:val="16"/>
                <w:color w:val="auto"/>
              </w:rPr>
              <w:t>1,152</w:t>
            </w:r>
          </w:p>
        </w:tc>
      </w:tr>
      <w:tr>
        <w:trPr>
          <w:trHeight w:val="176"/>
        </w:trPr>
        <w:tc>
          <w:tcPr>
            <w:tcW w:w="4400" w:type="dxa"/>
            <w:vAlign w:val="bottom"/>
            <w:gridSpan w:val="2"/>
          </w:tcPr>
          <w:p>
            <w:pPr>
              <w:spacing w:after="0" w:line="176" w:lineRule="exact"/>
              <w:rPr>
                <w:sz w:val="20"/>
                <w:szCs w:val="20"/>
                <w:color w:val="auto"/>
              </w:rPr>
            </w:pPr>
            <w:r>
              <w:rPr>
                <w:rFonts w:ascii="Arial" w:cs="Arial" w:eastAsia="Arial" w:hAnsi="Arial"/>
                <w:sz w:val="16"/>
                <w:szCs w:val="16"/>
                <w:color w:val="auto"/>
              </w:rPr>
              <w:t>Sempra Pipelines &amp; Storage</w:t>
            </w:r>
          </w:p>
        </w:tc>
        <w:tc>
          <w:tcPr>
            <w:tcW w:w="11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520" w:type="dxa"/>
            <w:vAlign w:val="bottom"/>
          </w:tcPr>
          <w:p>
            <w:pPr>
              <w:jc w:val="right"/>
              <w:spacing w:after="0" w:line="176" w:lineRule="exact"/>
              <w:rPr>
                <w:sz w:val="20"/>
                <w:szCs w:val="20"/>
                <w:color w:val="auto"/>
              </w:rPr>
            </w:pPr>
            <w:r>
              <w:rPr>
                <w:rFonts w:ascii="Arial" w:cs="Arial" w:eastAsia="Arial" w:hAnsi="Arial"/>
                <w:sz w:val="16"/>
                <w:szCs w:val="16"/>
                <w:color w:val="auto"/>
              </w:rPr>
              <w:t>324</w:t>
            </w:r>
          </w:p>
        </w:tc>
        <w:tc>
          <w:tcPr>
            <w:tcW w:w="980" w:type="dxa"/>
            <w:vAlign w:val="bottom"/>
          </w:tcPr>
          <w:p>
            <w:pPr>
              <w:spacing w:after="0"/>
              <w:rPr>
                <w:sz w:val="15"/>
                <w:szCs w:val="15"/>
                <w:color w:val="auto"/>
              </w:rPr>
            </w:pPr>
          </w:p>
        </w:tc>
        <w:tc>
          <w:tcPr>
            <w:tcW w:w="480" w:type="dxa"/>
            <w:vAlign w:val="bottom"/>
          </w:tcPr>
          <w:p>
            <w:pPr>
              <w:jc w:val="right"/>
              <w:spacing w:after="0" w:line="176" w:lineRule="exact"/>
              <w:rPr>
                <w:sz w:val="20"/>
                <w:szCs w:val="20"/>
                <w:color w:val="auto"/>
              </w:rPr>
            </w:pPr>
            <w:r>
              <w:rPr>
                <w:rFonts w:ascii="Arial" w:cs="Arial" w:eastAsia="Arial" w:hAnsi="Arial"/>
                <w:sz w:val="16"/>
                <w:szCs w:val="16"/>
                <w:color w:val="auto"/>
              </w:rPr>
              <w:t>―</w:t>
            </w:r>
          </w:p>
        </w:tc>
        <w:tc>
          <w:tcPr>
            <w:tcW w:w="340" w:type="dxa"/>
            <w:vAlign w:val="bottom"/>
          </w:tcPr>
          <w:p>
            <w:pPr>
              <w:spacing w:after="0"/>
              <w:rPr>
                <w:sz w:val="15"/>
                <w:szCs w:val="15"/>
                <w:color w:val="auto"/>
              </w:rPr>
            </w:pPr>
          </w:p>
        </w:tc>
        <w:tc>
          <w:tcPr>
            <w:tcW w:w="1140" w:type="dxa"/>
            <w:vAlign w:val="bottom"/>
          </w:tcPr>
          <w:p>
            <w:pPr>
              <w:jc w:val="right"/>
              <w:spacing w:after="0" w:line="176" w:lineRule="exact"/>
              <w:rPr>
                <w:sz w:val="20"/>
                <w:szCs w:val="20"/>
                <w:color w:val="auto"/>
              </w:rPr>
            </w:pPr>
            <w:r>
              <w:rPr>
                <w:rFonts w:ascii="Arial" w:cs="Arial" w:eastAsia="Arial" w:hAnsi="Arial"/>
                <w:sz w:val="16"/>
                <w:szCs w:val="16"/>
                <w:color w:val="auto"/>
              </w:rPr>
              <w:t>324</w:t>
            </w:r>
          </w:p>
        </w:tc>
        <w:tc>
          <w:tcPr>
            <w:tcW w:w="340" w:type="dxa"/>
            <w:vAlign w:val="bottom"/>
          </w:tcPr>
          <w:p>
            <w:pPr>
              <w:spacing w:after="0"/>
              <w:rPr>
                <w:sz w:val="15"/>
                <w:szCs w:val="15"/>
                <w:color w:val="auto"/>
              </w:rPr>
            </w:pPr>
          </w:p>
        </w:tc>
        <w:tc>
          <w:tcPr>
            <w:tcW w:w="1160" w:type="dxa"/>
            <w:vAlign w:val="bottom"/>
          </w:tcPr>
          <w:p>
            <w:pPr>
              <w:jc w:val="right"/>
              <w:spacing w:after="0" w:line="176" w:lineRule="exact"/>
              <w:rPr>
                <w:sz w:val="20"/>
                <w:szCs w:val="20"/>
                <w:color w:val="auto"/>
              </w:rPr>
            </w:pPr>
            <w:r>
              <w:rPr>
                <w:rFonts w:ascii="Arial" w:cs="Arial" w:eastAsia="Arial" w:hAnsi="Arial"/>
                <w:sz w:val="16"/>
                <w:szCs w:val="16"/>
                <w:color w:val="auto"/>
              </w:rPr>
              <w:t>―</w:t>
            </w:r>
          </w:p>
        </w:tc>
      </w:tr>
      <w:tr>
        <w:trPr>
          <w:trHeight w:val="194"/>
        </w:trPr>
        <w:tc>
          <w:tcPr>
            <w:tcW w:w="4400" w:type="dxa"/>
            <w:vAlign w:val="bottom"/>
            <w:gridSpan w:val="2"/>
          </w:tcPr>
          <w:p>
            <w:pPr>
              <w:spacing w:after="0"/>
              <w:rPr>
                <w:sz w:val="20"/>
                <w:szCs w:val="20"/>
                <w:color w:val="auto"/>
              </w:rPr>
            </w:pPr>
            <w:r>
              <w:rPr>
                <w:rFonts w:ascii="Arial" w:cs="Arial" w:eastAsia="Arial" w:hAnsi="Arial"/>
                <w:sz w:val="16"/>
                <w:szCs w:val="16"/>
                <w:color w:val="auto"/>
              </w:rPr>
              <w:t>Eliminations and adjustments</w:t>
            </w:r>
          </w:p>
        </w:tc>
        <w:tc>
          <w:tcPr>
            <w:tcW w:w="1100" w:type="dxa"/>
            <w:vAlign w:val="bottom"/>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98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w:t>
            </w:r>
          </w:p>
        </w:tc>
        <w:tc>
          <w:tcPr>
            <w:tcW w:w="3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w:t>
            </w:r>
          </w:p>
        </w:tc>
        <w:tc>
          <w:tcPr>
            <w:tcW w:w="3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w:t>
            </w:r>
          </w:p>
        </w:tc>
      </w:tr>
      <w:tr>
        <w:trPr>
          <w:trHeight w:val="183"/>
        </w:trPr>
        <w:tc>
          <w:tcPr>
            <w:tcW w:w="20" w:type="dxa"/>
            <w:vAlign w:val="bottom"/>
          </w:tcPr>
          <w:p>
            <w:pPr>
              <w:spacing w:after="0"/>
              <w:rPr>
                <w:sz w:val="15"/>
                <w:szCs w:val="15"/>
                <w:color w:val="auto"/>
              </w:rPr>
            </w:pPr>
          </w:p>
        </w:tc>
        <w:tc>
          <w:tcPr>
            <w:tcW w:w="4380" w:type="dxa"/>
            <w:vAlign w:val="bottom"/>
          </w:tcPr>
          <w:p>
            <w:pPr>
              <w:ind w:left="280"/>
              <w:spacing w:after="0" w:line="176" w:lineRule="exact"/>
              <w:rPr>
                <w:sz w:val="20"/>
                <w:szCs w:val="20"/>
                <w:color w:val="auto"/>
              </w:rPr>
            </w:pPr>
            <w:r>
              <w:rPr>
                <w:rFonts w:ascii="Arial" w:cs="Arial" w:eastAsia="Arial" w:hAnsi="Arial"/>
                <w:sz w:val="16"/>
                <w:szCs w:val="16"/>
                <w:color w:val="auto"/>
              </w:rPr>
              <w:t>Total</w:t>
            </w:r>
          </w:p>
        </w:tc>
        <w:tc>
          <w:tcPr>
            <w:tcW w:w="1100" w:type="dxa"/>
            <w:vAlign w:val="bottom"/>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6"/>
                <w:szCs w:val="16"/>
                <w:color w:val="auto"/>
              </w:rPr>
              <w:t>906</w:t>
            </w:r>
          </w:p>
        </w:tc>
        <w:tc>
          <w:tcPr>
            <w:tcW w:w="98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6"/>
                <w:szCs w:val="16"/>
                <w:color w:val="auto"/>
              </w:rPr>
              <w:t>586</w:t>
            </w:r>
          </w:p>
        </w:tc>
        <w:tc>
          <w:tcPr>
            <w:tcW w:w="34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6"/>
                <w:szCs w:val="16"/>
                <w:color w:val="auto"/>
              </w:rPr>
              <w:t>1,569</w:t>
            </w:r>
          </w:p>
        </w:tc>
        <w:tc>
          <w:tcPr>
            <w:tcW w:w="34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6"/>
                <w:szCs w:val="16"/>
                <w:color w:val="auto"/>
              </w:rPr>
              <w:t>1,148</w:t>
            </w:r>
          </w:p>
        </w:tc>
      </w:tr>
      <w:tr>
        <w:trPr>
          <w:trHeight w:val="188"/>
        </w:trPr>
        <w:tc>
          <w:tcPr>
            <w:tcW w:w="4400" w:type="dxa"/>
            <w:vAlign w:val="bottom"/>
            <w:gridSpan w:val="2"/>
          </w:tcPr>
          <w:p>
            <w:pPr>
              <w:spacing w:after="0"/>
              <w:rPr>
                <w:sz w:val="20"/>
                <w:szCs w:val="20"/>
                <w:color w:val="auto"/>
              </w:rPr>
            </w:pPr>
            <w:r>
              <w:rPr>
                <w:rFonts w:ascii="Arial" w:cs="Arial" w:eastAsia="Arial" w:hAnsi="Arial"/>
                <w:sz w:val="16"/>
                <w:szCs w:val="16"/>
                <w:b w:val="1"/>
                <w:bCs w:val="1"/>
                <w:color w:val="auto"/>
              </w:rPr>
              <w:t>Natural gas revenues:</w:t>
            </w:r>
          </w:p>
        </w:tc>
        <w:tc>
          <w:tcPr>
            <w:tcW w:w="1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60" w:type="dxa"/>
            <w:vAlign w:val="bottom"/>
          </w:tcPr>
          <w:p>
            <w:pPr>
              <w:spacing w:after="0"/>
              <w:rPr>
                <w:sz w:val="16"/>
                <w:szCs w:val="16"/>
                <w:color w:val="auto"/>
              </w:rPr>
            </w:pPr>
          </w:p>
        </w:tc>
      </w:tr>
      <w:tr>
        <w:trPr>
          <w:trHeight w:val="179"/>
        </w:trPr>
        <w:tc>
          <w:tcPr>
            <w:tcW w:w="4400" w:type="dxa"/>
            <w:vAlign w:val="bottom"/>
            <w:gridSpan w:val="2"/>
          </w:tcPr>
          <w:p>
            <w:pPr>
              <w:spacing w:after="0" w:line="179" w:lineRule="exact"/>
              <w:rPr>
                <w:sz w:val="20"/>
                <w:szCs w:val="20"/>
                <w:color w:val="auto"/>
              </w:rPr>
            </w:pPr>
            <w:r>
              <w:rPr>
                <w:rFonts w:ascii="Arial" w:cs="Arial" w:eastAsia="Arial" w:hAnsi="Arial"/>
                <w:sz w:val="16"/>
                <w:szCs w:val="16"/>
                <w:color w:val="auto"/>
              </w:rPr>
              <w:t>SoCalGas</w:t>
            </w:r>
          </w:p>
        </w:tc>
        <w:tc>
          <w:tcPr>
            <w:tcW w:w="11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520" w:type="dxa"/>
            <w:vAlign w:val="bottom"/>
          </w:tcPr>
          <w:p>
            <w:pPr>
              <w:jc w:val="right"/>
              <w:spacing w:after="0" w:line="179" w:lineRule="exact"/>
              <w:rPr>
                <w:sz w:val="20"/>
                <w:szCs w:val="20"/>
                <w:color w:val="auto"/>
              </w:rPr>
            </w:pPr>
            <w:r>
              <w:rPr>
                <w:rFonts w:ascii="Arial" w:cs="Arial" w:eastAsia="Arial" w:hAnsi="Arial"/>
                <w:sz w:val="16"/>
                <w:szCs w:val="16"/>
                <w:color w:val="auto"/>
              </w:rPr>
              <w:t>876</w:t>
            </w:r>
          </w:p>
        </w:tc>
        <w:tc>
          <w:tcPr>
            <w:tcW w:w="980" w:type="dxa"/>
            <w:vAlign w:val="bottom"/>
          </w:tcPr>
          <w:p>
            <w:pPr>
              <w:spacing w:after="0"/>
              <w:rPr>
                <w:sz w:val="15"/>
                <w:szCs w:val="15"/>
                <w:color w:val="auto"/>
              </w:rPr>
            </w:pPr>
          </w:p>
        </w:tc>
        <w:tc>
          <w:tcPr>
            <w:tcW w:w="480" w:type="dxa"/>
            <w:vAlign w:val="bottom"/>
          </w:tcPr>
          <w:p>
            <w:pPr>
              <w:jc w:val="right"/>
              <w:spacing w:after="0" w:line="179" w:lineRule="exact"/>
              <w:rPr>
                <w:sz w:val="20"/>
                <w:szCs w:val="20"/>
                <w:color w:val="auto"/>
              </w:rPr>
            </w:pPr>
            <w:r>
              <w:rPr>
                <w:rFonts w:ascii="Arial" w:cs="Arial" w:eastAsia="Arial" w:hAnsi="Arial"/>
                <w:sz w:val="16"/>
                <w:szCs w:val="16"/>
                <w:color w:val="auto"/>
              </w:rPr>
              <w:t>834</w:t>
            </w:r>
          </w:p>
        </w:tc>
        <w:tc>
          <w:tcPr>
            <w:tcW w:w="340" w:type="dxa"/>
            <w:vAlign w:val="bottom"/>
          </w:tcPr>
          <w:p>
            <w:pPr>
              <w:spacing w:after="0"/>
              <w:rPr>
                <w:sz w:val="15"/>
                <w:szCs w:val="15"/>
                <w:color w:val="auto"/>
              </w:rPr>
            </w:pPr>
          </w:p>
        </w:tc>
        <w:tc>
          <w:tcPr>
            <w:tcW w:w="1140" w:type="dxa"/>
            <w:vAlign w:val="bottom"/>
          </w:tcPr>
          <w:p>
            <w:pPr>
              <w:jc w:val="right"/>
              <w:spacing w:after="0" w:line="179" w:lineRule="exact"/>
              <w:rPr>
                <w:sz w:val="20"/>
                <w:szCs w:val="20"/>
                <w:color w:val="auto"/>
              </w:rPr>
            </w:pPr>
            <w:r>
              <w:rPr>
                <w:rFonts w:ascii="Arial" w:cs="Arial" w:eastAsia="Arial" w:hAnsi="Arial"/>
                <w:sz w:val="16"/>
                <w:szCs w:val="16"/>
                <w:color w:val="auto"/>
              </w:rPr>
              <w:t>1,932</w:t>
            </w:r>
          </w:p>
        </w:tc>
        <w:tc>
          <w:tcPr>
            <w:tcW w:w="340" w:type="dxa"/>
            <w:vAlign w:val="bottom"/>
          </w:tcPr>
          <w:p>
            <w:pPr>
              <w:spacing w:after="0"/>
              <w:rPr>
                <w:sz w:val="15"/>
                <w:szCs w:val="15"/>
                <w:color w:val="auto"/>
              </w:rPr>
            </w:pPr>
          </w:p>
        </w:tc>
        <w:tc>
          <w:tcPr>
            <w:tcW w:w="1160" w:type="dxa"/>
            <w:vAlign w:val="bottom"/>
          </w:tcPr>
          <w:p>
            <w:pPr>
              <w:jc w:val="right"/>
              <w:spacing w:after="0" w:line="179" w:lineRule="exact"/>
              <w:rPr>
                <w:sz w:val="20"/>
                <w:szCs w:val="20"/>
                <w:color w:val="auto"/>
              </w:rPr>
            </w:pPr>
            <w:r>
              <w:rPr>
                <w:rFonts w:ascii="Arial" w:cs="Arial" w:eastAsia="Arial" w:hAnsi="Arial"/>
                <w:sz w:val="16"/>
                <w:szCs w:val="16"/>
                <w:color w:val="auto"/>
              </w:rPr>
              <w:t>2,016</w:t>
            </w:r>
          </w:p>
        </w:tc>
      </w:tr>
      <w:tr>
        <w:trPr>
          <w:trHeight w:val="176"/>
        </w:trPr>
        <w:tc>
          <w:tcPr>
            <w:tcW w:w="4400" w:type="dxa"/>
            <w:vAlign w:val="bottom"/>
            <w:gridSpan w:val="2"/>
          </w:tcPr>
          <w:p>
            <w:pPr>
              <w:spacing w:after="0" w:line="176" w:lineRule="exact"/>
              <w:rPr>
                <w:sz w:val="20"/>
                <w:szCs w:val="20"/>
                <w:color w:val="auto"/>
              </w:rPr>
            </w:pPr>
            <w:r>
              <w:rPr>
                <w:rFonts w:ascii="Arial" w:cs="Arial" w:eastAsia="Arial" w:hAnsi="Arial"/>
                <w:sz w:val="16"/>
                <w:szCs w:val="16"/>
                <w:color w:val="auto"/>
              </w:rPr>
              <w:t>SDG&amp;E</w:t>
            </w:r>
          </w:p>
        </w:tc>
        <w:tc>
          <w:tcPr>
            <w:tcW w:w="11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520" w:type="dxa"/>
            <w:vAlign w:val="bottom"/>
          </w:tcPr>
          <w:p>
            <w:pPr>
              <w:jc w:val="right"/>
              <w:spacing w:after="0" w:line="176" w:lineRule="exact"/>
              <w:rPr>
                <w:sz w:val="20"/>
                <w:szCs w:val="20"/>
                <w:color w:val="auto"/>
              </w:rPr>
            </w:pPr>
            <w:r>
              <w:rPr>
                <w:rFonts w:ascii="Arial" w:cs="Arial" w:eastAsia="Arial" w:hAnsi="Arial"/>
                <w:sz w:val="16"/>
                <w:szCs w:val="16"/>
                <w:color w:val="auto"/>
              </w:rPr>
              <w:t>114</w:t>
            </w:r>
          </w:p>
        </w:tc>
        <w:tc>
          <w:tcPr>
            <w:tcW w:w="980" w:type="dxa"/>
            <w:vAlign w:val="bottom"/>
          </w:tcPr>
          <w:p>
            <w:pPr>
              <w:spacing w:after="0"/>
              <w:rPr>
                <w:sz w:val="15"/>
                <w:szCs w:val="15"/>
                <w:color w:val="auto"/>
              </w:rPr>
            </w:pPr>
          </w:p>
        </w:tc>
        <w:tc>
          <w:tcPr>
            <w:tcW w:w="480" w:type="dxa"/>
            <w:vAlign w:val="bottom"/>
          </w:tcPr>
          <w:p>
            <w:pPr>
              <w:jc w:val="right"/>
              <w:spacing w:after="0" w:line="176" w:lineRule="exact"/>
              <w:rPr>
                <w:sz w:val="20"/>
                <w:szCs w:val="20"/>
                <w:color w:val="auto"/>
              </w:rPr>
            </w:pPr>
            <w:r>
              <w:rPr>
                <w:rFonts w:ascii="Arial" w:cs="Arial" w:eastAsia="Arial" w:hAnsi="Arial"/>
                <w:sz w:val="16"/>
                <w:szCs w:val="16"/>
                <w:color w:val="auto"/>
              </w:rPr>
              <w:t>103</w:t>
            </w:r>
          </w:p>
        </w:tc>
        <w:tc>
          <w:tcPr>
            <w:tcW w:w="340" w:type="dxa"/>
            <w:vAlign w:val="bottom"/>
          </w:tcPr>
          <w:p>
            <w:pPr>
              <w:spacing w:after="0"/>
              <w:rPr>
                <w:sz w:val="15"/>
                <w:szCs w:val="15"/>
                <w:color w:val="auto"/>
              </w:rPr>
            </w:pPr>
          </w:p>
        </w:tc>
        <w:tc>
          <w:tcPr>
            <w:tcW w:w="1140" w:type="dxa"/>
            <w:vAlign w:val="bottom"/>
          </w:tcPr>
          <w:p>
            <w:pPr>
              <w:jc w:val="right"/>
              <w:spacing w:after="0" w:line="176" w:lineRule="exact"/>
              <w:rPr>
                <w:sz w:val="20"/>
                <w:szCs w:val="20"/>
                <w:color w:val="auto"/>
              </w:rPr>
            </w:pPr>
            <w:r>
              <w:rPr>
                <w:rFonts w:ascii="Arial" w:cs="Arial" w:eastAsia="Arial" w:hAnsi="Arial"/>
                <w:sz w:val="16"/>
                <w:szCs w:val="16"/>
                <w:color w:val="auto"/>
              </w:rPr>
              <w:t>289</w:t>
            </w:r>
          </w:p>
        </w:tc>
        <w:tc>
          <w:tcPr>
            <w:tcW w:w="340" w:type="dxa"/>
            <w:vAlign w:val="bottom"/>
          </w:tcPr>
          <w:p>
            <w:pPr>
              <w:spacing w:after="0"/>
              <w:rPr>
                <w:sz w:val="15"/>
                <w:szCs w:val="15"/>
                <w:color w:val="auto"/>
              </w:rPr>
            </w:pPr>
          </w:p>
        </w:tc>
        <w:tc>
          <w:tcPr>
            <w:tcW w:w="1160" w:type="dxa"/>
            <w:vAlign w:val="bottom"/>
          </w:tcPr>
          <w:p>
            <w:pPr>
              <w:jc w:val="right"/>
              <w:spacing w:after="0" w:line="176" w:lineRule="exact"/>
              <w:rPr>
                <w:sz w:val="20"/>
                <w:szCs w:val="20"/>
                <w:color w:val="auto"/>
              </w:rPr>
            </w:pPr>
            <w:r>
              <w:rPr>
                <w:rFonts w:ascii="Arial" w:cs="Arial" w:eastAsia="Arial" w:hAnsi="Arial"/>
                <w:sz w:val="16"/>
                <w:szCs w:val="16"/>
                <w:color w:val="auto"/>
              </w:rPr>
              <w:t>282</w:t>
            </w:r>
          </w:p>
        </w:tc>
      </w:tr>
      <w:tr>
        <w:trPr>
          <w:trHeight w:val="176"/>
        </w:trPr>
        <w:tc>
          <w:tcPr>
            <w:tcW w:w="4400" w:type="dxa"/>
            <w:vAlign w:val="bottom"/>
            <w:gridSpan w:val="2"/>
          </w:tcPr>
          <w:p>
            <w:pPr>
              <w:spacing w:after="0" w:line="176" w:lineRule="exact"/>
              <w:rPr>
                <w:sz w:val="20"/>
                <w:szCs w:val="20"/>
                <w:color w:val="auto"/>
              </w:rPr>
            </w:pPr>
            <w:r>
              <w:rPr>
                <w:rFonts w:ascii="Arial" w:cs="Arial" w:eastAsia="Arial" w:hAnsi="Arial"/>
                <w:sz w:val="16"/>
                <w:szCs w:val="16"/>
                <w:color w:val="auto"/>
              </w:rPr>
              <w:t>Sempra Pipelines &amp; Storage</w:t>
            </w:r>
          </w:p>
        </w:tc>
        <w:tc>
          <w:tcPr>
            <w:tcW w:w="11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520" w:type="dxa"/>
            <w:vAlign w:val="bottom"/>
          </w:tcPr>
          <w:p>
            <w:pPr>
              <w:jc w:val="right"/>
              <w:spacing w:after="0" w:line="176" w:lineRule="exact"/>
              <w:rPr>
                <w:sz w:val="20"/>
                <w:szCs w:val="20"/>
                <w:color w:val="auto"/>
              </w:rPr>
            </w:pPr>
            <w:r>
              <w:rPr>
                <w:rFonts w:ascii="Arial" w:cs="Arial" w:eastAsia="Arial" w:hAnsi="Arial"/>
                <w:sz w:val="16"/>
                <w:szCs w:val="16"/>
                <w:color w:val="auto"/>
              </w:rPr>
              <w:t>38</w:t>
            </w:r>
          </w:p>
        </w:tc>
        <w:tc>
          <w:tcPr>
            <w:tcW w:w="980" w:type="dxa"/>
            <w:vAlign w:val="bottom"/>
          </w:tcPr>
          <w:p>
            <w:pPr>
              <w:spacing w:after="0"/>
              <w:rPr>
                <w:sz w:val="15"/>
                <w:szCs w:val="15"/>
                <w:color w:val="auto"/>
              </w:rPr>
            </w:pPr>
          </w:p>
        </w:tc>
        <w:tc>
          <w:tcPr>
            <w:tcW w:w="480" w:type="dxa"/>
            <w:vAlign w:val="bottom"/>
          </w:tcPr>
          <w:p>
            <w:pPr>
              <w:jc w:val="right"/>
              <w:spacing w:after="0" w:line="176" w:lineRule="exact"/>
              <w:rPr>
                <w:sz w:val="20"/>
                <w:szCs w:val="20"/>
                <w:color w:val="auto"/>
              </w:rPr>
            </w:pPr>
            <w:r>
              <w:rPr>
                <w:rFonts w:ascii="Arial" w:cs="Arial" w:eastAsia="Arial" w:hAnsi="Arial"/>
                <w:sz w:val="16"/>
                <w:szCs w:val="16"/>
                <w:color w:val="auto"/>
              </w:rPr>
              <w:t>38</w:t>
            </w:r>
          </w:p>
        </w:tc>
        <w:tc>
          <w:tcPr>
            <w:tcW w:w="340" w:type="dxa"/>
            <w:vAlign w:val="bottom"/>
          </w:tcPr>
          <w:p>
            <w:pPr>
              <w:spacing w:after="0"/>
              <w:rPr>
                <w:sz w:val="15"/>
                <w:szCs w:val="15"/>
                <w:color w:val="auto"/>
              </w:rPr>
            </w:pPr>
          </w:p>
        </w:tc>
        <w:tc>
          <w:tcPr>
            <w:tcW w:w="1140" w:type="dxa"/>
            <w:vAlign w:val="bottom"/>
          </w:tcPr>
          <w:p>
            <w:pPr>
              <w:jc w:val="right"/>
              <w:spacing w:after="0" w:line="176" w:lineRule="exact"/>
              <w:rPr>
                <w:sz w:val="20"/>
                <w:szCs w:val="20"/>
                <w:color w:val="auto"/>
              </w:rPr>
            </w:pPr>
            <w:r>
              <w:rPr>
                <w:rFonts w:ascii="Arial" w:cs="Arial" w:eastAsia="Arial" w:hAnsi="Arial"/>
                <w:sz w:val="16"/>
                <w:szCs w:val="16"/>
                <w:color w:val="auto"/>
              </w:rPr>
              <w:t>103</w:t>
            </w:r>
          </w:p>
        </w:tc>
        <w:tc>
          <w:tcPr>
            <w:tcW w:w="340" w:type="dxa"/>
            <w:vAlign w:val="bottom"/>
          </w:tcPr>
          <w:p>
            <w:pPr>
              <w:spacing w:after="0"/>
              <w:rPr>
                <w:sz w:val="15"/>
                <w:szCs w:val="15"/>
                <w:color w:val="auto"/>
              </w:rPr>
            </w:pPr>
          </w:p>
        </w:tc>
        <w:tc>
          <w:tcPr>
            <w:tcW w:w="1160" w:type="dxa"/>
            <w:vAlign w:val="bottom"/>
          </w:tcPr>
          <w:p>
            <w:pPr>
              <w:jc w:val="right"/>
              <w:spacing w:after="0" w:line="176" w:lineRule="exact"/>
              <w:rPr>
                <w:sz w:val="20"/>
                <w:szCs w:val="20"/>
                <w:color w:val="auto"/>
              </w:rPr>
            </w:pPr>
            <w:r>
              <w:rPr>
                <w:rFonts w:ascii="Arial" w:cs="Arial" w:eastAsia="Arial" w:hAnsi="Arial"/>
                <w:sz w:val="16"/>
                <w:szCs w:val="16"/>
                <w:color w:val="auto"/>
              </w:rPr>
              <w:t>117</w:t>
            </w:r>
          </w:p>
        </w:tc>
      </w:tr>
      <w:tr>
        <w:trPr>
          <w:trHeight w:val="194"/>
        </w:trPr>
        <w:tc>
          <w:tcPr>
            <w:tcW w:w="4400" w:type="dxa"/>
            <w:vAlign w:val="bottom"/>
            <w:gridSpan w:val="2"/>
          </w:tcPr>
          <w:p>
            <w:pPr>
              <w:spacing w:after="0"/>
              <w:rPr>
                <w:sz w:val="20"/>
                <w:szCs w:val="20"/>
                <w:color w:val="auto"/>
              </w:rPr>
            </w:pPr>
            <w:r>
              <w:rPr>
                <w:rFonts w:ascii="Arial" w:cs="Arial" w:eastAsia="Arial" w:hAnsi="Arial"/>
                <w:sz w:val="16"/>
                <w:szCs w:val="16"/>
                <w:color w:val="auto"/>
              </w:rPr>
              <w:t>Eliminations and adjustments</w:t>
            </w:r>
          </w:p>
        </w:tc>
        <w:tc>
          <w:tcPr>
            <w:tcW w:w="1100" w:type="dxa"/>
            <w:vAlign w:val="bottom"/>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w:t>
            </w:r>
          </w:p>
        </w:tc>
        <w:tc>
          <w:tcPr>
            <w:tcW w:w="98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w:t>
            </w:r>
          </w:p>
        </w:tc>
        <w:tc>
          <w:tcPr>
            <w:tcW w:w="3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w:t>
            </w:r>
          </w:p>
        </w:tc>
        <w:tc>
          <w:tcPr>
            <w:tcW w:w="3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w:t>
            </w:r>
          </w:p>
        </w:tc>
      </w:tr>
      <w:tr>
        <w:trPr>
          <w:trHeight w:val="183"/>
        </w:trPr>
        <w:tc>
          <w:tcPr>
            <w:tcW w:w="20" w:type="dxa"/>
            <w:vAlign w:val="bottom"/>
          </w:tcPr>
          <w:p>
            <w:pPr>
              <w:spacing w:after="0"/>
              <w:rPr>
                <w:sz w:val="15"/>
                <w:szCs w:val="15"/>
                <w:color w:val="auto"/>
              </w:rPr>
            </w:pPr>
          </w:p>
        </w:tc>
        <w:tc>
          <w:tcPr>
            <w:tcW w:w="4380" w:type="dxa"/>
            <w:vAlign w:val="bottom"/>
          </w:tcPr>
          <w:p>
            <w:pPr>
              <w:ind w:left="280"/>
              <w:spacing w:after="0" w:line="176" w:lineRule="exact"/>
              <w:rPr>
                <w:sz w:val="20"/>
                <w:szCs w:val="20"/>
                <w:color w:val="auto"/>
              </w:rPr>
            </w:pPr>
            <w:r>
              <w:rPr>
                <w:rFonts w:ascii="Arial" w:cs="Arial" w:eastAsia="Arial" w:hAnsi="Arial"/>
                <w:sz w:val="16"/>
                <w:szCs w:val="16"/>
                <w:color w:val="auto"/>
              </w:rPr>
              <w:t>Total</w:t>
            </w:r>
          </w:p>
        </w:tc>
        <w:tc>
          <w:tcPr>
            <w:tcW w:w="1100" w:type="dxa"/>
            <w:vAlign w:val="bottom"/>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6"/>
                <w:szCs w:val="16"/>
                <w:color w:val="auto"/>
              </w:rPr>
              <w:t>1,016</w:t>
            </w:r>
          </w:p>
        </w:tc>
        <w:tc>
          <w:tcPr>
            <w:tcW w:w="98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6"/>
                <w:szCs w:val="16"/>
                <w:color w:val="auto"/>
              </w:rPr>
              <w:t>964</w:t>
            </w:r>
          </w:p>
        </w:tc>
        <w:tc>
          <w:tcPr>
            <w:tcW w:w="34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6"/>
                <w:szCs w:val="16"/>
                <w:color w:val="auto"/>
              </w:rPr>
              <w:t>2,299</w:t>
            </w:r>
          </w:p>
        </w:tc>
        <w:tc>
          <w:tcPr>
            <w:tcW w:w="34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6"/>
                <w:szCs w:val="16"/>
                <w:color w:val="auto"/>
              </w:rPr>
              <w:t>2,393</w:t>
            </w:r>
          </w:p>
        </w:tc>
      </w:tr>
      <w:tr>
        <w:trPr>
          <w:trHeight w:val="183"/>
        </w:trPr>
        <w:tc>
          <w:tcPr>
            <w:tcW w:w="20" w:type="dxa"/>
            <w:vAlign w:val="bottom"/>
          </w:tcPr>
          <w:p>
            <w:pPr>
              <w:spacing w:after="0"/>
              <w:rPr>
                <w:sz w:val="15"/>
                <w:szCs w:val="15"/>
                <w:color w:val="auto"/>
              </w:rPr>
            </w:pPr>
          </w:p>
        </w:tc>
        <w:tc>
          <w:tcPr>
            <w:tcW w:w="4380" w:type="dxa"/>
            <w:vAlign w:val="bottom"/>
          </w:tcPr>
          <w:p>
            <w:pPr>
              <w:ind w:left="120"/>
              <w:spacing w:after="0" w:line="176" w:lineRule="exact"/>
              <w:rPr>
                <w:sz w:val="20"/>
                <w:szCs w:val="20"/>
                <w:color w:val="auto"/>
              </w:rPr>
            </w:pPr>
            <w:r>
              <w:rPr>
                <w:rFonts w:ascii="Arial" w:cs="Arial" w:eastAsia="Arial" w:hAnsi="Arial"/>
                <w:sz w:val="16"/>
                <w:szCs w:val="16"/>
                <w:color w:val="auto"/>
              </w:rPr>
              <w:t>Total utilities revenues</w:t>
            </w:r>
          </w:p>
        </w:tc>
        <w:tc>
          <w:tcPr>
            <w:tcW w:w="1100" w:type="dxa"/>
            <w:vAlign w:val="bottom"/>
          </w:tcPr>
          <w:p>
            <w:pPr>
              <w:spacing w:after="0"/>
              <w:rPr>
                <w:sz w:val="15"/>
                <w:szCs w:val="15"/>
                <w:color w:val="auto"/>
              </w:rPr>
            </w:pPr>
          </w:p>
        </w:tc>
        <w:tc>
          <w:tcPr>
            <w:tcW w:w="960" w:type="dxa"/>
            <w:vAlign w:val="bottom"/>
            <w:tcBorders>
              <w:bottom w:val="single" w:sz="8" w:color="auto"/>
            </w:tcBorders>
          </w:tcPr>
          <w:p>
            <w:pPr>
              <w:jc w:val="right"/>
              <w:ind w:right="781"/>
              <w:spacing w:after="0" w:line="176" w:lineRule="exact"/>
              <w:rPr>
                <w:sz w:val="20"/>
                <w:szCs w:val="20"/>
                <w:color w:val="auto"/>
              </w:rPr>
            </w:pPr>
            <w:r>
              <w:rPr>
                <w:rFonts w:ascii="Arial" w:cs="Arial" w:eastAsia="Arial" w:hAnsi="Arial"/>
                <w:sz w:val="16"/>
                <w:szCs w:val="16"/>
                <w:color w:val="auto"/>
                <w:w w:val="89"/>
              </w:rPr>
              <w:t>$</w:t>
            </w:r>
          </w:p>
        </w:tc>
        <w:tc>
          <w:tcPr>
            <w:tcW w:w="52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6"/>
                <w:szCs w:val="16"/>
                <w:color w:val="auto"/>
              </w:rPr>
              <w:t>1,922</w:t>
            </w:r>
          </w:p>
        </w:tc>
        <w:tc>
          <w:tcPr>
            <w:tcW w:w="980" w:type="dxa"/>
            <w:vAlign w:val="bottom"/>
            <w:tcBorders>
              <w:bottom w:val="single" w:sz="8" w:color="auto"/>
            </w:tcBorders>
          </w:tcPr>
          <w:p>
            <w:pPr>
              <w:jc w:val="right"/>
              <w:ind w:right="825"/>
              <w:spacing w:after="0"/>
              <w:rPr>
                <w:sz w:val="20"/>
                <w:szCs w:val="20"/>
                <w:color w:val="auto"/>
              </w:rPr>
            </w:pPr>
            <w:r>
              <w:rPr>
                <w:rFonts w:ascii="Arial" w:cs="Arial" w:eastAsia="Arial" w:hAnsi="Arial"/>
                <w:sz w:val="15"/>
                <w:szCs w:val="15"/>
                <w:color w:val="auto"/>
                <w:w w:val="71"/>
              </w:rPr>
              <w:t>$</w:t>
            </w:r>
          </w:p>
        </w:tc>
        <w:tc>
          <w:tcPr>
            <w:tcW w:w="48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6"/>
                <w:szCs w:val="16"/>
                <w:color w:val="auto"/>
              </w:rPr>
              <w:t>1,550</w:t>
            </w:r>
          </w:p>
        </w:tc>
        <w:tc>
          <w:tcPr>
            <w:tcW w:w="340" w:type="dxa"/>
            <w:vAlign w:val="bottom"/>
            <w:tcBorders>
              <w:bottom w:val="single" w:sz="8" w:color="auto"/>
            </w:tcBorders>
          </w:tcPr>
          <w:p>
            <w:pPr>
              <w:jc w:val="right"/>
              <w:ind w:right="159"/>
              <w:spacing w:after="0" w:line="176" w:lineRule="exact"/>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6"/>
                <w:szCs w:val="16"/>
                <w:color w:val="auto"/>
              </w:rPr>
              <w:t>3,868</w:t>
            </w:r>
          </w:p>
        </w:tc>
        <w:tc>
          <w:tcPr>
            <w:tcW w:w="340" w:type="dxa"/>
            <w:vAlign w:val="bottom"/>
            <w:tcBorders>
              <w:bottom w:val="single" w:sz="8" w:color="auto"/>
            </w:tcBorders>
          </w:tcPr>
          <w:p>
            <w:pPr>
              <w:jc w:val="right"/>
              <w:ind w:right="159"/>
              <w:spacing w:after="0" w:line="176" w:lineRule="exact"/>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6"/>
                <w:szCs w:val="16"/>
                <w:color w:val="auto"/>
              </w:rPr>
              <w:t>3,541</w:t>
            </w:r>
          </w:p>
        </w:tc>
      </w:tr>
      <w:tr>
        <w:trPr>
          <w:trHeight w:val="164"/>
        </w:trPr>
        <w:tc>
          <w:tcPr>
            <w:tcW w:w="4400" w:type="dxa"/>
            <w:vAlign w:val="bottom"/>
            <w:gridSpan w:val="2"/>
          </w:tcPr>
          <w:p>
            <w:pPr>
              <w:spacing w:after="0" w:line="164" w:lineRule="exact"/>
              <w:rPr>
                <w:sz w:val="20"/>
                <w:szCs w:val="20"/>
                <w:color w:val="auto"/>
              </w:rPr>
            </w:pPr>
            <w:r>
              <w:rPr>
                <w:rFonts w:ascii="Arial" w:cs="Arial" w:eastAsia="Arial" w:hAnsi="Arial"/>
                <w:sz w:val="16"/>
                <w:szCs w:val="16"/>
                <w:b w:val="1"/>
                <w:bCs w:val="1"/>
                <w:color w:val="auto"/>
              </w:rPr>
              <w:t>Cost of natural gas:</w:t>
            </w:r>
          </w:p>
        </w:tc>
        <w:tc>
          <w:tcPr>
            <w:tcW w:w="1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76"/>
        </w:trPr>
        <w:tc>
          <w:tcPr>
            <w:tcW w:w="4400" w:type="dxa"/>
            <w:vAlign w:val="bottom"/>
            <w:gridSpan w:val="2"/>
          </w:tcPr>
          <w:p>
            <w:pPr>
              <w:spacing w:after="0" w:line="176" w:lineRule="exact"/>
              <w:rPr>
                <w:sz w:val="20"/>
                <w:szCs w:val="20"/>
                <w:color w:val="auto"/>
              </w:rPr>
            </w:pPr>
            <w:r>
              <w:rPr>
                <w:rFonts w:ascii="Arial" w:cs="Arial" w:eastAsia="Arial" w:hAnsi="Arial"/>
                <w:sz w:val="16"/>
                <w:szCs w:val="16"/>
                <w:color w:val="auto"/>
              </w:rPr>
              <w:t>SoCalGas</w:t>
            </w:r>
          </w:p>
        </w:tc>
        <w:tc>
          <w:tcPr>
            <w:tcW w:w="2060" w:type="dxa"/>
            <w:vAlign w:val="bottom"/>
            <w:gridSpan w:val="2"/>
          </w:tcPr>
          <w:p>
            <w:pPr>
              <w:jc w:val="right"/>
              <w:ind w:right="781"/>
              <w:spacing w:after="0" w:line="176" w:lineRule="exact"/>
              <w:rPr>
                <w:sz w:val="20"/>
                <w:szCs w:val="20"/>
                <w:color w:val="auto"/>
              </w:rPr>
            </w:pPr>
            <w:r>
              <w:rPr>
                <w:rFonts w:ascii="Arial" w:cs="Arial" w:eastAsia="Arial" w:hAnsi="Arial"/>
                <w:sz w:val="16"/>
                <w:szCs w:val="16"/>
                <w:color w:val="auto"/>
              </w:rPr>
              <w:t>$</w:t>
            </w:r>
          </w:p>
        </w:tc>
        <w:tc>
          <w:tcPr>
            <w:tcW w:w="520" w:type="dxa"/>
            <w:vAlign w:val="bottom"/>
          </w:tcPr>
          <w:p>
            <w:pPr>
              <w:jc w:val="right"/>
              <w:spacing w:after="0" w:line="176" w:lineRule="exact"/>
              <w:rPr>
                <w:sz w:val="20"/>
                <w:szCs w:val="20"/>
                <w:color w:val="auto"/>
              </w:rPr>
            </w:pPr>
            <w:r>
              <w:rPr>
                <w:rFonts w:ascii="Arial" w:cs="Arial" w:eastAsia="Arial" w:hAnsi="Arial"/>
                <w:sz w:val="16"/>
                <w:szCs w:val="16"/>
                <w:color w:val="auto"/>
              </w:rPr>
              <w:t>335</w:t>
            </w:r>
          </w:p>
        </w:tc>
        <w:tc>
          <w:tcPr>
            <w:tcW w:w="980" w:type="dxa"/>
            <w:vAlign w:val="bottom"/>
          </w:tcPr>
          <w:p>
            <w:pPr>
              <w:jc w:val="right"/>
              <w:ind w:right="825"/>
              <w:spacing w:after="0"/>
              <w:rPr>
                <w:sz w:val="20"/>
                <w:szCs w:val="20"/>
                <w:color w:val="auto"/>
              </w:rPr>
            </w:pPr>
            <w:r>
              <w:rPr>
                <w:rFonts w:ascii="Arial" w:cs="Arial" w:eastAsia="Arial" w:hAnsi="Arial"/>
                <w:sz w:val="15"/>
                <w:szCs w:val="15"/>
                <w:color w:val="auto"/>
                <w:w w:val="71"/>
              </w:rPr>
              <w:t>$</w:t>
            </w:r>
          </w:p>
        </w:tc>
        <w:tc>
          <w:tcPr>
            <w:tcW w:w="480" w:type="dxa"/>
            <w:vAlign w:val="bottom"/>
          </w:tcPr>
          <w:p>
            <w:pPr>
              <w:jc w:val="right"/>
              <w:spacing w:after="0" w:line="176" w:lineRule="exact"/>
              <w:rPr>
                <w:sz w:val="20"/>
                <w:szCs w:val="20"/>
                <w:color w:val="auto"/>
              </w:rPr>
            </w:pPr>
            <w:r>
              <w:rPr>
                <w:rFonts w:ascii="Arial" w:cs="Arial" w:eastAsia="Arial" w:hAnsi="Arial"/>
                <w:sz w:val="16"/>
                <w:szCs w:val="16"/>
                <w:color w:val="auto"/>
              </w:rPr>
              <w:t>318</w:t>
            </w:r>
          </w:p>
        </w:tc>
        <w:tc>
          <w:tcPr>
            <w:tcW w:w="340" w:type="dxa"/>
            <w:vAlign w:val="bottom"/>
          </w:tcPr>
          <w:p>
            <w:pPr>
              <w:jc w:val="right"/>
              <w:ind w:right="159"/>
              <w:spacing w:after="0" w:line="176" w:lineRule="exact"/>
              <w:rPr>
                <w:sz w:val="20"/>
                <w:szCs w:val="20"/>
                <w:color w:val="auto"/>
              </w:rPr>
            </w:pPr>
            <w:r>
              <w:rPr>
                <w:rFonts w:ascii="Arial" w:cs="Arial" w:eastAsia="Arial" w:hAnsi="Arial"/>
                <w:sz w:val="16"/>
                <w:szCs w:val="16"/>
                <w:color w:val="auto"/>
                <w:w w:val="89"/>
              </w:rPr>
              <w:t>$</w:t>
            </w:r>
          </w:p>
        </w:tc>
        <w:tc>
          <w:tcPr>
            <w:tcW w:w="1140" w:type="dxa"/>
            <w:vAlign w:val="bottom"/>
          </w:tcPr>
          <w:p>
            <w:pPr>
              <w:jc w:val="right"/>
              <w:spacing w:after="0" w:line="176" w:lineRule="exact"/>
              <w:rPr>
                <w:sz w:val="20"/>
                <w:szCs w:val="20"/>
                <w:color w:val="auto"/>
              </w:rPr>
            </w:pPr>
            <w:r>
              <w:rPr>
                <w:rFonts w:ascii="Arial" w:cs="Arial" w:eastAsia="Arial" w:hAnsi="Arial"/>
                <w:sz w:val="16"/>
                <w:szCs w:val="16"/>
                <w:color w:val="auto"/>
              </w:rPr>
              <w:t>866</w:t>
            </w:r>
          </w:p>
        </w:tc>
        <w:tc>
          <w:tcPr>
            <w:tcW w:w="340" w:type="dxa"/>
            <w:vAlign w:val="bottom"/>
          </w:tcPr>
          <w:p>
            <w:pPr>
              <w:jc w:val="right"/>
              <w:ind w:right="159"/>
              <w:spacing w:after="0" w:line="176" w:lineRule="exact"/>
              <w:rPr>
                <w:sz w:val="20"/>
                <w:szCs w:val="20"/>
                <w:color w:val="auto"/>
              </w:rPr>
            </w:pPr>
            <w:r>
              <w:rPr>
                <w:rFonts w:ascii="Arial" w:cs="Arial" w:eastAsia="Arial" w:hAnsi="Arial"/>
                <w:sz w:val="16"/>
                <w:szCs w:val="16"/>
                <w:color w:val="auto"/>
                <w:w w:val="89"/>
              </w:rPr>
              <w:t>$</w:t>
            </w:r>
          </w:p>
        </w:tc>
        <w:tc>
          <w:tcPr>
            <w:tcW w:w="1160" w:type="dxa"/>
            <w:vAlign w:val="bottom"/>
          </w:tcPr>
          <w:p>
            <w:pPr>
              <w:jc w:val="right"/>
              <w:spacing w:after="0" w:line="176" w:lineRule="exact"/>
              <w:rPr>
                <w:sz w:val="20"/>
                <w:szCs w:val="20"/>
                <w:color w:val="auto"/>
              </w:rPr>
            </w:pPr>
            <w:r>
              <w:rPr>
                <w:rFonts w:ascii="Arial" w:cs="Arial" w:eastAsia="Arial" w:hAnsi="Arial"/>
                <w:sz w:val="16"/>
                <w:szCs w:val="16"/>
                <w:color w:val="auto"/>
              </w:rPr>
              <w:t>992</w:t>
            </w:r>
          </w:p>
        </w:tc>
      </w:tr>
      <w:tr>
        <w:trPr>
          <w:trHeight w:val="176"/>
        </w:trPr>
        <w:tc>
          <w:tcPr>
            <w:tcW w:w="4400" w:type="dxa"/>
            <w:vAlign w:val="bottom"/>
            <w:gridSpan w:val="2"/>
          </w:tcPr>
          <w:p>
            <w:pPr>
              <w:spacing w:after="0" w:line="176" w:lineRule="exact"/>
              <w:rPr>
                <w:sz w:val="20"/>
                <w:szCs w:val="20"/>
                <w:color w:val="auto"/>
              </w:rPr>
            </w:pPr>
            <w:r>
              <w:rPr>
                <w:rFonts w:ascii="Arial" w:cs="Arial" w:eastAsia="Arial" w:hAnsi="Arial"/>
                <w:sz w:val="16"/>
                <w:szCs w:val="16"/>
                <w:color w:val="auto"/>
              </w:rPr>
              <w:t>SDG&amp;E</w:t>
            </w:r>
          </w:p>
        </w:tc>
        <w:tc>
          <w:tcPr>
            <w:tcW w:w="11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520" w:type="dxa"/>
            <w:vAlign w:val="bottom"/>
          </w:tcPr>
          <w:p>
            <w:pPr>
              <w:jc w:val="right"/>
              <w:spacing w:after="0" w:line="176" w:lineRule="exact"/>
              <w:rPr>
                <w:sz w:val="20"/>
                <w:szCs w:val="20"/>
                <w:color w:val="auto"/>
              </w:rPr>
            </w:pPr>
            <w:r>
              <w:rPr>
                <w:rFonts w:ascii="Arial" w:cs="Arial" w:eastAsia="Arial" w:hAnsi="Arial"/>
                <w:sz w:val="16"/>
                <w:szCs w:val="16"/>
                <w:color w:val="auto"/>
              </w:rPr>
              <w:t>52</w:t>
            </w:r>
          </w:p>
        </w:tc>
        <w:tc>
          <w:tcPr>
            <w:tcW w:w="980" w:type="dxa"/>
            <w:vAlign w:val="bottom"/>
          </w:tcPr>
          <w:p>
            <w:pPr>
              <w:spacing w:after="0"/>
              <w:rPr>
                <w:sz w:val="15"/>
                <w:szCs w:val="15"/>
                <w:color w:val="auto"/>
              </w:rPr>
            </w:pPr>
          </w:p>
        </w:tc>
        <w:tc>
          <w:tcPr>
            <w:tcW w:w="480" w:type="dxa"/>
            <w:vAlign w:val="bottom"/>
          </w:tcPr>
          <w:p>
            <w:pPr>
              <w:jc w:val="right"/>
              <w:spacing w:after="0" w:line="176" w:lineRule="exact"/>
              <w:rPr>
                <w:sz w:val="20"/>
                <w:szCs w:val="20"/>
                <w:color w:val="auto"/>
              </w:rPr>
            </w:pPr>
            <w:r>
              <w:rPr>
                <w:rFonts w:ascii="Arial" w:cs="Arial" w:eastAsia="Arial" w:hAnsi="Arial"/>
                <w:sz w:val="16"/>
                <w:szCs w:val="16"/>
                <w:color w:val="auto"/>
              </w:rPr>
              <w:t>44</w:t>
            </w:r>
          </w:p>
        </w:tc>
        <w:tc>
          <w:tcPr>
            <w:tcW w:w="340" w:type="dxa"/>
            <w:vAlign w:val="bottom"/>
          </w:tcPr>
          <w:p>
            <w:pPr>
              <w:spacing w:after="0"/>
              <w:rPr>
                <w:sz w:val="15"/>
                <w:szCs w:val="15"/>
                <w:color w:val="auto"/>
              </w:rPr>
            </w:pPr>
          </w:p>
        </w:tc>
        <w:tc>
          <w:tcPr>
            <w:tcW w:w="1140" w:type="dxa"/>
            <w:vAlign w:val="bottom"/>
          </w:tcPr>
          <w:p>
            <w:pPr>
              <w:jc w:val="right"/>
              <w:spacing w:after="0" w:line="176" w:lineRule="exact"/>
              <w:rPr>
                <w:sz w:val="20"/>
                <w:szCs w:val="20"/>
                <w:color w:val="auto"/>
              </w:rPr>
            </w:pPr>
            <w:r>
              <w:rPr>
                <w:rFonts w:ascii="Arial" w:cs="Arial" w:eastAsia="Arial" w:hAnsi="Arial"/>
                <w:sz w:val="16"/>
                <w:szCs w:val="16"/>
                <w:color w:val="auto"/>
              </w:rPr>
              <w:t>135</w:t>
            </w:r>
          </w:p>
        </w:tc>
        <w:tc>
          <w:tcPr>
            <w:tcW w:w="340" w:type="dxa"/>
            <w:vAlign w:val="bottom"/>
          </w:tcPr>
          <w:p>
            <w:pPr>
              <w:spacing w:after="0"/>
              <w:rPr>
                <w:sz w:val="15"/>
                <w:szCs w:val="15"/>
                <w:color w:val="auto"/>
              </w:rPr>
            </w:pPr>
          </w:p>
        </w:tc>
        <w:tc>
          <w:tcPr>
            <w:tcW w:w="1160" w:type="dxa"/>
            <w:vAlign w:val="bottom"/>
          </w:tcPr>
          <w:p>
            <w:pPr>
              <w:jc w:val="right"/>
              <w:spacing w:after="0" w:line="176" w:lineRule="exact"/>
              <w:rPr>
                <w:sz w:val="20"/>
                <w:szCs w:val="20"/>
                <w:color w:val="auto"/>
              </w:rPr>
            </w:pPr>
            <w:r>
              <w:rPr>
                <w:rFonts w:ascii="Arial" w:cs="Arial" w:eastAsia="Arial" w:hAnsi="Arial"/>
                <w:sz w:val="16"/>
                <w:szCs w:val="16"/>
                <w:color w:val="auto"/>
              </w:rPr>
              <w:t>133</w:t>
            </w:r>
          </w:p>
        </w:tc>
      </w:tr>
      <w:tr>
        <w:trPr>
          <w:trHeight w:val="176"/>
        </w:trPr>
        <w:tc>
          <w:tcPr>
            <w:tcW w:w="4400" w:type="dxa"/>
            <w:vAlign w:val="bottom"/>
            <w:gridSpan w:val="2"/>
          </w:tcPr>
          <w:p>
            <w:pPr>
              <w:spacing w:after="0" w:line="176" w:lineRule="exact"/>
              <w:rPr>
                <w:sz w:val="20"/>
                <w:szCs w:val="20"/>
                <w:color w:val="auto"/>
              </w:rPr>
            </w:pPr>
            <w:r>
              <w:rPr>
                <w:rFonts w:ascii="Arial" w:cs="Arial" w:eastAsia="Arial" w:hAnsi="Arial"/>
                <w:sz w:val="16"/>
                <w:szCs w:val="16"/>
                <w:color w:val="auto"/>
              </w:rPr>
              <w:t>Sempra Pipelines &amp; Storage</w:t>
            </w:r>
          </w:p>
        </w:tc>
        <w:tc>
          <w:tcPr>
            <w:tcW w:w="11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520" w:type="dxa"/>
            <w:vAlign w:val="bottom"/>
          </w:tcPr>
          <w:p>
            <w:pPr>
              <w:jc w:val="right"/>
              <w:spacing w:after="0" w:line="176" w:lineRule="exact"/>
              <w:rPr>
                <w:sz w:val="20"/>
                <w:szCs w:val="20"/>
                <w:color w:val="auto"/>
              </w:rPr>
            </w:pPr>
            <w:r>
              <w:rPr>
                <w:rFonts w:ascii="Arial" w:cs="Arial" w:eastAsia="Arial" w:hAnsi="Arial"/>
                <w:sz w:val="16"/>
                <w:szCs w:val="16"/>
                <w:color w:val="auto"/>
              </w:rPr>
              <w:t>19</w:t>
            </w:r>
          </w:p>
        </w:tc>
        <w:tc>
          <w:tcPr>
            <w:tcW w:w="980" w:type="dxa"/>
            <w:vAlign w:val="bottom"/>
          </w:tcPr>
          <w:p>
            <w:pPr>
              <w:spacing w:after="0"/>
              <w:rPr>
                <w:sz w:val="15"/>
                <w:szCs w:val="15"/>
                <w:color w:val="auto"/>
              </w:rPr>
            </w:pPr>
          </w:p>
        </w:tc>
        <w:tc>
          <w:tcPr>
            <w:tcW w:w="480" w:type="dxa"/>
            <w:vAlign w:val="bottom"/>
          </w:tcPr>
          <w:p>
            <w:pPr>
              <w:jc w:val="right"/>
              <w:spacing w:after="0" w:line="176" w:lineRule="exact"/>
              <w:rPr>
                <w:sz w:val="20"/>
                <w:szCs w:val="20"/>
                <w:color w:val="auto"/>
              </w:rPr>
            </w:pPr>
            <w:r>
              <w:rPr>
                <w:rFonts w:ascii="Arial" w:cs="Arial" w:eastAsia="Arial" w:hAnsi="Arial"/>
                <w:sz w:val="16"/>
                <w:szCs w:val="16"/>
                <w:color w:val="auto"/>
              </w:rPr>
              <w:t>21</w:t>
            </w:r>
          </w:p>
        </w:tc>
        <w:tc>
          <w:tcPr>
            <w:tcW w:w="340" w:type="dxa"/>
            <w:vAlign w:val="bottom"/>
          </w:tcPr>
          <w:p>
            <w:pPr>
              <w:spacing w:after="0"/>
              <w:rPr>
                <w:sz w:val="15"/>
                <w:szCs w:val="15"/>
                <w:color w:val="auto"/>
              </w:rPr>
            </w:pPr>
          </w:p>
        </w:tc>
        <w:tc>
          <w:tcPr>
            <w:tcW w:w="1140" w:type="dxa"/>
            <w:vAlign w:val="bottom"/>
          </w:tcPr>
          <w:p>
            <w:pPr>
              <w:jc w:val="right"/>
              <w:spacing w:after="0" w:line="176" w:lineRule="exact"/>
              <w:rPr>
                <w:sz w:val="20"/>
                <w:szCs w:val="20"/>
                <w:color w:val="auto"/>
              </w:rPr>
            </w:pPr>
            <w:r>
              <w:rPr>
                <w:rFonts w:ascii="Arial" w:cs="Arial" w:eastAsia="Arial" w:hAnsi="Arial"/>
                <w:sz w:val="16"/>
                <w:szCs w:val="16"/>
                <w:color w:val="auto"/>
              </w:rPr>
              <w:t>52</w:t>
            </w:r>
          </w:p>
        </w:tc>
        <w:tc>
          <w:tcPr>
            <w:tcW w:w="340" w:type="dxa"/>
            <w:vAlign w:val="bottom"/>
          </w:tcPr>
          <w:p>
            <w:pPr>
              <w:spacing w:after="0"/>
              <w:rPr>
                <w:sz w:val="15"/>
                <w:szCs w:val="15"/>
                <w:color w:val="auto"/>
              </w:rPr>
            </w:pPr>
          </w:p>
        </w:tc>
        <w:tc>
          <w:tcPr>
            <w:tcW w:w="1160" w:type="dxa"/>
            <w:vAlign w:val="bottom"/>
          </w:tcPr>
          <w:p>
            <w:pPr>
              <w:jc w:val="right"/>
              <w:spacing w:after="0" w:line="176" w:lineRule="exact"/>
              <w:rPr>
                <w:sz w:val="20"/>
                <w:szCs w:val="20"/>
                <w:color w:val="auto"/>
              </w:rPr>
            </w:pPr>
            <w:r>
              <w:rPr>
                <w:rFonts w:ascii="Arial" w:cs="Arial" w:eastAsia="Arial" w:hAnsi="Arial"/>
                <w:sz w:val="16"/>
                <w:szCs w:val="16"/>
                <w:color w:val="auto"/>
              </w:rPr>
              <w:t>67</w:t>
            </w:r>
          </w:p>
        </w:tc>
      </w:tr>
      <w:tr>
        <w:trPr>
          <w:trHeight w:val="194"/>
        </w:trPr>
        <w:tc>
          <w:tcPr>
            <w:tcW w:w="4400" w:type="dxa"/>
            <w:vAlign w:val="bottom"/>
            <w:gridSpan w:val="2"/>
          </w:tcPr>
          <w:p>
            <w:pPr>
              <w:spacing w:after="0"/>
              <w:rPr>
                <w:sz w:val="20"/>
                <w:szCs w:val="20"/>
                <w:color w:val="auto"/>
              </w:rPr>
            </w:pPr>
            <w:r>
              <w:rPr>
                <w:rFonts w:ascii="Arial" w:cs="Arial" w:eastAsia="Arial" w:hAnsi="Arial"/>
                <w:sz w:val="16"/>
                <w:szCs w:val="16"/>
                <w:color w:val="auto"/>
              </w:rPr>
              <w:t>Eliminations and adjustments</w:t>
            </w:r>
          </w:p>
        </w:tc>
        <w:tc>
          <w:tcPr>
            <w:tcW w:w="1100" w:type="dxa"/>
            <w:vAlign w:val="bottom"/>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w:t>
            </w:r>
          </w:p>
        </w:tc>
        <w:tc>
          <w:tcPr>
            <w:tcW w:w="98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w:t>
            </w:r>
          </w:p>
        </w:tc>
        <w:tc>
          <w:tcPr>
            <w:tcW w:w="3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w:t>
            </w:r>
          </w:p>
        </w:tc>
        <w:tc>
          <w:tcPr>
            <w:tcW w:w="3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w:t>
            </w:r>
          </w:p>
        </w:tc>
      </w:tr>
      <w:tr>
        <w:trPr>
          <w:trHeight w:val="183"/>
        </w:trPr>
        <w:tc>
          <w:tcPr>
            <w:tcW w:w="20" w:type="dxa"/>
            <w:vAlign w:val="bottom"/>
          </w:tcPr>
          <w:p>
            <w:pPr>
              <w:spacing w:after="0"/>
              <w:rPr>
                <w:sz w:val="15"/>
                <w:szCs w:val="15"/>
                <w:color w:val="auto"/>
              </w:rPr>
            </w:pPr>
          </w:p>
        </w:tc>
        <w:tc>
          <w:tcPr>
            <w:tcW w:w="4380" w:type="dxa"/>
            <w:vAlign w:val="bottom"/>
          </w:tcPr>
          <w:p>
            <w:pPr>
              <w:ind w:left="280"/>
              <w:spacing w:after="0" w:line="176" w:lineRule="exact"/>
              <w:rPr>
                <w:sz w:val="20"/>
                <w:szCs w:val="20"/>
                <w:color w:val="auto"/>
              </w:rPr>
            </w:pPr>
            <w:r>
              <w:rPr>
                <w:rFonts w:ascii="Arial" w:cs="Arial" w:eastAsia="Arial" w:hAnsi="Arial"/>
                <w:sz w:val="16"/>
                <w:szCs w:val="16"/>
                <w:color w:val="auto"/>
              </w:rPr>
              <w:t>Total</w:t>
            </w:r>
          </w:p>
        </w:tc>
        <w:tc>
          <w:tcPr>
            <w:tcW w:w="1100" w:type="dxa"/>
            <w:vAlign w:val="bottom"/>
          </w:tcPr>
          <w:p>
            <w:pPr>
              <w:spacing w:after="0"/>
              <w:rPr>
                <w:sz w:val="15"/>
                <w:szCs w:val="15"/>
                <w:color w:val="auto"/>
              </w:rPr>
            </w:pPr>
          </w:p>
        </w:tc>
        <w:tc>
          <w:tcPr>
            <w:tcW w:w="960" w:type="dxa"/>
            <w:vAlign w:val="bottom"/>
            <w:tcBorders>
              <w:bottom w:val="single" w:sz="8" w:color="auto"/>
            </w:tcBorders>
          </w:tcPr>
          <w:p>
            <w:pPr>
              <w:jc w:val="right"/>
              <w:ind w:right="781"/>
              <w:spacing w:after="0" w:line="176" w:lineRule="exact"/>
              <w:rPr>
                <w:sz w:val="20"/>
                <w:szCs w:val="20"/>
                <w:color w:val="auto"/>
              </w:rPr>
            </w:pPr>
            <w:r>
              <w:rPr>
                <w:rFonts w:ascii="Arial" w:cs="Arial" w:eastAsia="Arial" w:hAnsi="Arial"/>
                <w:sz w:val="16"/>
                <w:szCs w:val="16"/>
                <w:color w:val="auto"/>
                <w:w w:val="89"/>
              </w:rPr>
              <w:t>$</w:t>
            </w:r>
          </w:p>
        </w:tc>
        <w:tc>
          <w:tcPr>
            <w:tcW w:w="52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6"/>
                <w:szCs w:val="16"/>
                <w:color w:val="auto"/>
              </w:rPr>
              <w:t>403</w:t>
            </w:r>
          </w:p>
        </w:tc>
        <w:tc>
          <w:tcPr>
            <w:tcW w:w="980" w:type="dxa"/>
            <w:vAlign w:val="bottom"/>
            <w:tcBorders>
              <w:bottom w:val="single" w:sz="8" w:color="auto"/>
            </w:tcBorders>
          </w:tcPr>
          <w:p>
            <w:pPr>
              <w:jc w:val="right"/>
              <w:ind w:right="825"/>
              <w:spacing w:after="0"/>
              <w:rPr>
                <w:sz w:val="20"/>
                <w:szCs w:val="20"/>
                <w:color w:val="auto"/>
              </w:rPr>
            </w:pPr>
            <w:r>
              <w:rPr>
                <w:rFonts w:ascii="Arial" w:cs="Arial" w:eastAsia="Arial" w:hAnsi="Arial"/>
                <w:sz w:val="15"/>
                <w:szCs w:val="15"/>
                <w:color w:val="auto"/>
                <w:w w:val="71"/>
              </w:rPr>
              <w:t>$</w:t>
            </w:r>
          </w:p>
        </w:tc>
        <w:tc>
          <w:tcPr>
            <w:tcW w:w="48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6"/>
                <w:szCs w:val="16"/>
                <w:color w:val="auto"/>
              </w:rPr>
              <w:t>381</w:t>
            </w:r>
          </w:p>
        </w:tc>
        <w:tc>
          <w:tcPr>
            <w:tcW w:w="340" w:type="dxa"/>
            <w:vAlign w:val="bottom"/>
            <w:tcBorders>
              <w:bottom w:val="single" w:sz="8" w:color="auto"/>
            </w:tcBorders>
          </w:tcPr>
          <w:p>
            <w:pPr>
              <w:jc w:val="right"/>
              <w:ind w:right="159"/>
              <w:spacing w:after="0" w:line="176" w:lineRule="exact"/>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6"/>
                <w:szCs w:val="16"/>
                <w:color w:val="auto"/>
              </w:rPr>
              <w:t>1,045</w:t>
            </w:r>
          </w:p>
        </w:tc>
        <w:tc>
          <w:tcPr>
            <w:tcW w:w="340" w:type="dxa"/>
            <w:vAlign w:val="bottom"/>
            <w:tcBorders>
              <w:bottom w:val="single" w:sz="8" w:color="auto"/>
            </w:tcBorders>
          </w:tcPr>
          <w:p>
            <w:pPr>
              <w:jc w:val="right"/>
              <w:ind w:right="159"/>
              <w:spacing w:after="0" w:line="176" w:lineRule="exact"/>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6"/>
                <w:szCs w:val="16"/>
                <w:color w:val="auto"/>
              </w:rPr>
              <w:t>1,184</w:t>
            </w:r>
          </w:p>
        </w:tc>
      </w:tr>
      <w:tr>
        <w:trPr>
          <w:trHeight w:val="164"/>
        </w:trPr>
        <w:tc>
          <w:tcPr>
            <w:tcW w:w="4400" w:type="dxa"/>
            <w:vAlign w:val="bottom"/>
            <w:gridSpan w:val="2"/>
          </w:tcPr>
          <w:p>
            <w:pPr>
              <w:spacing w:after="0" w:line="164" w:lineRule="exact"/>
              <w:rPr>
                <w:sz w:val="20"/>
                <w:szCs w:val="20"/>
                <w:color w:val="auto"/>
              </w:rPr>
            </w:pPr>
            <w:r>
              <w:rPr>
                <w:rFonts w:ascii="Arial" w:cs="Arial" w:eastAsia="Arial" w:hAnsi="Arial"/>
                <w:sz w:val="16"/>
                <w:szCs w:val="16"/>
                <w:b w:val="1"/>
                <w:bCs w:val="1"/>
                <w:color w:val="auto"/>
              </w:rPr>
              <w:t>Cost of electric fuel and purchased power:</w:t>
            </w:r>
          </w:p>
        </w:tc>
        <w:tc>
          <w:tcPr>
            <w:tcW w:w="1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76"/>
        </w:trPr>
        <w:tc>
          <w:tcPr>
            <w:tcW w:w="4400" w:type="dxa"/>
            <w:vAlign w:val="bottom"/>
            <w:gridSpan w:val="2"/>
          </w:tcPr>
          <w:p>
            <w:pPr>
              <w:spacing w:after="0" w:line="176" w:lineRule="exact"/>
              <w:rPr>
                <w:sz w:val="20"/>
                <w:szCs w:val="20"/>
                <w:color w:val="auto"/>
              </w:rPr>
            </w:pPr>
            <w:r>
              <w:rPr>
                <w:rFonts w:ascii="Arial" w:cs="Arial" w:eastAsia="Arial" w:hAnsi="Arial"/>
                <w:sz w:val="16"/>
                <w:szCs w:val="16"/>
                <w:color w:val="auto"/>
              </w:rPr>
              <w:t>SDG&amp;E</w:t>
            </w:r>
          </w:p>
        </w:tc>
        <w:tc>
          <w:tcPr>
            <w:tcW w:w="2060" w:type="dxa"/>
            <w:vAlign w:val="bottom"/>
            <w:gridSpan w:val="2"/>
          </w:tcPr>
          <w:p>
            <w:pPr>
              <w:jc w:val="right"/>
              <w:ind w:right="781"/>
              <w:spacing w:after="0" w:line="176" w:lineRule="exact"/>
              <w:rPr>
                <w:sz w:val="20"/>
                <w:szCs w:val="20"/>
                <w:color w:val="auto"/>
              </w:rPr>
            </w:pPr>
            <w:r>
              <w:rPr>
                <w:rFonts w:ascii="Arial" w:cs="Arial" w:eastAsia="Arial" w:hAnsi="Arial"/>
                <w:sz w:val="16"/>
                <w:szCs w:val="16"/>
                <w:color w:val="auto"/>
              </w:rPr>
              <w:t>$</w:t>
            </w:r>
          </w:p>
        </w:tc>
        <w:tc>
          <w:tcPr>
            <w:tcW w:w="520" w:type="dxa"/>
            <w:vAlign w:val="bottom"/>
          </w:tcPr>
          <w:p>
            <w:pPr>
              <w:jc w:val="right"/>
              <w:spacing w:after="0" w:line="176" w:lineRule="exact"/>
              <w:rPr>
                <w:sz w:val="20"/>
                <w:szCs w:val="20"/>
                <w:color w:val="auto"/>
              </w:rPr>
            </w:pPr>
            <w:r>
              <w:rPr>
                <w:rFonts w:ascii="Arial" w:cs="Arial" w:eastAsia="Arial" w:hAnsi="Arial"/>
                <w:sz w:val="16"/>
                <w:szCs w:val="16"/>
                <w:color w:val="auto"/>
              </w:rPr>
              <w:t>156</w:t>
            </w:r>
          </w:p>
        </w:tc>
        <w:tc>
          <w:tcPr>
            <w:tcW w:w="980" w:type="dxa"/>
            <w:vAlign w:val="bottom"/>
          </w:tcPr>
          <w:p>
            <w:pPr>
              <w:jc w:val="right"/>
              <w:ind w:right="825"/>
              <w:spacing w:after="0"/>
              <w:rPr>
                <w:sz w:val="20"/>
                <w:szCs w:val="20"/>
                <w:color w:val="auto"/>
              </w:rPr>
            </w:pPr>
            <w:r>
              <w:rPr>
                <w:rFonts w:ascii="Arial" w:cs="Arial" w:eastAsia="Arial" w:hAnsi="Arial"/>
                <w:sz w:val="15"/>
                <w:szCs w:val="15"/>
                <w:color w:val="auto"/>
                <w:w w:val="71"/>
              </w:rPr>
              <w:t>$</w:t>
            </w:r>
          </w:p>
        </w:tc>
        <w:tc>
          <w:tcPr>
            <w:tcW w:w="480" w:type="dxa"/>
            <w:vAlign w:val="bottom"/>
          </w:tcPr>
          <w:p>
            <w:pPr>
              <w:jc w:val="right"/>
              <w:spacing w:after="0" w:line="176" w:lineRule="exact"/>
              <w:rPr>
                <w:sz w:val="20"/>
                <w:szCs w:val="20"/>
                <w:color w:val="auto"/>
              </w:rPr>
            </w:pPr>
            <w:r>
              <w:rPr>
                <w:rFonts w:ascii="Arial" w:cs="Arial" w:eastAsia="Arial" w:hAnsi="Arial"/>
                <w:sz w:val="16"/>
                <w:szCs w:val="16"/>
                <w:color w:val="auto"/>
              </w:rPr>
              <w:t>129</w:t>
            </w:r>
          </w:p>
        </w:tc>
        <w:tc>
          <w:tcPr>
            <w:tcW w:w="340" w:type="dxa"/>
            <w:vAlign w:val="bottom"/>
          </w:tcPr>
          <w:p>
            <w:pPr>
              <w:jc w:val="right"/>
              <w:ind w:right="159"/>
              <w:spacing w:after="0" w:line="176" w:lineRule="exact"/>
              <w:rPr>
                <w:sz w:val="20"/>
                <w:szCs w:val="20"/>
                <w:color w:val="auto"/>
              </w:rPr>
            </w:pPr>
            <w:r>
              <w:rPr>
                <w:rFonts w:ascii="Arial" w:cs="Arial" w:eastAsia="Arial" w:hAnsi="Arial"/>
                <w:sz w:val="16"/>
                <w:szCs w:val="16"/>
                <w:color w:val="auto"/>
                <w:w w:val="89"/>
              </w:rPr>
              <w:t>$</w:t>
            </w:r>
          </w:p>
        </w:tc>
        <w:tc>
          <w:tcPr>
            <w:tcW w:w="1140" w:type="dxa"/>
            <w:vAlign w:val="bottom"/>
          </w:tcPr>
          <w:p>
            <w:pPr>
              <w:jc w:val="right"/>
              <w:spacing w:after="0" w:line="176" w:lineRule="exact"/>
              <w:rPr>
                <w:sz w:val="20"/>
                <w:szCs w:val="20"/>
                <w:color w:val="auto"/>
              </w:rPr>
            </w:pPr>
            <w:r>
              <w:rPr>
                <w:rFonts w:ascii="Arial" w:cs="Arial" w:eastAsia="Arial" w:hAnsi="Arial"/>
                <w:sz w:val="16"/>
                <w:szCs w:val="16"/>
                <w:color w:val="auto"/>
              </w:rPr>
              <w:t>327</w:t>
            </w:r>
          </w:p>
        </w:tc>
        <w:tc>
          <w:tcPr>
            <w:tcW w:w="340" w:type="dxa"/>
            <w:vAlign w:val="bottom"/>
          </w:tcPr>
          <w:p>
            <w:pPr>
              <w:jc w:val="right"/>
              <w:ind w:right="159"/>
              <w:spacing w:after="0" w:line="176" w:lineRule="exact"/>
              <w:rPr>
                <w:sz w:val="20"/>
                <w:szCs w:val="20"/>
                <w:color w:val="auto"/>
              </w:rPr>
            </w:pPr>
            <w:r>
              <w:rPr>
                <w:rFonts w:ascii="Arial" w:cs="Arial" w:eastAsia="Arial" w:hAnsi="Arial"/>
                <w:sz w:val="16"/>
                <w:szCs w:val="16"/>
                <w:color w:val="auto"/>
                <w:w w:val="89"/>
              </w:rPr>
              <w:t>$</w:t>
            </w:r>
          </w:p>
        </w:tc>
        <w:tc>
          <w:tcPr>
            <w:tcW w:w="1160" w:type="dxa"/>
            <w:vAlign w:val="bottom"/>
          </w:tcPr>
          <w:p>
            <w:pPr>
              <w:jc w:val="right"/>
              <w:spacing w:after="0" w:line="176" w:lineRule="exact"/>
              <w:rPr>
                <w:sz w:val="20"/>
                <w:szCs w:val="20"/>
                <w:color w:val="auto"/>
              </w:rPr>
            </w:pPr>
            <w:r>
              <w:rPr>
                <w:rFonts w:ascii="Arial" w:cs="Arial" w:eastAsia="Arial" w:hAnsi="Arial"/>
                <w:sz w:val="16"/>
                <w:szCs w:val="16"/>
                <w:color w:val="auto"/>
              </w:rPr>
              <w:t>277</w:t>
            </w:r>
          </w:p>
        </w:tc>
      </w:tr>
      <w:tr>
        <w:trPr>
          <w:trHeight w:val="194"/>
        </w:trPr>
        <w:tc>
          <w:tcPr>
            <w:tcW w:w="4400" w:type="dxa"/>
            <w:vAlign w:val="bottom"/>
            <w:gridSpan w:val="2"/>
          </w:tcPr>
          <w:p>
            <w:pPr>
              <w:spacing w:after="0"/>
              <w:rPr>
                <w:sz w:val="20"/>
                <w:szCs w:val="20"/>
                <w:color w:val="auto"/>
              </w:rPr>
            </w:pPr>
            <w:r>
              <w:rPr>
                <w:rFonts w:ascii="Arial" w:cs="Arial" w:eastAsia="Arial" w:hAnsi="Arial"/>
                <w:sz w:val="16"/>
                <w:szCs w:val="16"/>
                <w:color w:val="auto"/>
              </w:rPr>
              <w:t>Sempra Pipelines &amp; Storage</w:t>
            </w:r>
          </w:p>
        </w:tc>
        <w:tc>
          <w:tcPr>
            <w:tcW w:w="1100" w:type="dxa"/>
            <w:vAlign w:val="bottom"/>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241</w:t>
            </w:r>
          </w:p>
        </w:tc>
        <w:tc>
          <w:tcPr>
            <w:tcW w:w="98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241</w:t>
            </w:r>
          </w:p>
        </w:tc>
        <w:tc>
          <w:tcPr>
            <w:tcW w:w="3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r>
      <w:tr>
        <w:trPr>
          <w:trHeight w:val="183"/>
        </w:trPr>
        <w:tc>
          <w:tcPr>
            <w:tcW w:w="20" w:type="dxa"/>
            <w:vAlign w:val="bottom"/>
          </w:tcPr>
          <w:p>
            <w:pPr>
              <w:spacing w:after="0"/>
              <w:rPr>
                <w:sz w:val="15"/>
                <w:szCs w:val="15"/>
                <w:color w:val="auto"/>
              </w:rPr>
            </w:pPr>
          </w:p>
        </w:tc>
        <w:tc>
          <w:tcPr>
            <w:tcW w:w="4380" w:type="dxa"/>
            <w:vAlign w:val="bottom"/>
            <w:tcBorders>
              <w:bottom w:val="single" w:sz="8" w:color="auto"/>
            </w:tcBorders>
          </w:tcPr>
          <w:p>
            <w:pPr>
              <w:ind w:left="280"/>
              <w:spacing w:after="0" w:line="176" w:lineRule="exact"/>
              <w:rPr>
                <w:sz w:val="20"/>
                <w:szCs w:val="20"/>
                <w:color w:val="auto"/>
              </w:rPr>
            </w:pPr>
            <w:r>
              <w:rPr>
                <w:rFonts w:ascii="Arial" w:cs="Arial" w:eastAsia="Arial" w:hAnsi="Arial"/>
                <w:sz w:val="16"/>
                <w:szCs w:val="16"/>
                <w:color w:val="auto"/>
              </w:rPr>
              <w:t>Total</w:t>
            </w:r>
          </w:p>
        </w:tc>
        <w:tc>
          <w:tcPr>
            <w:tcW w:w="11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781"/>
              <w:spacing w:after="0" w:line="176" w:lineRule="exact"/>
              <w:rPr>
                <w:sz w:val="20"/>
                <w:szCs w:val="20"/>
                <w:color w:val="auto"/>
              </w:rPr>
            </w:pPr>
            <w:r>
              <w:rPr>
                <w:rFonts w:ascii="Arial" w:cs="Arial" w:eastAsia="Arial" w:hAnsi="Arial"/>
                <w:sz w:val="16"/>
                <w:szCs w:val="16"/>
                <w:color w:val="auto"/>
                <w:w w:val="89"/>
              </w:rPr>
              <w:t>$</w:t>
            </w:r>
          </w:p>
        </w:tc>
        <w:tc>
          <w:tcPr>
            <w:tcW w:w="52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6"/>
                <w:szCs w:val="16"/>
                <w:color w:val="auto"/>
              </w:rPr>
              <w:t>397</w:t>
            </w:r>
          </w:p>
        </w:tc>
        <w:tc>
          <w:tcPr>
            <w:tcW w:w="980" w:type="dxa"/>
            <w:vAlign w:val="bottom"/>
            <w:tcBorders>
              <w:bottom w:val="single" w:sz="8" w:color="auto"/>
            </w:tcBorders>
          </w:tcPr>
          <w:p>
            <w:pPr>
              <w:jc w:val="right"/>
              <w:ind w:right="825"/>
              <w:spacing w:after="0"/>
              <w:rPr>
                <w:sz w:val="20"/>
                <w:szCs w:val="20"/>
                <w:color w:val="auto"/>
              </w:rPr>
            </w:pPr>
            <w:r>
              <w:rPr>
                <w:rFonts w:ascii="Arial" w:cs="Arial" w:eastAsia="Arial" w:hAnsi="Arial"/>
                <w:sz w:val="15"/>
                <w:szCs w:val="15"/>
                <w:color w:val="auto"/>
                <w:w w:val="71"/>
              </w:rPr>
              <w:t>$</w:t>
            </w:r>
          </w:p>
        </w:tc>
        <w:tc>
          <w:tcPr>
            <w:tcW w:w="48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6"/>
                <w:szCs w:val="16"/>
                <w:color w:val="auto"/>
              </w:rPr>
              <w:t>129</w:t>
            </w:r>
          </w:p>
        </w:tc>
        <w:tc>
          <w:tcPr>
            <w:tcW w:w="340" w:type="dxa"/>
            <w:vAlign w:val="bottom"/>
            <w:tcBorders>
              <w:bottom w:val="single" w:sz="8" w:color="auto"/>
            </w:tcBorders>
          </w:tcPr>
          <w:p>
            <w:pPr>
              <w:jc w:val="right"/>
              <w:ind w:right="159"/>
              <w:spacing w:after="0" w:line="176" w:lineRule="exact"/>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6"/>
                <w:szCs w:val="16"/>
                <w:color w:val="auto"/>
              </w:rPr>
              <w:t>568</w:t>
            </w:r>
          </w:p>
        </w:tc>
        <w:tc>
          <w:tcPr>
            <w:tcW w:w="340" w:type="dxa"/>
            <w:vAlign w:val="bottom"/>
            <w:tcBorders>
              <w:bottom w:val="single" w:sz="8" w:color="auto"/>
            </w:tcBorders>
          </w:tcPr>
          <w:p>
            <w:pPr>
              <w:jc w:val="right"/>
              <w:ind w:right="159"/>
              <w:spacing w:after="0" w:line="176" w:lineRule="exact"/>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6"/>
                <w:szCs w:val="16"/>
                <w:color w:val="auto"/>
              </w:rPr>
              <w:t>277</w:t>
            </w:r>
          </w:p>
        </w:tc>
      </w:tr>
    </w:tbl>
    <w:p>
      <w:pPr>
        <w:spacing w:after="0" w:line="199"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Sempra Energy Consolidated</w:t>
      </w:r>
    </w:p>
    <w:p>
      <w:pPr>
        <w:spacing w:after="0" w:line="202"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Electric Revenues</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During the three months ended June 30, 2011, our electric revenues increased by $320 million (55%) to $906 million primarily due to:</w:t>
      </w:r>
    </w:p>
    <w:p>
      <w:pPr>
        <w:spacing w:after="0" w:line="221" w:lineRule="exact"/>
        <w:rPr>
          <w:sz w:val="20"/>
          <w:szCs w:val="20"/>
          <w:color w:val="auto"/>
        </w:rPr>
      </w:pPr>
    </w:p>
    <w:p>
      <w:pPr>
        <w:ind w:left="340" w:hanging="188"/>
        <w:spacing w:after="0"/>
        <w:tabs>
          <w:tab w:leader="none" w:pos="340" w:val="left"/>
        </w:tabs>
        <w:numPr>
          <w:ilvl w:val="0"/>
          <w:numId w:val="63"/>
        </w:numPr>
        <w:rPr>
          <w:rFonts w:ascii="Arial" w:cs="Arial" w:eastAsia="Arial" w:hAnsi="Arial"/>
          <w:sz w:val="18"/>
          <w:szCs w:val="18"/>
          <w:color w:val="auto"/>
        </w:rPr>
      </w:pPr>
      <w:r>
        <w:rPr>
          <w:rFonts w:ascii="Arial" w:cs="Arial" w:eastAsia="Arial" w:hAnsi="Arial"/>
          <w:sz w:val="18"/>
          <w:szCs w:val="18"/>
          <w:color w:val="auto"/>
        </w:rPr>
        <w:t xml:space="preserve">$324 million from the consolidation of electric revenues of Chilquinta Energía and Luz del Sur acquired in April 2011; </w:t>
      </w:r>
      <w:r>
        <w:rPr>
          <w:rFonts w:ascii="Arial" w:cs="Arial" w:eastAsia="Arial" w:hAnsi="Arial"/>
          <w:sz w:val="18"/>
          <w:szCs w:val="18"/>
          <w:b w:val="1"/>
          <w:bCs w:val="1"/>
          <w:color w:val="auto"/>
        </w:rPr>
        <w:t>offset by</w:t>
      </w:r>
    </w:p>
    <w:p>
      <w:pPr>
        <w:spacing w:after="0" w:line="256" w:lineRule="exact"/>
        <w:rPr>
          <w:rFonts w:ascii="Arial" w:cs="Arial" w:eastAsia="Arial" w:hAnsi="Arial"/>
          <w:sz w:val="18"/>
          <w:szCs w:val="18"/>
          <w:color w:val="auto"/>
        </w:rPr>
      </w:pPr>
    </w:p>
    <w:p>
      <w:pPr>
        <w:ind w:left="340" w:hanging="188"/>
        <w:spacing w:after="0"/>
        <w:tabs>
          <w:tab w:leader="none" w:pos="340" w:val="left"/>
        </w:tabs>
        <w:numPr>
          <w:ilvl w:val="0"/>
          <w:numId w:val="63"/>
        </w:numPr>
        <w:rPr>
          <w:rFonts w:ascii="Arial" w:cs="Arial" w:eastAsia="Arial" w:hAnsi="Arial"/>
          <w:sz w:val="18"/>
          <w:szCs w:val="18"/>
          <w:color w:val="auto"/>
        </w:rPr>
      </w:pPr>
      <w:r>
        <w:rPr>
          <w:rFonts w:ascii="Arial" w:cs="Arial" w:eastAsia="Arial" w:hAnsi="Arial"/>
          <w:sz w:val="18"/>
          <w:szCs w:val="18"/>
          <w:color w:val="auto"/>
        </w:rPr>
        <w:t>$6 million decrease at SDG&amp;E, which we discuss below.</w:t>
      </w:r>
    </w:p>
    <w:p>
      <w:pPr>
        <w:spacing w:after="0" w:line="252" w:lineRule="exact"/>
        <w:rPr>
          <w:sz w:val="20"/>
          <w:szCs w:val="20"/>
          <w:color w:val="auto"/>
        </w:rPr>
      </w:pPr>
    </w:p>
    <w:p>
      <w:pPr>
        <w:spacing w:after="0"/>
        <w:rPr>
          <w:sz w:val="20"/>
          <w:szCs w:val="20"/>
          <w:color w:val="auto"/>
        </w:rPr>
      </w:pPr>
      <w:r>
        <w:rPr>
          <w:rFonts w:ascii="Arial" w:cs="Arial" w:eastAsia="Arial" w:hAnsi="Arial"/>
          <w:sz w:val="16"/>
          <w:szCs w:val="16"/>
          <w:color w:val="auto"/>
        </w:rPr>
        <w:t>Our utilities’ cost of electric fuel and purchased power increased by $268 million to $397 million in the three months ended June 30, 2011 primarily due to:</w:t>
      </w:r>
    </w:p>
    <w:p>
      <w:pPr>
        <w:spacing w:after="0" w:line="248" w:lineRule="exact"/>
        <w:rPr>
          <w:sz w:val="20"/>
          <w:szCs w:val="20"/>
          <w:color w:val="auto"/>
        </w:rPr>
      </w:pPr>
    </w:p>
    <w:p>
      <w:pPr>
        <w:ind w:left="340" w:hanging="188"/>
        <w:spacing w:after="0"/>
        <w:tabs>
          <w:tab w:leader="none" w:pos="340" w:val="left"/>
        </w:tabs>
        <w:numPr>
          <w:ilvl w:val="0"/>
          <w:numId w:val="64"/>
        </w:numPr>
        <w:rPr>
          <w:rFonts w:ascii="Arial" w:cs="Arial" w:eastAsia="Arial" w:hAnsi="Arial"/>
          <w:sz w:val="18"/>
          <w:szCs w:val="18"/>
          <w:color w:val="auto"/>
        </w:rPr>
      </w:pPr>
      <w:r>
        <w:rPr>
          <w:rFonts w:ascii="Arial" w:cs="Arial" w:eastAsia="Arial" w:hAnsi="Arial"/>
          <w:sz w:val="18"/>
          <w:szCs w:val="18"/>
          <w:color w:val="auto"/>
        </w:rPr>
        <w:t>$241 million from the consolidation of cost of electric fuel and purchased power of Chilquinta Energía and Luz del Sur; and</w:t>
      </w:r>
    </w:p>
    <w:p>
      <w:pPr>
        <w:spacing w:after="0" w:line="252" w:lineRule="exact"/>
        <w:rPr>
          <w:rFonts w:ascii="Arial" w:cs="Arial" w:eastAsia="Arial" w:hAnsi="Arial"/>
          <w:sz w:val="18"/>
          <w:szCs w:val="18"/>
          <w:color w:val="auto"/>
        </w:rPr>
      </w:pPr>
    </w:p>
    <w:p>
      <w:pPr>
        <w:ind w:left="340" w:hanging="188"/>
        <w:spacing w:after="0"/>
        <w:tabs>
          <w:tab w:leader="none" w:pos="340" w:val="left"/>
        </w:tabs>
        <w:numPr>
          <w:ilvl w:val="0"/>
          <w:numId w:val="64"/>
        </w:numPr>
        <w:rPr>
          <w:rFonts w:ascii="Arial" w:cs="Arial" w:eastAsia="Arial" w:hAnsi="Arial"/>
          <w:sz w:val="18"/>
          <w:szCs w:val="18"/>
          <w:color w:val="auto"/>
        </w:rPr>
      </w:pPr>
      <w:r>
        <w:rPr>
          <w:rFonts w:ascii="Arial" w:cs="Arial" w:eastAsia="Arial" w:hAnsi="Arial"/>
          <w:sz w:val="18"/>
          <w:szCs w:val="18"/>
          <w:color w:val="auto"/>
        </w:rPr>
        <w:t>$27 million increase at SDG&amp;E, which we discuss below.</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During the six months ended June 30, 2011, electric revenues increased by $421 million (37%) to $1.6 billion, primarily due to:</w:t>
      </w:r>
    </w:p>
    <w:p>
      <w:pPr>
        <w:spacing w:after="0" w:line="225" w:lineRule="exact"/>
        <w:rPr>
          <w:sz w:val="20"/>
          <w:szCs w:val="20"/>
          <w:color w:val="auto"/>
        </w:rPr>
      </w:pPr>
    </w:p>
    <w:p>
      <w:pPr>
        <w:ind w:left="340" w:hanging="188"/>
        <w:spacing w:after="0"/>
        <w:tabs>
          <w:tab w:leader="none" w:pos="340" w:val="left"/>
        </w:tabs>
        <w:numPr>
          <w:ilvl w:val="0"/>
          <w:numId w:val="65"/>
        </w:numPr>
        <w:rPr>
          <w:rFonts w:ascii="Arial" w:cs="Arial" w:eastAsia="Arial" w:hAnsi="Arial"/>
          <w:sz w:val="18"/>
          <w:szCs w:val="18"/>
          <w:color w:val="auto"/>
        </w:rPr>
      </w:pPr>
      <w:r>
        <w:rPr>
          <w:rFonts w:ascii="Arial" w:cs="Arial" w:eastAsia="Arial" w:hAnsi="Arial"/>
          <w:sz w:val="18"/>
          <w:szCs w:val="18"/>
          <w:color w:val="auto"/>
        </w:rPr>
        <w:t>$324 million from the consolidation of electric revenues of Chilquinta Energía and Luz del Sur acquired in April 2011; and</w:t>
      </w:r>
    </w:p>
    <w:p>
      <w:pPr>
        <w:spacing w:after="0" w:line="252" w:lineRule="exact"/>
        <w:rPr>
          <w:rFonts w:ascii="Arial" w:cs="Arial" w:eastAsia="Arial" w:hAnsi="Arial"/>
          <w:sz w:val="18"/>
          <w:szCs w:val="18"/>
          <w:color w:val="auto"/>
        </w:rPr>
      </w:pPr>
    </w:p>
    <w:p>
      <w:pPr>
        <w:ind w:left="340" w:hanging="188"/>
        <w:spacing w:after="0"/>
        <w:tabs>
          <w:tab w:leader="none" w:pos="340" w:val="left"/>
        </w:tabs>
        <w:numPr>
          <w:ilvl w:val="0"/>
          <w:numId w:val="65"/>
        </w:numPr>
        <w:rPr>
          <w:rFonts w:ascii="Arial" w:cs="Arial" w:eastAsia="Arial" w:hAnsi="Arial"/>
          <w:sz w:val="18"/>
          <w:szCs w:val="18"/>
          <w:color w:val="auto"/>
        </w:rPr>
      </w:pPr>
      <w:r>
        <w:rPr>
          <w:rFonts w:ascii="Arial" w:cs="Arial" w:eastAsia="Arial" w:hAnsi="Arial"/>
          <w:sz w:val="18"/>
          <w:szCs w:val="18"/>
          <w:color w:val="auto"/>
        </w:rPr>
        <w:t>$96 million increase at SDG&amp;E, which we discuss below.</w:t>
      </w:r>
    </w:p>
    <w:p>
      <w:pPr>
        <w:spacing w:after="0" w:line="252" w:lineRule="exact"/>
        <w:rPr>
          <w:sz w:val="20"/>
          <w:szCs w:val="20"/>
          <w:color w:val="auto"/>
        </w:rPr>
      </w:pPr>
    </w:p>
    <w:p>
      <w:pPr>
        <w:spacing w:after="0"/>
        <w:rPr>
          <w:sz w:val="20"/>
          <w:szCs w:val="20"/>
          <w:color w:val="auto"/>
        </w:rPr>
      </w:pPr>
      <w:r>
        <w:rPr>
          <w:rFonts w:ascii="Arial" w:cs="Arial" w:eastAsia="Arial" w:hAnsi="Arial"/>
          <w:sz w:val="17"/>
          <w:szCs w:val="17"/>
          <w:color w:val="auto"/>
        </w:rPr>
        <w:t>Our utilities’ cost of electric fuel and purchased power increased by $291 million to $568 million in the six months ended June 30, 2011 primarily due to:</w:t>
      </w:r>
    </w:p>
    <w:p>
      <w:pPr>
        <w:spacing w:after="0" w:line="237" w:lineRule="exact"/>
        <w:rPr>
          <w:sz w:val="20"/>
          <w:szCs w:val="20"/>
          <w:color w:val="auto"/>
        </w:rPr>
      </w:pPr>
    </w:p>
    <w:p>
      <w:pPr>
        <w:ind w:left="340" w:hanging="188"/>
        <w:spacing w:after="0"/>
        <w:tabs>
          <w:tab w:leader="none" w:pos="340" w:val="left"/>
        </w:tabs>
        <w:numPr>
          <w:ilvl w:val="0"/>
          <w:numId w:val="66"/>
        </w:numPr>
        <w:rPr>
          <w:rFonts w:ascii="Arial" w:cs="Arial" w:eastAsia="Arial" w:hAnsi="Arial"/>
          <w:sz w:val="18"/>
          <w:szCs w:val="18"/>
          <w:color w:val="auto"/>
        </w:rPr>
      </w:pPr>
      <w:r>
        <w:rPr>
          <w:rFonts w:ascii="Arial" w:cs="Arial" w:eastAsia="Arial" w:hAnsi="Arial"/>
          <w:sz w:val="18"/>
          <w:szCs w:val="18"/>
          <w:color w:val="auto"/>
        </w:rPr>
        <w:t>$241 million from the consolidation of cost of electric fuel and purchased power of Chilquinta Energía and Luz del Sur; and</w:t>
      </w:r>
    </w:p>
    <w:p>
      <w:pPr>
        <w:spacing w:after="0" w:line="252" w:lineRule="exact"/>
        <w:rPr>
          <w:rFonts w:ascii="Arial" w:cs="Arial" w:eastAsia="Arial" w:hAnsi="Arial"/>
          <w:sz w:val="18"/>
          <w:szCs w:val="18"/>
          <w:color w:val="auto"/>
        </w:rPr>
      </w:pPr>
    </w:p>
    <w:p>
      <w:pPr>
        <w:ind w:left="340" w:hanging="188"/>
        <w:spacing w:after="0"/>
        <w:tabs>
          <w:tab w:leader="none" w:pos="340" w:val="left"/>
        </w:tabs>
        <w:numPr>
          <w:ilvl w:val="0"/>
          <w:numId w:val="66"/>
        </w:numPr>
        <w:rPr>
          <w:rFonts w:ascii="Arial" w:cs="Arial" w:eastAsia="Arial" w:hAnsi="Arial"/>
          <w:sz w:val="18"/>
          <w:szCs w:val="18"/>
          <w:color w:val="auto"/>
        </w:rPr>
      </w:pPr>
      <w:r>
        <w:rPr>
          <w:rFonts w:ascii="Arial" w:cs="Arial" w:eastAsia="Arial" w:hAnsi="Arial"/>
          <w:sz w:val="18"/>
          <w:szCs w:val="18"/>
          <w:color w:val="auto"/>
        </w:rPr>
        <w:t>$50 million increase at SDG&amp;E, which we discuss below.</w:t>
      </w:r>
    </w:p>
    <w:p>
      <w:pPr>
        <w:spacing w:after="0" w:line="250"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Natural Gas Revenues</w:t>
      </w:r>
    </w:p>
    <w:p>
      <w:pPr>
        <w:sectPr>
          <w:pgSz w:w="11900" w:h="16838" w:orient="portrait"/>
          <w:cols w:equalWidth="0" w:num="1">
            <w:col w:w="11420"/>
          </w:cols>
          <w:pgMar w:left="240" w:top="368" w:right="239" w:bottom="0" w:gutter="0" w:footer="0" w:header="0"/>
        </w:sectPr>
      </w:pPr>
    </w:p>
    <w:bookmarkStart w:id="57" w:name="page58"/>
    <w:bookmarkEnd w:id="57"/>
    <w:p>
      <w:pPr>
        <w:ind w:right="40"/>
        <w:spacing w:after="0" w:line="264" w:lineRule="auto"/>
        <w:rPr>
          <w:sz w:val="20"/>
          <w:szCs w:val="20"/>
          <w:color w:val="auto"/>
        </w:rPr>
      </w:pPr>
      <w:r>
        <w:rPr>
          <w:rFonts w:ascii="Arial" w:cs="Arial" w:eastAsia="Arial" w:hAnsi="Arial"/>
          <w:sz w:val="18"/>
          <w:szCs w:val="18"/>
          <w:color w:val="auto"/>
        </w:rPr>
        <w:t>During the three months ended June 30, 2011, Sempra Energy’s natural gas revenues increased by $52 million (5%) to $1.0 billion, and the cost of natural gas increased by $22 million (6%) to $403 million. During the six months ended June 30, 2011, our natural gas revenues decreased by $94 million (4%) to $2.3 billion, and the cost of natural gas decreased by $139 million (12%) to $1.0 billion.</w:t>
      </w:r>
    </w:p>
    <w:p>
      <w:pPr>
        <w:spacing w:after="0" w:line="181" w:lineRule="exact"/>
        <w:rPr>
          <w:sz w:val="20"/>
          <w:szCs w:val="20"/>
          <w:color w:val="auto"/>
        </w:rPr>
      </w:pPr>
    </w:p>
    <w:p>
      <w:pPr>
        <w:ind w:right="460"/>
        <w:spacing w:after="0" w:line="342" w:lineRule="auto"/>
        <w:rPr>
          <w:sz w:val="20"/>
          <w:szCs w:val="20"/>
          <w:color w:val="auto"/>
        </w:rPr>
      </w:pPr>
      <w:r>
        <w:rPr>
          <w:rFonts w:ascii="Arial" w:cs="Arial" w:eastAsia="Arial" w:hAnsi="Arial"/>
          <w:sz w:val="16"/>
          <w:szCs w:val="16"/>
          <w:color w:val="auto"/>
        </w:rPr>
        <w:t>The changes in natural gas revenues and cost of natural gas for both the three months and six months ended June 30, 2011 were primarily attributable to SoCalGas. We discuss the changes in natural gas revenues and the cost of natural gas individually for SDG&amp;E and SoCalGas below.</w:t>
      </w:r>
    </w:p>
    <w:p>
      <w:pPr>
        <w:spacing w:after="0" w:line="337"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SDG&amp;E: Electric Revenues and Cost of Electric Fuel and Purchased Power</w:t>
      </w:r>
    </w:p>
    <w:p>
      <w:pPr>
        <w:spacing w:after="0" w:line="205"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The table below shows electric revenues for SDG&amp;E for the six-month periods ended June 30, 2011 and 2010. Because the cost of electricity is substantially recovered in rates, changes in the cost are reflected in the changes in revenues.</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SDG&amp;E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-104775</wp:posOffset>
            </wp:positionV>
            <wp:extent cx="7246620" cy="3346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46620" cy="334645"/>
                    </a:xfrm>
                    <a:prstGeom prst="rect">
                      <a:avLst/>
                    </a:prstGeom>
                    <a:noFill/>
                  </pic:spPr>
                </pic:pic>
              </a:graphicData>
            </a:graphic>
          </wp:anchor>
        </w:drawing>
      </w:r>
    </w:p>
    <w:p>
      <w:pPr>
        <w:spacing w:after="0"/>
        <w:rPr>
          <w:sz w:val="20"/>
          <w:szCs w:val="20"/>
          <w:color w:val="auto"/>
        </w:rPr>
      </w:pPr>
      <w:r>
        <w:rPr>
          <w:rFonts w:ascii="Arial" w:cs="Arial" w:eastAsia="Arial" w:hAnsi="Arial"/>
          <w:sz w:val="16"/>
          <w:szCs w:val="16"/>
          <w:b w:val="1"/>
          <w:bCs w:val="1"/>
          <w:color w:val="auto"/>
        </w:rPr>
        <w:t>ELECTRIC DISTRIBUTION AND TRANSMISSION</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580" w:type="dxa"/>
            <w:vAlign w:val="bottom"/>
          </w:tcPr>
          <w:p>
            <w:pPr>
              <w:spacing w:after="0"/>
              <w:rPr>
                <w:sz w:val="20"/>
                <w:szCs w:val="20"/>
                <w:color w:val="auto"/>
              </w:rPr>
            </w:pPr>
            <w:r>
              <w:rPr>
                <w:rFonts w:ascii="Arial" w:cs="Arial" w:eastAsia="Arial" w:hAnsi="Arial"/>
                <w:sz w:val="14"/>
                <w:szCs w:val="14"/>
                <w:i w:val="1"/>
                <w:iCs w:val="1"/>
                <w:color w:val="auto"/>
              </w:rPr>
              <w:t>(Volumes in millions of kilowatt-hours, dollars in millions)</w:t>
            </w:r>
          </w:p>
        </w:tc>
        <w:tc>
          <w:tcPr>
            <w:tcW w:w="2460" w:type="dxa"/>
            <w:vAlign w:val="bottom"/>
            <w:gridSpan w:val="2"/>
            <w:vMerge w:val="restart"/>
          </w:tcPr>
          <w:p>
            <w:pPr>
              <w:jc w:val="center"/>
              <w:ind w:left="382"/>
              <w:spacing w:after="0"/>
              <w:rPr>
                <w:sz w:val="20"/>
                <w:szCs w:val="20"/>
                <w:color w:val="auto"/>
              </w:rPr>
            </w:pPr>
            <w:r>
              <w:rPr>
                <w:rFonts w:ascii="Arial" w:cs="Arial" w:eastAsia="Arial" w:hAnsi="Arial"/>
                <w:sz w:val="14"/>
                <w:szCs w:val="14"/>
                <w:color w:val="auto"/>
              </w:rPr>
              <w:t>Six months ended</w:t>
            </w:r>
          </w:p>
        </w:tc>
        <w:tc>
          <w:tcPr>
            <w:tcW w:w="660" w:type="dxa"/>
            <w:vAlign w:val="bottom"/>
          </w:tcPr>
          <w:p>
            <w:pPr>
              <w:spacing w:after="0"/>
              <w:rPr>
                <w:sz w:val="16"/>
                <w:szCs w:val="16"/>
                <w:color w:val="auto"/>
              </w:rPr>
            </w:pPr>
          </w:p>
        </w:tc>
        <w:tc>
          <w:tcPr>
            <w:tcW w:w="2720" w:type="dxa"/>
            <w:vAlign w:val="bottom"/>
            <w:gridSpan w:val="3"/>
            <w:vMerge w:val="restart"/>
          </w:tcPr>
          <w:p>
            <w:pPr>
              <w:jc w:val="right"/>
              <w:ind w:right="800"/>
              <w:spacing w:after="0"/>
              <w:rPr>
                <w:sz w:val="20"/>
                <w:szCs w:val="20"/>
                <w:color w:val="auto"/>
              </w:rPr>
            </w:pPr>
            <w:r>
              <w:rPr>
                <w:rFonts w:ascii="Arial" w:cs="Arial" w:eastAsia="Arial" w:hAnsi="Arial"/>
                <w:sz w:val="14"/>
                <w:szCs w:val="14"/>
                <w:color w:val="auto"/>
              </w:rPr>
              <w:t>Six months ended</w:t>
            </w:r>
          </w:p>
        </w:tc>
        <w:tc>
          <w:tcPr>
            <w:tcW w:w="0" w:type="dxa"/>
            <w:vAlign w:val="bottom"/>
          </w:tcPr>
          <w:p>
            <w:pPr>
              <w:spacing w:after="0"/>
              <w:rPr>
                <w:sz w:val="1"/>
                <w:szCs w:val="1"/>
                <w:color w:val="auto"/>
              </w:rPr>
            </w:pPr>
          </w:p>
        </w:tc>
      </w:tr>
      <w:tr>
        <w:trPr>
          <w:trHeight w:val="138"/>
        </w:trPr>
        <w:tc>
          <w:tcPr>
            <w:tcW w:w="5580" w:type="dxa"/>
            <w:vAlign w:val="bottom"/>
          </w:tcPr>
          <w:p>
            <w:pPr>
              <w:spacing w:after="0"/>
              <w:rPr>
                <w:sz w:val="11"/>
                <w:szCs w:val="11"/>
                <w:color w:val="auto"/>
              </w:rPr>
            </w:pPr>
          </w:p>
        </w:tc>
        <w:tc>
          <w:tcPr>
            <w:tcW w:w="2460" w:type="dxa"/>
            <w:vAlign w:val="bottom"/>
            <w:gridSpan w:val="2"/>
            <w:vMerge w:val="continue"/>
          </w:tcPr>
          <w:p>
            <w:pPr>
              <w:spacing w:after="0"/>
              <w:rPr>
                <w:sz w:val="11"/>
                <w:szCs w:val="11"/>
                <w:color w:val="auto"/>
              </w:rPr>
            </w:pPr>
          </w:p>
        </w:tc>
        <w:tc>
          <w:tcPr>
            <w:tcW w:w="660" w:type="dxa"/>
            <w:vAlign w:val="bottom"/>
          </w:tcPr>
          <w:p>
            <w:pPr>
              <w:spacing w:after="0"/>
              <w:rPr>
                <w:sz w:val="11"/>
                <w:szCs w:val="11"/>
                <w:color w:val="auto"/>
              </w:rPr>
            </w:pPr>
          </w:p>
        </w:tc>
        <w:tc>
          <w:tcPr>
            <w:tcW w:w="2720" w:type="dxa"/>
            <w:vAlign w:val="bottom"/>
            <w:gridSpan w:val="3"/>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64"/>
        </w:trPr>
        <w:tc>
          <w:tcPr>
            <w:tcW w:w="5580" w:type="dxa"/>
            <w:vAlign w:val="bottom"/>
          </w:tcPr>
          <w:p>
            <w:pPr>
              <w:spacing w:after="0"/>
              <w:rPr>
                <w:sz w:val="14"/>
                <w:szCs w:val="14"/>
                <w:color w:val="auto"/>
              </w:rPr>
            </w:pPr>
          </w:p>
        </w:tc>
        <w:tc>
          <w:tcPr>
            <w:tcW w:w="2460" w:type="dxa"/>
            <w:vAlign w:val="bottom"/>
            <w:tcBorders>
              <w:bottom w:val="single" w:sz="8" w:color="auto"/>
            </w:tcBorders>
            <w:gridSpan w:val="2"/>
          </w:tcPr>
          <w:p>
            <w:pPr>
              <w:jc w:val="center"/>
              <w:ind w:left="382"/>
              <w:spacing w:after="0" w:line="157" w:lineRule="exact"/>
              <w:rPr>
                <w:sz w:val="20"/>
                <w:szCs w:val="20"/>
                <w:color w:val="auto"/>
              </w:rPr>
            </w:pPr>
            <w:r>
              <w:rPr>
                <w:rFonts w:ascii="Arial" w:cs="Arial" w:eastAsia="Arial" w:hAnsi="Arial"/>
                <w:sz w:val="14"/>
                <w:szCs w:val="14"/>
                <w:color w:val="auto"/>
              </w:rPr>
              <w:t>June 30, 2011</w:t>
            </w:r>
          </w:p>
        </w:tc>
        <w:tc>
          <w:tcPr>
            <w:tcW w:w="660" w:type="dxa"/>
            <w:vAlign w:val="bottom"/>
            <w:tcBorders>
              <w:bottom w:val="single" w:sz="8" w:color="auto"/>
            </w:tcBorders>
          </w:tcPr>
          <w:p>
            <w:pPr>
              <w:spacing w:after="0"/>
              <w:rPr>
                <w:sz w:val="14"/>
                <w:szCs w:val="14"/>
                <w:color w:val="auto"/>
              </w:rPr>
            </w:pPr>
          </w:p>
        </w:tc>
        <w:tc>
          <w:tcPr>
            <w:tcW w:w="2720" w:type="dxa"/>
            <w:vAlign w:val="bottom"/>
            <w:tcBorders>
              <w:bottom w:val="single" w:sz="8" w:color="auto"/>
            </w:tcBorders>
            <w:gridSpan w:val="3"/>
          </w:tcPr>
          <w:p>
            <w:pPr>
              <w:jc w:val="right"/>
              <w:ind w:right="920"/>
              <w:spacing w:after="0" w:line="157" w:lineRule="exact"/>
              <w:rPr>
                <w:sz w:val="20"/>
                <w:szCs w:val="20"/>
                <w:color w:val="auto"/>
              </w:rPr>
            </w:pPr>
            <w:r>
              <w:rPr>
                <w:rFonts w:ascii="Arial" w:cs="Arial" w:eastAsia="Arial" w:hAnsi="Arial"/>
                <w:sz w:val="14"/>
                <w:szCs w:val="14"/>
                <w:color w:val="auto"/>
              </w:rPr>
              <w:t>June 30, 2010</w:t>
            </w:r>
          </w:p>
        </w:tc>
        <w:tc>
          <w:tcPr>
            <w:tcW w:w="0" w:type="dxa"/>
            <w:vAlign w:val="bottom"/>
          </w:tcPr>
          <w:p>
            <w:pPr>
              <w:spacing w:after="0"/>
              <w:rPr>
                <w:sz w:val="1"/>
                <w:szCs w:val="1"/>
                <w:color w:val="auto"/>
              </w:rPr>
            </w:pPr>
          </w:p>
        </w:tc>
      </w:tr>
      <w:tr>
        <w:trPr>
          <w:trHeight w:val="169"/>
        </w:trPr>
        <w:tc>
          <w:tcPr>
            <w:tcW w:w="558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Customer class</w:t>
            </w:r>
          </w:p>
        </w:tc>
        <w:tc>
          <w:tcPr>
            <w:tcW w:w="1380" w:type="dxa"/>
            <w:vAlign w:val="bottom"/>
            <w:tcBorders>
              <w:bottom w:val="single" w:sz="8" w:color="auto"/>
            </w:tcBorders>
          </w:tcPr>
          <w:p>
            <w:pPr>
              <w:jc w:val="right"/>
              <w:ind w:right="322"/>
              <w:spacing w:after="0"/>
              <w:rPr>
                <w:sz w:val="20"/>
                <w:szCs w:val="20"/>
                <w:color w:val="auto"/>
              </w:rPr>
            </w:pPr>
            <w:r>
              <w:rPr>
                <w:rFonts w:ascii="Arial" w:cs="Arial" w:eastAsia="Arial" w:hAnsi="Arial"/>
                <w:sz w:val="14"/>
                <w:szCs w:val="14"/>
                <w:color w:val="auto"/>
              </w:rPr>
              <w:t>Volumes</w:t>
            </w:r>
          </w:p>
        </w:tc>
        <w:tc>
          <w:tcPr>
            <w:tcW w:w="1080" w:type="dxa"/>
            <w:vAlign w:val="bottom"/>
            <w:tcBorders>
              <w:bottom w:val="single" w:sz="8" w:color="auto"/>
            </w:tcBorders>
          </w:tcPr>
          <w:p>
            <w:pPr>
              <w:ind w:left="480"/>
              <w:spacing w:after="0"/>
              <w:rPr>
                <w:sz w:val="20"/>
                <w:szCs w:val="20"/>
                <w:color w:val="auto"/>
              </w:rPr>
            </w:pPr>
            <w:r>
              <w:rPr>
                <w:rFonts w:ascii="Arial" w:cs="Arial" w:eastAsia="Arial" w:hAnsi="Arial"/>
                <w:sz w:val="14"/>
                <w:szCs w:val="14"/>
                <w:color w:val="auto"/>
              </w:rPr>
              <w:t>Revenue</w:t>
            </w:r>
          </w:p>
        </w:tc>
        <w:tc>
          <w:tcPr>
            <w:tcW w:w="66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322"/>
              <w:spacing w:after="0"/>
              <w:rPr>
                <w:sz w:val="20"/>
                <w:szCs w:val="20"/>
                <w:color w:val="auto"/>
              </w:rPr>
            </w:pPr>
            <w:r>
              <w:rPr>
                <w:rFonts w:ascii="Arial" w:cs="Arial" w:eastAsia="Arial" w:hAnsi="Arial"/>
                <w:sz w:val="14"/>
                <w:szCs w:val="14"/>
                <w:color w:val="auto"/>
              </w:rPr>
              <w:t>Volumes</w:t>
            </w:r>
          </w:p>
        </w:tc>
        <w:tc>
          <w:tcPr>
            <w:tcW w:w="30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right"/>
              <w:ind w:right="400"/>
              <w:spacing w:after="0"/>
              <w:rPr>
                <w:sz w:val="20"/>
                <w:szCs w:val="20"/>
                <w:color w:val="auto"/>
              </w:rPr>
            </w:pPr>
            <w:r>
              <w:rPr>
                <w:rFonts w:ascii="Arial" w:cs="Arial" w:eastAsia="Arial" w:hAnsi="Arial"/>
                <w:sz w:val="14"/>
                <w:szCs w:val="14"/>
                <w:color w:val="auto"/>
              </w:rPr>
              <w:t>Revenue</w:t>
            </w:r>
          </w:p>
        </w:tc>
        <w:tc>
          <w:tcPr>
            <w:tcW w:w="0" w:type="dxa"/>
            <w:vAlign w:val="bottom"/>
          </w:tcPr>
          <w:p>
            <w:pPr>
              <w:spacing w:after="0"/>
              <w:rPr>
                <w:sz w:val="1"/>
                <w:szCs w:val="1"/>
                <w:color w:val="auto"/>
              </w:rPr>
            </w:pPr>
          </w:p>
        </w:tc>
      </w:tr>
      <w:tr>
        <w:trPr>
          <w:trHeight w:val="164"/>
        </w:trPr>
        <w:tc>
          <w:tcPr>
            <w:tcW w:w="5580" w:type="dxa"/>
            <w:vAlign w:val="bottom"/>
          </w:tcPr>
          <w:p>
            <w:pPr>
              <w:spacing w:after="0" w:line="164" w:lineRule="exact"/>
              <w:rPr>
                <w:sz w:val="20"/>
                <w:szCs w:val="20"/>
                <w:color w:val="auto"/>
              </w:rPr>
            </w:pPr>
            <w:r>
              <w:rPr>
                <w:rFonts w:ascii="Arial" w:cs="Arial" w:eastAsia="Arial" w:hAnsi="Arial"/>
                <w:sz w:val="16"/>
                <w:szCs w:val="16"/>
                <w:color w:val="auto"/>
              </w:rPr>
              <w:t>Residential</w:t>
            </w:r>
          </w:p>
        </w:tc>
        <w:tc>
          <w:tcPr>
            <w:tcW w:w="1380" w:type="dxa"/>
            <w:vAlign w:val="bottom"/>
          </w:tcPr>
          <w:p>
            <w:pPr>
              <w:jc w:val="right"/>
              <w:spacing w:after="0" w:line="164" w:lineRule="exact"/>
              <w:rPr>
                <w:sz w:val="20"/>
                <w:szCs w:val="20"/>
                <w:color w:val="auto"/>
              </w:rPr>
            </w:pPr>
            <w:r>
              <w:rPr>
                <w:rFonts w:ascii="Arial" w:cs="Arial" w:eastAsia="Arial" w:hAnsi="Arial"/>
                <w:sz w:val="16"/>
                <w:szCs w:val="16"/>
                <w:color w:val="auto"/>
              </w:rPr>
              <w:t>3,624</w:t>
            </w:r>
          </w:p>
        </w:tc>
        <w:tc>
          <w:tcPr>
            <w:tcW w:w="1080" w:type="dxa"/>
            <w:vAlign w:val="bottom"/>
          </w:tcPr>
          <w:p>
            <w:pPr>
              <w:jc w:val="center"/>
              <w:ind w:right="882"/>
              <w:spacing w:after="0" w:line="164" w:lineRule="exact"/>
              <w:rPr>
                <w:sz w:val="20"/>
                <w:szCs w:val="20"/>
                <w:color w:val="auto"/>
              </w:rPr>
            </w:pPr>
            <w:r>
              <w:rPr>
                <w:rFonts w:ascii="Arial" w:cs="Arial" w:eastAsia="Arial" w:hAnsi="Arial"/>
                <w:sz w:val="16"/>
                <w:szCs w:val="16"/>
                <w:color w:val="auto"/>
                <w:w w:val="89"/>
              </w:rPr>
              <w:t>$</w:t>
            </w:r>
          </w:p>
        </w:tc>
        <w:tc>
          <w:tcPr>
            <w:tcW w:w="660" w:type="dxa"/>
            <w:vAlign w:val="bottom"/>
          </w:tcPr>
          <w:p>
            <w:pPr>
              <w:jc w:val="right"/>
              <w:ind w:right="179"/>
              <w:spacing w:after="0" w:line="164" w:lineRule="exact"/>
              <w:rPr>
                <w:sz w:val="20"/>
                <w:szCs w:val="20"/>
                <w:color w:val="auto"/>
              </w:rPr>
            </w:pPr>
            <w:r>
              <w:rPr>
                <w:rFonts w:ascii="Arial" w:cs="Arial" w:eastAsia="Arial" w:hAnsi="Arial"/>
                <w:sz w:val="16"/>
                <w:szCs w:val="16"/>
                <w:color w:val="auto"/>
              </w:rPr>
              <w:t>583</w:t>
            </w:r>
          </w:p>
        </w:tc>
        <w:tc>
          <w:tcPr>
            <w:tcW w:w="1160" w:type="dxa"/>
            <w:vAlign w:val="bottom"/>
          </w:tcPr>
          <w:p>
            <w:pPr>
              <w:jc w:val="right"/>
              <w:spacing w:after="0" w:line="164" w:lineRule="exact"/>
              <w:rPr>
                <w:sz w:val="20"/>
                <w:szCs w:val="20"/>
                <w:color w:val="auto"/>
              </w:rPr>
            </w:pPr>
            <w:r>
              <w:rPr>
                <w:rFonts w:ascii="Arial" w:cs="Arial" w:eastAsia="Arial" w:hAnsi="Arial"/>
                <w:sz w:val="16"/>
                <w:szCs w:val="16"/>
                <w:color w:val="auto"/>
              </w:rPr>
              <w:t>3,539</w:t>
            </w:r>
          </w:p>
        </w:tc>
        <w:tc>
          <w:tcPr>
            <w:tcW w:w="300" w:type="dxa"/>
            <w:vAlign w:val="bottom"/>
          </w:tcPr>
          <w:p>
            <w:pPr>
              <w:jc w:val="right"/>
              <w:ind w:right="99"/>
              <w:spacing w:after="0" w:line="164" w:lineRule="exact"/>
              <w:rPr>
                <w:sz w:val="20"/>
                <w:szCs w:val="20"/>
                <w:color w:val="auto"/>
              </w:rPr>
            </w:pPr>
            <w:r>
              <w:rPr>
                <w:rFonts w:ascii="Arial" w:cs="Arial" w:eastAsia="Arial" w:hAnsi="Arial"/>
                <w:sz w:val="16"/>
                <w:szCs w:val="16"/>
                <w:color w:val="auto"/>
              </w:rPr>
              <w:t>$</w:t>
            </w:r>
          </w:p>
        </w:tc>
        <w:tc>
          <w:tcPr>
            <w:tcW w:w="1260" w:type="dxa"/>
            <w:vAlign w:val="bottom"/>
          </w:tcPr>
          <w:p>
            <w:pPr>
              <w:jc w:val="right"/>
              <w:spacing w:after="0" w:line="164" w:lineRule="exact"/>
              <w:rPr>
                <w:sz w:val="20"/>
                <w:szCs w:val="20"/>
                <w:color w:val="auto"/>
              </w:rPr>
            </w:pPr>
            <w:r>
              <w:rPr>
                <w:rFonts w:ascii="Arial" w:cs="Arial" w:eastAsia="Arial" w:hAnsi="Arial"/>
                <w:sz w:val="16"/>
                <w:szCs w:val="16"/>
                <w:color w:val="auto"/>
              </w:rPr>
              <w:t>507</w:t>
            </w:r>
          </w:p>
        </w:tc>
        <w:tc>
          <w:tcPr>
            <w:tcW w:w="0" w:type="dxa"/>
            <w:vAlign w:val="bottom"/>
          </w:tcPr>
          <w:p>
            <w:pPr>
              <w:spacing w:after="0"/>
              <w:rPr>
                <w:sz w:val="1"/>
                <w:szCs w:val="1"/>
                <w:color w:val="auto"/>
              </w:rPr>
            </w:pPr>
          </w:p>
        </w:tc>
      </w:tr>
      <w:tr>
        <w:trPr>
          <w:trHeight w:val="176"/>
        </w:trPr>
        <w:tc>
          <w:tcPr>
            <w:tcW w:w="5580" w:type="dxa"/>
            <w:vAlign w:val="bottom"/>
          </w:tcPr>
          <w:p>
            <w:pPr>
              <w:spacing w:after="0" w:line="176" w:lineRule="exact"/>
              <w:rPr>
                <w:sz w:val="20"/>
                <w:szCs w:val="20"/>
                <w:color w:val="auto"/>
              </w:rPr>
            </w:pPr>
            <w:r>
              <w:rPr>
                <w:rFonts w:ascii="Arial" w:cs="Arial" w:eastAsia="Arial" w:hAnsi="Arial"/>
                <w:sz w:val="16"/>
                <w:szCs w:val="16"/>
                <w:color w:val="auto"/>
              </w:rPr>
              <w:t>Commercial</w:t>
            </w:r>
          </w:p>
        </w:tc>
        <w:tc>
          <w:tcPr>
            <w:tcW w:w="1380" w:type="dxa"/>
            <w:vAlign w:val="bottom"/>
          </w:tcPr>
          <w:p>
            <w:pPr>
              <w:jc w:val="right"/>
              <w:spacing w:after="0" w:line="176" w:lineRule="exact"/>
              <w:rPr>
                <w:sz w:val="20"/>
                <w:szCs w:val="20"/>
                <w:color w:val="auto"/>
              </w:rPr>
            </w:pPr>
            <w:r>
              <w:rPr>
                <w:rFonts w:ascii="Arial" w:cs="Arial" w:eastAsia="Arial" w:hAnsi="Arial"/>
                <w:sz w:val="16"/>
                <w:szCs w:val="16"/>
                <w:color w:val="auto"/>
              </w:rPr>
              <w:t>3,302</w:t>
            </w:r>
          </w:p>
        </w:tc>
        <w:tc>
          <w:tcPr>
            <w:tcW w:w="1080" w:type="dxa"/>
            <w:vAlign w:val="bottom"/>
          </w:tcPr>
          <w:p>
            <w:pPr>
              <w:spacing w:after="0"/>
              <w:rPr>
                <w:sz w:val="15"/>
                <w:szCs w:val="15"/>
                <w:color w:val="auto"/>
              </w:rPr>
            </w:pPr>
          </w:p>
        </w:tc>
        <w:tc>
          <w:tcPr>
            <w:tcW w:w="660" w:type="dxa"/>
            <w:vAlign w:val="bottom"/>
          </w:tcPr>
          <w:p>
            <w:pPr>
              <w:jc w:val="right"/>
              <w:ind w:right="179"/>
              <w:spacing w:after="0" w:line="176" w:lineRule="exact"/>
              <w:rPr>
                <w:sz w:val="20"/>
                <w:szCs w:val="20"/>
                <w:color w:val="auto"/>
              </w:rPr>
            </w:pPr>
            <w:r>
              <w:rPr>
                <w:rFonts w:ascii="Arial" w:cs="Arial" w:eastAsia="Arial" w:hAnsi="Arial"/>
                <w:sz w:val="16"/>
                <w:szCs w:val="16"/>
                <w:color w:val="auto"/>
              </w:rPr>
              <w:t>478</w:t>
            </w:r>
          </w:p>
        </w:tc>
        <w:tc>
          <w:tcPr>
            <w:tcW w:w="1160" w:type="dxa"/>
            <w:vAlign w:val="bottom"/>
          </w:tcPr>
          <w:p>
            <w:pPr>
              <w:jc w:val="right"/>
              <w:spacing w:after="0" w:line="176" w:lineRule="exact"/>
              <w:rPr>
                <w:sz w:val="20"/>
                <w:szCs w:val="20"/>
                <w:color w:val="auto"/>
              </w:rPr>
            </w:pPr>
            <w:r>
              <w:rPr>
                <w:rFonts w:ascii="Arial" w:cs="Arial" w:eastAsia="Arial" w:hAnsi="Arial"/>
                <w:sz w:val="16"/>
                <w:szCs w:val="16"/>
                <w:color w:val="auto"/>
              </w:rPr>
              <w:t>3,201</w:t>
            </w:r>
          </w:p>
        </w:tc>
        <w:tc>
          <w:tcPr>
            <w:tcW w:w="300" w:type="dxa"/>
            <w:vAlign w:val="bottom"/>
          </w:tcPr>
          <w:p>
            <w:pPr>
              <w:spacing w:after="0"/>
              <w:rPr>
                <w:sz w:val="15"/>
                <w:szCs w:val="15"/>
                <w:color w:val="auto"/>
              </w:rPr>
            </w:pPr>
          </w:p>
        </w:tc>
        <w:tc>
          <w:tcPr>
            <w:tcW w:w="1260" w:type="dxa"/>
            <w:vAlign w:val="bottom"/>
          </w:tcPr>
          <w:p>
            <w:pPr>
              <w:jc w:val="right"/>
              <w:spacing w:after="0" w:line="176" w:lineRule="exact"/>
              <w:rPr>
                <w:sz w:val="20"/>
                <w:szCs w:val="20"/>
                <w:color w:val="auto"/>
              </w:rPr>
            </w:pPr>
            <w:r>
              <w:rPr>
                <w:rFonts w:ascii="Arial" w:cs="Arial" w:eastAsia="Arial" w:hAnsi="Arial"/>
                <w:sz w:val="16"/>
                <w:szCs w:val="16"/>
                <w:color w:val="auto"/>
              </w:rPr>
              <w:t>418</w:t>
            </w:r>
          </w:p>
        </w:tc>
        <w:tc>
          <w:tcPr>
            <w:tcW w:w="0" w:type="dxa"/>
            <w:vAlign w:val="bottom"/>
          </w:tcPr>
          <w:p>
            <w:pPr>
              <w:spacing w:after="0"/>
              <w:rPr>
                <w:sz w:val="1"/>
                <w:szCs w:val="1"/>
                <w:color w:val="auto"/>
              </w:rPr>
            </w:pPr>
          </w:p>
        </w:tc>
      </w:tr>
      <w:tr>
        <w:trPr>
          <w:trHeight w:val="176"/>
        </w:trPr>
        <w:tc>
          <w:tcPr>
            <w:tcW w:w="5580" w:type="dxa"/>
            <w:vAlign w:val="bottom"/>
          </w:tcPr>
          <w:p>
            <w:pPr>
              <w:spacing w:after="0" w:line="176" w:lineRule="exact"/>
              <w:rPr>
                <w:sz w:val="20"/>
                <w:szCs w:val="20"/>
                <w:color w:val="auto"/>
              </w:rPr>
            </w:pPr>
            <w:r>
              <w:rPr>
                <w:rFonts w:ascii="Arial" w:cs="Arial" w:eastAsia="Arial" w:hAnsi="Arial"/>
                <w:sz w:val="16"/>
                <w:szCs w:val="16"/>
                <w:color w:val="auto"/>
              </w:rPr>
              <w:t>Industrial</w:t>
            </w:r>
          </w:p>
        </w:tc>
        <w:tc>
          <w:tcPr>
            <w:tcW w:w="1380" w:type="dxa"/>
            <w:vAlign w:val="bottom"/>
          </w:tcPr>
          <w:p>
            <w:pPr>
              <w:jc w:val="right"/>
              <w:spacing w:after="0" w:line="176" w:lineRule="exact"/>
              <w:rPr>
                <w:sz w:val="20"/>
                <w:szCs w:val="20"/>
                <w:color w:val="auto"/>
              </w:rPr>
            </w:pPr>
            <w:r>
              <w:rPr>
                <w:rFonts w:ascii="Arial" w:cs="Arial" w:eastAsia="Arial" w:hAnsi="Arial"/>
                <w:sz w:val="16"/>
                <w:szCs w:val="16"/>
                <w:color w:val="auto"/>
              </w:rPr>
              <w:t>996</w:t>
            </w:r>
          </w:p>
        </w:tc>
        <w:tc>
          <w:tcPr>
            <w:tcW w:w="1080" w:type="dxa"/>
            <w:vAlign w:val="bottom"/>
          </w:tcPr>
          <w:p>
            <w:pPr>
              <w:spacing w:after="0"/>
              <w:rPr>
                <w:sz w:val="15"/>
                <w:szCs w:val="15"/>
                <w:color w:val="auto"/>
              </w:rPr>
            </w:pPr>
          </w:p>
        </w:tc>
        <w:tc>
          <w:tcPr>
            <w:tcW w:w="660" w:type="dxa"/>
            <w:vAlign w:val="bottom"/>
          </w:tcPr>
          <w:p>
            <w:pPr>
              <w:jc w:val="right"/>
              <w:ind w:right="179"/>
              <w:spacing w:after="0" w:line="176" w:lineRule="exact"/>
              <w:rPr>
                <w:sz w:val="20"/>
                <w:szCs w:val="20"/>
                <w:color w:val="auto"/>
              </w:rPr>
            </w:pPr>
            <w:r>
              <w:rPr>
                <w:rFonts w:ascii="Arial" w:cs="Arial" w:eastAsia="Arial" w:hAnsi="Arial"/>
                <w:sz w:val="16"/>
                <w:szCs w:val="16"/>
                <w:color w:val="auto"/>
              </w:rPr>
              <w:t>119</w:t>
            </w:r>
          </w:p>
        </w:tc>
        <w:tc>
          <w:tcPr>
            <w:tcW w:w="1160" w:type="dxa"/>
            <w:vAlign w:val="bottom"/>
          </w:tcPr>
          <w:p>
            <w:pPr>
              <w:jc w:val="right"/>
              <w:spacing w:after="0" w:line="176" w:lineRule="exact"/>
              <w:rPr>
                <w:sz w:val="20"/>
                <w:szCs w:val="20"/>
                <w:color w:val="auto"/>
              </w:rPr>
            </w:pPr>
            <w:r>
              <w:rPr>
                <w:rFonts w:ascii="Arial" w:cs="Arial" w:eastAsia="Arial" w:hAnsi="Arial"/>
                <w:sz w:val="16"/>
                <w:szCs w:val="16"/>
                <w:color w:val="auto"/>
              </w:rPr>
              <w:t>1,039</w:t>
            </w:r>
          </w:p>
        </w:tc>
        <w:tc>
          <w:tcPr>
            <w:tcW w:w="300" w:type="dxa"/>
            <w:vAlign w:val="bottom"/>
          </w:tcPr>
          <w:p>
            <w:pPr>
              <w:spacing w:after="0"/>
              <w:rPr>
                <w:sz w:val="15"/>
                <w:szCs w:val="15"/>
                <w:color w:val="auto"/>
              </w:rPr>
            </w:pPr>
          </w:p>
        </w:tc>
        <w:tc>
          <w:tcPr>
            <w:tcW w:w="1260" w:type="dxa"/>
            <w:vAlign w:val="bottom"/>
          </w:tcPr>
          <w:p>
            <w:pPr>
              <w:jc w:val="right"/>
              <w:spacing w:after="0" w:line="176" w:lineRule="exact"/>
              <w:rPr>
                <w:sz w:val="20"/>
                <w:szCs w:val="20"/>
                <w:color w:val="auto"/>
              </w:rPr>
            </w:pPr>
            <w:r>
              <w:rPr>
                <w:rFonts w:ascii="Arial" w:cs="Arial" w:eastAsia="Arial" w:hAnsi="Arial"/>
                <w:sz w:val="16"/>
                <w:szCs w:val="16"/>
                <w:color w:val="auto"/>
              </w:rPr>
              <w:t>113</w:t>
            </w:r>
          </w:p>
        </w:tc>
        <w:tc>
          <w:tcPr>
            <w:tcW w:w="0" w:type="dxa"/>
            <w:vAlign w:val="bottom"/>
          </w:tcPr>
          <w:p>
            <w:pPr>
              <w:spacing w:after="0"/>
              <w:rPr>
                <w:sz w:val="1"/>
                <w:szCs w:val="1"/>
                <w:color w:val="auto"/>
              </w:rPr>
            </w:pPr>
          </w:p>
        </w:tc>
      </w:tr>
      <w:tr>
        <w:trPr>
          <w:trHeight w:val="176"/>
        </w:trPr>
        <w:tc>
          <w:tcPr>
            <w:tcW w:w="5580" w:type="dxa"/>
            <w:vAlign w:val="bottom"/>
          </w:tcPr>
          <w:p>
            <w:pPr>
              <w:spacing w:after="0" w:line="176" w:lineRule="exact"/>
              <w:rPr>
                <w:sz w:val="20"/>
                <w:szCs w:val="20"/>
                <w:color w:val="auto"/>
              </w:rPr>
            </w:pPr>
            <w:r>
              <w:rPr>
                <w:rFonts w:ascii="Arial" w:cs="Arial" w:eastAsia="Arial" w:hAnsi="Arial"/>
                <w:sz w:val="16"/>
                <w:szCs w:val="16"/>
                <w:color w:val="auto"/>
              </w:rPr>
              <w:t>Direct access</w:t>
            </w:r>
          </w:p>
        </w:tc>
        <w:tc>
          <w:tcPr>
            <w:tcW w:w="1380" w:type="dxa"/>
            <w:vAlign w:val="bottom"/>
          </w:tcPr>
          <w:p>
            <w:pPr>
              <w:jc w:val="right"/>
              <w:spacing w:after="0" w:line="176" w:lineRule="exact"/>
              <w:rPr>
                <w:sz w:val="20"/>
                <w:szCs w:val="20"/>
                <w:color w:val="auto"/>
              </w:rPr>
            </w:pPr>
            <w:r>
              <w:rPr>
                <w:rFonts w:ascii="Arial" w:cs="Arial" w:eastAsia="Arial" w:hAnsi="Arial"/>
                <w:sz w:val="16"/>
                <w:szCs w:val="16"/>
                <w:color w:val="auto"/>
              </w:rPr>
              <w:t>1,568</w:t>
            </w:r>
          </w:p>
        </w:tc>
        <w:tc>
          <w:tcPr>
            <w:tcW w:w="1080" w:type="dxa"/>
            <w:vAlign w:val="bottom"/>
          </w:tcPr>
          <w:p>
            <w:pPr>
              <w:spacing w:after="0"/>
              <w:rPr>
                <w:sz w:val="15"/>
                <w:szCs w:val="15"/>
                <w:color w:val="auto"/>
              </w:rPr>
            </w:pPr>
          </w:p>
        </w:tc>
        <w:tc>
          <w:tcPr>
            <w:tcW w:w="660" w:type="dxa"/>
            <w:vAlign w:val="bottom"/>
          </w:tcPr>
          <w:p>
            <w:pPr>
              <w:jc w:val="right"/>
              <w:ind w:right="179"/>
              <w:spacing w:after="0" w:line="176" w:lineRule="exact"/>
              <w:rPr>
                <w:sz w:val="20"/>
                <w:szCs w:val="20"/>
                <w:color w:val="auto"/>
              </w:rPr>
            </w:pPr>
            <w:r>
              <w:rPr>
                <w:rFonts w:ascii="Arial" w:cs="Arial" w:eastAsia="Arial" w:hAnsi="Arial"/>
                <w:sz w:val="16"/>
                <w:szCs w:val="16"/>
                <w:color w:val="auto"/>
              </w:rPr>
              <w:t>68</w:t>
            </w:r>
          </w:p>
        </w:tc>
        <w:tc>
          <w:tcPr>
            <w:tcW w:w="1160" w:type="dxa"/>
            <w:vAlign w:val="bottom"/>
          </w:tcPr>
          <w:p>
            <w:pPr>
              <w:jc w:val="right"/>
              <w:spacing w:after="0" w:line="176" w:lineRule="exact"/>
              <w:rPr>
                <w:sz w:val="20"/>
                <w:szCs w:val="20"/>
                <w:color w:val="auto"/>
              </w:rPr>
            </w:pPr>
            <w:r>
              <w:rPr>
                <w:rFonts w:ascii="Arial" w:cs="Arial" w:eastAsia="Arial" w:hAnsi="Arial"/>
                <w:sz w:val="16"/>
                <w:szCs w:val="16"/>
                <w:color w:val="auto"/>
              </w:rPr>
              <w:t>1,484</w:t>
            </w:r>
          </w:p>
        </w:tc>
        <w:tc>
          <w:tcPr>
            <w:tcW w:w="300" w:type="dxa"/>
            <w:vAlign w:val="bottom"/>
          </w:tcPr>
          <w:p>
            <w:pPr>
              <w:spacing w:after="0"/>
              <w:rPr>
                <w:sz w:val="15"/>
                <w:szCs w:val="15"/>
                <w:color w:val="auto"/>
              </w:rPr>
            </w:pPr>
          </w:p>
        </w:tc>
        <w:tc>
          <w:tcPr>
            <w:tcW w:w="1260" w:type="dxa"/>
            <w:vAlign w:val="bottom"/>
          </w:tcPr>
          <w:p>
            <w:pPr>
              <w:jc w:val="right"/>
              <w:spacing w:after="0" w:line="176" w:lineRule="exact"/>
              <w:rPr>
                <w:sz w:val="20"/>
                <w:szCs w:val="20"/>
                <w:color w:val="auto"/>
              </w:rPr>
            </w:pPr>
            <w:r>
              <w:rPr>
                <w:rFonts w:ascii="Arial" w:cs="Arial" w:eastAsia="Arial" w:hAnsi="Arial"/>
                <w:sz w:val="16"/>
                <w:szCs w:val="16"/>
                <w:color w:val="auto"/>
              </w:rPr>
              <w:t>54</w:t>
            </w:r>
          </w:p>
        </w:tc>
        <w:tc>
          <w:tcPr>
            <w:tcW w:w="0" w:type="dxa"/>
            <w:vAlign w:val="bottom"/>
          </w:tcPr>
          <w:p>
            <w:pPr>
              <w:spacing w:after="0"/>
              <w:rPr>
                <w:sz w:val="1"/>
                <w:szCs w:val="1"/>
                <w:color w:val="auto"/>
              </w:rPr>
            </w:pPr>
          </w:p>
        </w:tc>
      </w:tr>
      <w:tr>
        <w:trPr>
          <w:trHeight w:val="194"/>
        </w:trPr>
        <w:tc>
          <w:tcPr>
            <w:tcW w:w="5580" w:type="dxa"/>
            <w:vAlign w:val="bottom"/>
          </w:tcPr>
          <w:p>
            <w:pPr>
              <w:spacing w:after="0"/>
              <w:rPr>
                <w:sz w:val="20"/>
                <w:szCs w:val="20"/>
                <w:color w:val="auto"/>
              </w:rPr>
            </w:pPr>
            <w:r>
              <w:rPr>
                <w:rFonts w:ascii="Arial" w:cs="Arial" w:eastAsia="Arial" w:hAnsi="Arial"/>
                <w:sz w:val="16"/>
                <w:szCs w:val="16"/>
                <w:color w:val="auto"/>
              </w:rPr>
              <w:t>Street and highway lighting</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53</w:t>
            </w:r>
          </w:p>
        </w:tc>
        <w:tc>
          <w:tcPr>
            <w:tcW w:w="108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7</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50</w:t>
            </w:r>
          </w:p>
        </w:tc>
        <w:tc>
          <w:tcPr>
            <w:tcW w:w="3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w:t>
            </w:r>
          </w:p>
        </w:tc>
        <w:tc>
          <w:tcPr>
            <w:tcW w:w="0" w:type="dxa"/>
            <w:vAlign w:val="bottom"/>
          </w:tcPr>
          <w:p>
            <w:pPr>
              <w:spacing w:after="0"/>
              <w:rPr>
                <w:sz w:val="1"/>
                <w:szCs w:val="1"/>
                <w:color w:val="auto"/>
              </w:rPr>
            </w:pPr>
          </w:p>
        </w:tc>
      </w:tr>
      <w:tr>
        <w:trPr>
          <w:trHeight w:val="164"/>
        </w:trPr>
        <w:tc>
          <w:tcPr>
            <w:tcW w:w="5580" w:type="dxa"/>
            <w:vAlign w:val="bottom"/>
          </w:tcPr>
          <w:p>
            <w:pPr>
              <w:spacing w:after="0"/>
              <w:rPr>
                <w:sz w:val="14"/>
                <w:szCs w:val="14"/>
                <w:color w:val="auto"/>
              </w:rPr>
            </w:pPr>
          </w:p>
        </w:tc>
        <w:tc>
          <w:tcPr>
            <w:tcW w:w="1380" w:type="dxa"/>
            <w:vAlign w:val="bottom"/>
          </w:tcPr>
          <w:p>
            <w:pPr>
              <w:jc w:val="right"/>
              <w:spacing w:after="0" w:line="164" w:lineRule="exact"/>
              <w:rPr>
                <w:sz w:val="20"/>
                <w:szCs w:val="20"/>
                <w:color w:val="auto"/>
              </w:rPr>
            </w:pPr>
            <w:r>
              <w:rPr>
                <w:rFonts w:ascii="Arial" w:cs="Arial" w:eastAsia="Arial" w:hAnsi="Arial"/>
                <w:sz w:val="16"/>
                <w:szCs w:val="16"/>
                <w:color w:val="auto"/>
              </w:rPr>
              <w:t>9,543</w:t>
            </w:r>
          </w:p>
        </w:tc>
        <w:tc>
          <w:tcPr>
            <w:tcW w:w="1080" w:type="dxa"/>
            <w:vAlign w:val="bottom"/>
          </w:tcPr>
          <w:p>
            <w:pPr>
              <w:spacing w:after="0"/>
              <w:rPr>
                <w:sz w:val="14"/>
                <w:szCs w:val="14"/>
                <w:color w:val="auto"/>
              </w:rPr>
            </w:pPr>
          </w:p>
        </w:tc>
        <w:tc>
          <w:tcPr>
            <w:tcW w:w="660" w:type="dxa"/>
            <w:vAlign w:val="bottom"/>
          </w:tcPr>
          <w:p>
            <w:pPr>
              <w:jc w:val="right"/>
              <w:ind w:right="179"/>
              <w:spacing w:after="0" w:line="164" w:lineRule="exact"/>
              <w:rPr>
                <w:sz w:val="20"/>
                <w:szCs w:val="20"/>
                <w:color w:val="auto"/>
              </w:rPr>
            </w:pPr>
            <w:r>
              <w:rPr>
                <w:rFonts w:ascii="Arial" w:cs="Arial" w:eastAsia="Arial" w:hAnsi="Arial"/>
                <w:sz w:val="16"/>
                <w:szCs w:val="16"/>
                <w:color w:val="auto"/>
                <w:w w:val="94"/>
              </w:rPr>
              <w:t>1,255</w:t>
            </w:r>
          </w:p>
        </w:tc>
        <w:tc>
          <w:tcPr>
            <w:tcW w:w="1160" w:type="dxa"/>
            <w:vAlign w:val="bottom"/>
          </w:tcPr>
          <w:p>
            <w:pPr>
              <w:jc w:val="right"/>
              <w:spacing w:after="0" w:line="164" w:lineRule="exact"/>
              <w:rPr>
                <w:sz w:val="20"/>
                <w:szCs w:val="20"/>
                <w:color w:val="auto"/>
              </w:rPr>
            </w:pPr>
            <w:r>
              <w:rPr>
                <w:rFonts w:ascii="Arial" w:cs="Arial" w:eastAsia="Arial" w:hAnsi="Arial"/>
                <w:sz w:val="16"/>
                <w:szCs w:val="16"/>
                <w:color w:val="auto"/>
              </w:rPr>
              <w:t>9,313</w:t>
            </w:r>
          </w:p>
        </w:tc>
        <w:tc>
          <w:tcPr>
            <w:tcW w:w="300" w:type="dxa"/>
            <w:vAlign w:val="bottom"/>
          </w:tcPr>
          <w:p>
            <w:pPr>
              <w:spacing w:after="0"/>
              <w:rPr>
                <w:sz w:val="14"/>
                <w:szCs w:val="14"/>
                <w:color w:val="auto"/>
              </w:rPr>
            </w:pPr>
          </w:p>
        </w:tc>
        <w:tc>
          <w:tcPr>
            <w:tcW w:w="1260" w:type="dxa"/>
            <w:vAlign w:val="bottom"/>
          </w:tcPr>
          <w:p>
            <w:pPr>
              <w:jc w:val="right"/>
              <w:spacing w:after="0" w:line="164" w:lineRule="exact"/>
              <w:rPr>
                <w:sz w:val="20"/>
                <w:szCs w:val="20"/>
                <w:color w:val="auto"/>
              </w:rPr>
            </w:pPr>
            <w:r>
              <w:rPr>
                <w:rFonts w:ascii="Arial" w:cs="Arial" w:eastAsia="Arial" w:hAnsi="Arial"/>
                <w:sz w:val="16"/>
                <w:szCs w:val="16"/>
                <w:color w:val="auto"/>
              </w:rPr>
              <w:t>1,098</w:t>
            </w:r>
          </w:p>
        </w:tc>
        <w:tc>
          <w:tcPr>
            <w:tcW w:w="0" w:type="dxa"/>
            <w:vAlign w:val="bottom"/>
          </w:tcPr>
          <w:p>
            <w:pPr>
              <w:spacing w:after="0"/>
              <w:rPr>
                <w:sz w:val="1"/>
                <w:szCs w:val="1"/>
                <w:color w:val="auto"/>
              </w:rPr>
            </w:pPr>
          </w:p>
        </w:tc>
      </w:tr>
      <w:tr>
        <w:trPr>
          <w:trHeight w:val="176"/>
        </w:trPr>
        <w:tc>
          <w:tcPr>
            <w:tcW w:w="5580" w:type="dxa"/>
            <w:vAlign w:val="bottom"/>
          </w:tcPr>
          <w:p>
            <w:pPr>
              <w:spacing w:after="0" w:line="176" w:lineRule="exact"/>
              <w:rPr>
                <w:sz w:val="20"/>
                <w:szCs w:val="20"/>
                <w:color w:val="auto"/>
              </w:rPr>
            </w:pPr>
            <w:r>
              <w:rPr>
                <w:rFonts w:ascii="Arial" w:cs="Arial" w:eastAsia="Arial" w:hAnsi="Arial"/>
                <w:sz w:val="16"/>
                <w:szCs w:val="16"/>
                <w:color w:val="auto"/>
              </w:rPr>
              <w:t>Other revenues</w:t>
            </w:r>
          </w:p>
        </w:tc>
        <w:tc>
          <w:tcPr>
            <w:tcW w:w="13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660" w:type="dxa"/>
            <w:vAlign w:val="bottom"/>
          </w:tcPr>
          <w:p>
            <w:pPr>
              <w:jc w:val="right"/>
              <w:ind w:right="179"/>
              <w:spacing w:after="0" w:line="176" w:lineRule="exact"/>
              <w:rPr>
                <w:sz w:val="20"/>
                <w:szCs w:val="20"/>
                <w:color w:val="auto"/>
              </w:rPr>
            </w:pPr>
            <w:r>
              <w:rPr>
                <w:rFonts w:ascii="Arial" w:cs="Arial" w:eastAsia="Arial" w:hAnsi="Arial"/>
                <w:sz w:val="16"/>
                <w:szCs w:val="16"/>
                <w:color w:val="auto"/>
              </w:rPr>
              <w:t>55</w:t>
            </w:r>
          </w:p>
        </w:tc>
        <w:tc>
          <w:tcPr>
            <w:tcW w:w="11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60" w:type="dxa"/>
            <w:vAlign w:val="bottom"/>
          </w:tcPr>
          <w:p>
            <w:pPr>
              <w:jc w:val="right"/>
              <w:spacing w:after="0" w:line="176" w:lineRule="exact"/>
              <w:rPr>
                <w:sz w:val="20"/>
                <w:szCs w:val="20"/>
                <w:color w:val="auto"/>
              </w:rPr>
            </w:pPr>
            <w:r>
              <w:rPr>
                <w:rFonts w:ascii="Arial" w:cs="Arial" w:eastAsia="Arial" w:hAnsi="Arial"/>
                <w:sz w:val="16"/>
                <w:szCs w:val="16"/>
                <w:color w:val="auto"/>
              </w:rPr>
              <w:t>54</w:t>
            </w:r>
          </w:p>
        </w:tc>
        <w:tc>
          <w:tcPr>
            <w:tcW w:w="0" w:type="dxa"/>
            <w:vAlign w:val="bottom"/>
          </w:tcPr>
          <w:p>
            <w:pPr>
              <w:spacing w:after="0"/>
              <w:rPr>
                <w:sz w:val="1"/>
                <w:szCs w:val="1"/>
                <w:color w:val="auto"/>
              </w:rPr>
            </w:pPr>
          </w:p>
        </w:tc>
      </w:tr>
      <w:tr>
        <w:trPr>
          <w:trHeight w:val="194"/>
        </w:trPr>
        <w:tc>
          <w:tcPr>
            <w:tcW w:w="5580" w:type="dxa"/>
            <w:vAlign w:val="bottom"/>
          </w:tcPr>
          <w:p>
            <w:pPr>
              <w:spacing w:after="0"/>
              <w:rPr>
                <w:sz w:val="20"/>
                <w:szCs w:val="20"/>
                <w:color w:val="auto"/>
              </w:rPr>
            </w:pPr>
            <w:r>
              <w:rPr>
                <w:rFonts w:ascii="Arial" w:cs="Arial" w:eastAsia="Arial" w:hAnsi="Arial"/>
                <w:sz w:val="16"/>
                <w:szCs w:val="16"/>
                <w:color w:val="auto"/>
              </w:rPr>
              <w:t>Balancing accounts</w:t>
            </w:r>
          </w:p>
        </w:tc>
        <w:tc>
          <w:tcPr>
            <w:tcW w:w="13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(62)</w:t>
            </w:r>
          </w:p>
        </w:tc>
        <w:tc>
          <w:tcPr>
            <w:tcW w:w="116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5"/>
        </w:trPr>
        <w:tc>
          <w:tcPr>
            <w:tcW w:w="5580" w:type="dxa"/>
            <w:vAlign w:val="bottom"/>
          </w:tcPr>
          <w:p>
            <w:pPr>
              <w:ind w:left="180"/>
              <w:spacing w:after="0"/>
              <w:rPr>
                <w:sz w:val="20"/>
                <w:szCs w:val="20"/>
                <w:color w:val="auto"/>
              </w:rPr>
            </w:pPr>
            <w:r>
              <w:rPr>
                <w:rFonts w:ascii="Arial" w:cs="Arial" w:eastAsia="Arial" w:hAnsi="Arial"/>
                <w:sz w:val="16"/>
                <w:szCs w:val="16"/>
                <w:color w:val="auto"/>
              </w:rPr>
              <w:t>Total(1)</w:t>
            </w:r>
          </w:p>
        </w:tc>
        <w:tc>
          <w:tcPr>
            <w:tcW w:w="1380" w:type="dxa"/>
            <w:vAlign w:val="bottom"/>
          </w:tcPr>
          <w:p>
            <w:pPr>
              <w:spacing w:after="0"/>
              <w:rPr>
                <w:sz w:val="16"/>
                <w:szCs w:val="16"/>
                <w:color w:val="auto"/>
              </w:rPr>
            </w:pPr>
          </w:p>
        </w:tc>
        <w:tc>
          <w:tcPr>
            <w:tcW w:w="1080" w:type="dxa"/>
            <w:vAlign w:val="bottom"/>
          </w:tcPr>
          <w:p>
            <w:pPr>
              <w:jc w:val="center"/>
              <w:ind w:right="882"/>
              <w:spacing w:after="0"/>
              <w:rPr>
                <w:sz w:val="20"/>
                <w:szCs w:val="20"/>
                <w:color w:val="auto"/>
              </w:rPr>
            </w:pPr>
            <w:r>
              <w:rPr>
                <w:rFonts w:ascii="Arial" w:cs="Arial" w:eastAsia="Arial" w:hAnsi="Arial"/>
                <w:sz w:val="16"/>
                <w:szCs w:val="16"/>
                <w:color w:val="auto"/>
                <w:w w:val="89"/>
              </w:rPr>
              <w:t>$</w:t>
            </w:r>
          </w:p>
        </w:tc>
        <w:tc>
          <w:tcPr>
            <w:tcW w:w="660" w:type="dxa"/>
            <w:vAlign w:val="bottom"/>
          </w:tcPr>
          <w:p>
            <w:pPr>
              <w:jc w:val="right"/>
              <w:ind w:right="179"/>
              <w:spacing w:after="0"/>
              <w:rPr>
                <w:sz w:val="20"/>
                <w:szCs w:val="20"/>
                <w:color w:val="auto"/>
              </w:rPr>
            </w:pPr>
            <w:r>
              <w:rPr>
                <w:rFonts w:ascii="Arial" w:cs="Arial" w:eastAsia="Arial" w:hAnsi="Arial"/>
                <w:sz w:val="16"/>
                <w:szCs w:val="16"/>
                <w:color w:val="auto"/>
                <w:w w:val="94"/>
              </w:rPr>
              <w:t>1,248</w:t>
            </w:r>
          </w:p>
        </w:tc>
        <w:tc>
          <w:tcPr>
            <w:tcW w:w="1160" w:type="dxa"/>
            <w:vAlign w:val="bottom"/>
          </w:tcPr>
          <w:p>
            <w:pPr>
              <w:spacing w:after="0"/>
              <w:rPr>
                <w:sz w:val="16"/>
                <w:szCs w:val="16"/>
                <w:color w:val="auto"/>
              </w:rPr>
            </w:pP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1,152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246620" cy="171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rPr>
          <w:sz w:val="20"/>
          <w:szCs w:val="20"/>
          <w:color w:val="auto"/>
        </w:rPr>
      </w:pPr>
      <w:r>
        <w:rPr>
          <w:rFonts w:ascii="Arial" w:cs="Arial" w:eastAsia="Arial" w:hAnsi="Arial"/>
          <w:sz w:val="14"/>
          <w:szCs w:val="14"/>
          <w:i w:val="1"/>
          <w:iCs w:val="1"/>
          <w:color w:val="auto"/>
        </w:rPr>
        <w:t>(1) Includes sales to affiliates of $3 million in 2011 and $4 million in 2010.</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During the three months ended June 30, 2011, electric revenues decreased by $6 million (1%) to $583 million at SDG&amp;E, primarily due to:</w:t>
      </w:r>
    </w:p>
    <w:p>
      <w:pPr>
        <w:spacing w:after="0" w:line="221" w:lineRule="exact"/>
        <w:rPr>
          <w:sz w:val="20"/>
          <w:szCs w:val="20"/>
          <w:color w:val="auto"/>
        </w:rPr>
      </w:pPr>
    </w:p>
    <w:p>
      <w:pPr>
        <w:ind w:left="340" w:hanging="188"/>
        <w:spacing w:after="0"/>
        <w:tabs>
          <w:tab w:leader="none" w:pos="340" w:val="left"/>
        </w:tabs>
        <w:numPr>
          <w:ilvl w:val="0"/>
          <w:numId w:val="67"/>
        </w:numPr>
        <w:rPr>
          <w:rFonts w:ascii="Arial" w:cs="Arial" w:eastAsia="Arial" w:hAnsi="Arial"/>
          <w:sz w:val="18"/>
          <w:szCs w:val="18"/>
          <w:color w:val="auto"/>
        </w:rPr>
      </w:pPr>
      <w:r>
        <w:rPr>
          <w:rFonts w:ascii="Arial" w:cs="Arial" w:eastAsia="Arial" w:hAnsi="Arial"/>
          <w:sz w:val="18"/>
          <w:szCs w:val="18"/>
          <w:color w:val="auto"/>
        </w:rPr>
        <w:t xml:space="preserve">$46 million lower recoverable expenses that are fully offset in operation and maintenance expenses; </w:t>
      </w:r>
      <w:r>
        <w:rPr>
          <w:rFonts w:ascii="Arial" w:cs="Arial" w:eastAsia="Arial" w:hAnsi="Arial"/>
          <w:sz w:val="18"/>
          <w:szCs w:val="18"/>
          <w:b w:val="1"/>
          <w:bCs w:val="1"/>
          <w:color w:val="auto"/>
        </w:rPr>
        <w:t>offset by</w:t>
      </w:r>
    </w:p>
    <w:p>
      <w:pPr>
        <w:spacing w:after="0" w:line="256" w:lineRule="exact"/>
        <w:rPr>
          <w:rFonts w:ascii="Arial" w:cs="Arial" w:eastAsia="Arial" w:hAnsi="Arial"/>
          <w:sz w:val="18"/>
          <w:szCs w:val="18"/>
          <w:color w:val="auto"/>
        </w:rPr>
      </w:pPr>
    </w:p>
    <w:p>
      <w:pPr>
        <w:ind w:left="340" w:hanging="188"/>
        <w:spacing w:after="0"/>
        <w:tabs>
          <w:tab w:leader="none" w:pos="340" w:val="left"/>
        </w:tabs>
        <w:numPr>
          <w:ilvl w:val="0"/>
          <w:numId w:val="67"/>
        </w:numPr>
        <w:rPr>
          <w:rFonts w:ascii="Arial" w:cs="Arial" w:eastAsia="Arial" w:hAnsi="Arial"/>
          <w:sz w:val="18"/>
          <w:szCs w:val="18"/>
          <w:color w:val="auto"/>
        </w:rPr>
      </w:pPr>
      <w:r>
        <w:rPr>
          <w:rFonts w:ascii="Arial" w:cs="Arial" w:eastAsia="Arial" w:hAnsi="Arial"/>
          <w:sz w:val="18"/>
          <w:szCs w:val="18"/>
          <w:color w:val="auto"/>
        </w:rPr>
        <w:t>$17 million increase in the cost of electric fuel and purchased power due to higher prices and increased electric demand;</w:t>
      </w:r>
    </w:p>
    <w:p>
      <w:pPr>
        <w:spacing w:after="0" w:line="252" w:lineRule="exact"/>
        <w:rPr>
          <w:rFonts w:ascii="Arial" w:cs="Arial" w:eastAsia="Arial" w:hAnsi="Arial"/>
          <w:sz w:val="18"/>
          <w:szCs w:val="18"/>
          <w:color w:val="auto"/>
        </w:rPr>
      </w:pPr>
    </w:p>
    <w:p>
      <w:pPr>
        <w:ind w:left="340" w:hanging="188"/>
        <w:spacing w:after="0"/>
        <w:tabs>
          <w:tab w:leader="none" w:pos="340" w:val="left"/>
        </w:tabs>
        <w:numPr>
          <w:ilvl w:val="0"/>
          <w:numId w:val="67"/>
        </w:numPr>
        <w:rPr>
          <w:rFonts w:ascii="Arial" w:cs="Arial" w:eastAsia="Arial" w:hAnsi="Arial"/>
          <w:sz w:val="18"/>
          <w:szCs w:val="18"/>
          <w:color w:val="auto"/>
        </w:rPr>
      </w:pPr>
      <w:r>
        <w:rPr>
          <w:rFonts w:ascii="Arial" w:cs="Arial" w:eastAsia="Arial" w:hAnsi="Arial"/>
          <w:sz w:val="18"/>
          <w:szCs w:val="18"/>
          <w:color w:val="auto"/>
        </w:rPr>
        <w:t>$14 million higher authorized base margin on electric generation and distribution; and</w:t>
      </w:r>
    </w:p>
    <w:p>
      <w:pPr>
        <w:spacing w:after="0" w:line="252" w:lineRule="exact"/>
        <w:rPr>
          <w:rFonts w:ascii="Arial" w:cs="Arial" w:eastAsia="Arial" w:hAnsi="Arial"/>
          <w:sz w:val="18"/>
          <w:szCs w:val="18"/>
          <w:color w:val="auto"/>
        </w:rPr>
      </w:pPr>
    </w:p>
    <w:p>
      <w:pPr>
        <w:ind w:left="340" w:hanging="188"/>
        <w:spacing w:after="0"/>
        <w:tabs>
          <w:tab w:leader="none" w:pos="340" w:val="left"/>
        </w:tabs>
        <w:numPr>
          <w:ilvl w:val="0"/>
          <w:numId w:val="67"/>
        </w:numPr>
        <w:rPr>
          <w:rFonts w:ascii="Arial" w:cs="Arial" w:eastAsia="Arial" w:hAnsi="Arial"/>
          <w:sz w:val="18"/>
          <w:szCs w:val="18"/>
          <w:color w:val="auto"/>
        </w:rPr>
      </w:pPr>
      <w:r>
        <w:rPr>
          <w:rFonts w:ascii="Arial" w:cs="Arial" w:eastAsia="Arial" w:hAnsi="Arial"/>
          <w:sz w:val="18"/>
          <w:szCs w:val="18"/>
          <w:color w:val="auto"/>
        </w:rPr>
        <w:t>$4 million higher authorized transmission margin.</w:t>
      </w:r>
    </w:p>
    <w:p>
      <w:pPr>
        <w:spacing w:after="0" w:line="252"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SDG&amp;E’s cost of electric fuel and purchased power increased by $27 million (21%) to $156 million in the three months ended June 30, 2011 primarily due to an increase in electric fuel and purchased-power prices and increased electric demand.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During the six months ended June 30, 2011, electric revenues increased by $96 million (8%) to $1.2 billion, primarily due to:</w:t>
      </w:r>
    </w:p>
    <w:p>
      <w:pPr>
        <w:spacing w:after="0" w:line="225" w:lineRule="exact"/>
        <w:rPr>
          <w:sz w:val="20"/>
          <w:szCs w:val="20"/>
          <w:color w:val="auto"/>
        </w:rPr>
      </w:pPr>
    </w:p>
    <w:p>
      <w:pPr>
        <w:ind w:left="340" w:hanging="188"/>
        <w:spacing w:after="0"/>
        <w:tabs>
          <w:tab w:leader="none" w:pos="340" w:val="left"/>
        </w:tabs>
        <w:numPr>
          <w:ilvl w:val="0"/>
          <w:numId w:val="68"/>
        </w:numPr>
        <w:rPr>
          <w:rFonts w:ascii="Arial" w:cs="Arial" w:eastAsia="Arial" w:hAnsi="Arial"/>
          <w:sz w:val="18"/>
          <w:szCs w:val="18"/>
          <w:color w:val="auto"/>
        </w:rPr>
      </w:pPr>
      <w:r>
        <w:rPr>
          <w:rFonts w:ascii="Arial" w:cs="Arial" w:eastAsia="Arial" w:hAnsi="Arial"/>
          <w:sz w:val="18"/>
          <w:szCs w:val="18"/>
          <w:color w:val="auto"/>
        </w:rPr>
        <w:t>$38 million increase in the cost of electric fuel and purchased power due to higher prices and increased electric demand;</w:t>
      </w:r>
    </w:p>
    <w:p>
      <w:pPr>
        <w:spacing w:after="0" w:line="252" w:lineRule="exact"/>
        <w:rPr>
          <w:rFonts w:ascii="Arial" w:cs="Arial" w:eastAsia="Arial" w:hAnsi="Arial"/>
          <w:sz w:val="18"/>
          <w:szCs w:val="18"/>
          <w:color w:val="auto"/>
        </w:rPr>
      </w:pPr>
    </w:p>
    <w:p>
      <w:pPr>
        <w:ind w:left="340" w:hanging="188"/>
        <w:spacing w:after="0"/>
        <w:tabs>
          <w:tab w:leader="none" w:pos="340" w:val="left"/>
        </w:tabs>
        <w:numPr>
          <w:ilvl w:val="0"/>
          <w:numId w:val="68"/>
        </w:numPr>
        <w:rPr>
          <w:rFonts w:ascii="Arial" w:cs="Arial" w:eastAsia="Arial" w:hAnsi="Arial"/>
          <w:sz w:val="18"/>
          <w:szCs w:val="18"/>
          <w:color w:val="auto"/>
        </w:rPr>
      </w:pPr>
      <w:r>
        <w:rPr>
          <w:rFonts w:ascii="Arial" w:cs="Arial" w:eastAsia="Arial" w:hAnsi="Arial"/>
          <w:sz w:val="18"/>
          <w:szCs w:val="18"/>
          <w:color w:val="auto"/>
        </w:rPr>
        <w:t>$29 million higher authorized base margin on electric generation and distribution; and</w:t>
      </w:r>
    </w:p>
    <w:p>
      <w:pPr>
        <w:spacing w:after="0" w:line="252" w:lineRule="exact"/>
        <w:rPr>
          <w:rFonts w:ascii="Arial" w:cs="Arial" w:eastAsia="Arial" w:hAnsi="Arial"/>
          <w:sz w:val="18"/>
          <w:szCs w:val="18"/>
          <w:color w:val="auto"/>
        </w:rPr>
      </w:pPr>
    </w:p>
    <w:p>
      <w:pPr>
        <w:ind w:left="340" w:hanging="188"/>
        <w:spacing w:after="0"/>
        <w:tabs>
          <w:tab w:leader="none" w:pos="340" w:val="left"/>
        </w:tabs>
        <w:numPr>
          <w:ilvl w:val="0"/>
          <w:numId w:val="68"/>
        </w:numPr>
        <w:rPr>
          <w:rFonts w:ascii="Arial" w:cs="Arial" w:eastAsia="Arial" w:hAnsi="Arial"/>
          <w:sz w:val="18"/>
          <w:szCs w:val="18"/>
          <w:color w:val="auto"/>
        </w:rPr>
      </w:pPr>
      <w:r>
        <w:rPr>
          <w:rFonts w:ascii="Arial" w:cs="Arial" w:eastAsia="Arial" w:hAnsi="Arial"/>
          <w:sz w:val="18"/>
          <w:szCs w:val="18"/>
          <w:color w:val="auto"/>
        </w:rPr>
        <w:t>$9 million higher authorized transmission margin.</w:t>
      </w:r>
    </w:p>
    <w:p>
      <w:pPr>
        <w:spacing w:after="0" w:line="252"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SDG&amp;E’s cost of electric fuel and purchased power increased by $50 million (18%) to $327 million in the six months ended June 30, 2011 primarily due to an increase in electric fuel and purchased-power costs due to higher prices and increased electric demand.</w:t>
      </w:r>
    </w:p>
    <w:p>
      <w:pPr>
        <w:spacing w:after="0" w:line="170"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We do not include in the Condensed Consolidated Statements of Operations the commodity costs (and the revenues to recover those costs) associated with long-term contracts that are allocated to SDG&amp;E by the California Department of Water Resources (DWR). However, we do include the associated volumes and distribution revenues in the table above. We provide further discussion of these contracts in Note 1 of the Notes to Consolidated Financial Statements in the Annual Report.</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SDG&amp;E and SoCalGas: Natural Gas Revenues and Cost of Natural Gas</w:t>
      </w:r>
    </w:p>
    <w:p>
      <w:pPr>
        <w:spacing w:after="0" w:line="205"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The tables below show natural gas revenues for SDG&amp;E and SoCalGas for the six-month periods ended June 30, 2011 and 2010. Because the cost of natural gas is recovered in rates, changes in the cost are reflected in the changes in revenues. In addition to the change in market prices, natural gas revenues recorded during a period are impacted by the difference between customer billings and recorded or CPUC-authorized costs. These differences are required to be balanced over time, resulting in over- and undercollected regulatory balancing accounts. We discuss balancing accounts and their effects further in Note 1 of the Notes to Consolidated Financial Statements in the Annual Report.</w:t>
      </w: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SDG&amp;E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-104775</wp:posOffset>
            </wp:positionV>
            <wp:extent cx="7246620" cy="3346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46620" cy="334645"/>
                    </a:xfrm>
                    <a:prstGeom prst="rect">
                      <a:avLst/>
                    </a:prstGeom>
                    <a:noFill/>
                  </pic:spPr>
                </pic:pic>
              </a:graphicData>
            </a:graphic>
          </wp:anchor>
        </w:drawing>
      </w:r>
    </w:p>
    <w:p>
      <w:pPr>
        <w:spacing w:after="0"/>
        <w:rPr>
          <w:sz w:val="20"/>
          <w:szCs w:val="20"/>
          <w:color w:val="auto"/>
        </w:rPr>
      </w:pPr>
      <w:r>
        <w:rPr>
          <w:rFonts w:ascii="Arial" w:cs="Arial" w:eastAsia="Arial" w:hAnsi="Arial"/>
          <w:sz w:val="16"/>
          <w:szCs w:val="16"/>
          <w:b w:val="1"/>
          <w:bCs w:val="1"/>
          <w:color w:val="auto"/>
        </w:rPr>
        <w:t>NATURAL GAS SALES AND TRANSPORTATION</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160" w:type="dxa"/>
            <w:vAlign w:val="bottom"/>
          </w:tcPr>
          <w:p>
            <w:pPr>
              <w:spacing w:after="0"/>
              <w:rPr>
                <w:sz w:val="20"/>
                <w:szCs w:val="20"/>
                <w:color w:val="auto"/>
              </w:rPr>
            </w:pPr>
            <w:r>
              <w:rPr>
                <w:rFonts w:ascii="Arial" w:cs="Arial" w:eastAsia="Arial" w:hAnsi="Arial"/>
                <w:sz w:val="14"/>
                <w:szCs w:val="14"/>
                <w:i w:val="1"/>
                <w:iCs w:val="1"/>
                <w:color w:val="auto"/>
              </w:rPr>
              <w:t>(Volumes in billion cubic feet, dollars in millions)</w:t>
            </w:r>
          </w:p>
        </w:tc>
        <w:tc>
          <w:tcPr>
            <w:tcW w:w="2900" w:type="dxa"/>
            <w:vAlign w:val="bottom"/>
            <w:gridSpan w:val="3"/>
            <w:vMerge w:val="restart"/>
          </w:tcPr>
          <w:p>
            <w:pPr>
              <w:jc w:val="center"/>
              <w:ind w:right="102"/>
              <w:spacing w:after="0"/>
              <w:rPr>
                <w:sz w:val="20"/>
                <w:szCs w:val="20"/>
                <w:color w:val="auto"/>
              </w:rPr>
            </w:pPr>
            <w:r>
              <w:rPr>
                <w:rFonts w:ascii="Arial" w:cs="Arial" w:eastAsia="Arial" w:hAnsi="Arial"/>
                <w:sz w:val="14"/>
                <w:szCs w:val="14"/>
                <w:color w:val="auto"/>
              </w:rPr>
              <w:t>Natural Gas Sales</w:t>
            </w:r>
          </w:p>
        </w:tc>
        <w:tc>
          <w:tcPr>
            <w:tcW w:w="2760" w:type="dxa"/>
            <w:vAlign w:val="bottom"/>
            <w:gridSpan w:val="2"/>
            <w:vMerge w:val="restart"/>
          </w:tcPr>
          <w:p>
            <w:pPr>
              <w:jc w:val="right"/>
              <w:ind w:right="1002"/>
              <w:spacing w:after="0"/>
              <w:rPr>
                <w:sz w:val="20"/>
                <w:szCs w:val="20"/>
                <w:color w:val="auto"/>
              </w:rPr>
            </w:pPr>
            <w:r>
              <w:rPr>
                <w:rFonts w:ascii="Arial" w:cs="Arial" w:eastAsia="Arial" w:hAnsi="Arial"/>
                <w:sz w:val="14"/>
                <w:szCs w:val="14"/>
                <w:color w:val="auto"/>
              </w:rPr>
              <w:t>Transportation</w:t>
            </w:r>
          </w:p>
        </w:tc>
        <w:tc>
          <w:tcPr>
            <w:tcW w:w="1480" w:type="dxa"/>
            <w:vAlign w:val="bottom"/>
            <w:gridSpan w:val="2"/>
            <w:vMerge w:val="restart"/>
          </w:tcPr>
          <w:p>
            <w:pPr>
              <w:jc w:val="right"/>
              <w:ind w:right="39"/>
              <w:spacing w:after="0"/>
              <w:rPr>
                <w:sz w:val="20"/>
                <w:szCs w:val="20"/>
                <w:color w:val="auto"/>
              </w:rPr>
            </w:pPr>
            <w:r>
              <w:rPr>
                <w:rFonts w:ascii="Arial" w:cs="Arial" w:eastAsia="Arial" w:hAnsi="Arial"/>
                <w:sz w:val="14"/>
                <w:szCs w:val="14"/>
                <w:color w:val="auto"/>
              </w:rPr>
              <w:t>Total</w:t>
            </w: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0"/>
        </w:trPr>
        <w:tc>
          <w:tcPr>
            <w:tcW w:w="3160" w:type="dxa"/>
            <w:vAlign w:val="bottom"/>
          </w:tcPr>
          <w:p>
            <w:pPr>
              <w:spacing w:after="0"/>
              <w:rPr>
                <w:sz w:val="12"/>
                <w:szCs w:val="12"/>
                <w:color w:val="auto"/>
              </w:rPr>
            </w:pPr>
          </w:p>
        </w:tc>
        <w:tc>
          <w:tcPr>
            <w:tcW w:w="2900" w:type="dxa"/>
            <w:vAlign w:val="bottom"/>
            <w:tcBorders>
              <w:bottom w:val="single" w:sz="8" w:color="auto"/>
            </w:tcBorders>
            <w:gridSpan w:val="3"/>
            <w:vMerge w:val="continue"/>
          </w:tcPr>
          <w:p>
            <w:pPr>
              <w:spacing w:after="0"/>
              <w:rPr>
                <w:sz w:val="12"/>
                <w:szCs w:val="12"/>
                <w:color w:val="auto"/>
              </w:rPr>
            </w:pPr>
          </w:p>
        </w:tc>
        <w:tc>
          <w:tcPr>
            <w:tcW w:w="2760" w:type="dxa"/>
            <w:vAlign w:val="bottom"/>
            <w:tcBorders>
              <w:bottom w:val="single" w:sz="8" w:color="auto"/>
            </w:tcBorders>
            <w:gridSpan w:val="2"/>
            <w:vMerge w:val="continue"/>
          </w:tcPr>
          <w:p>
            <w:pPr>
              <w:spacing w:after="0"/>
              <w:rPr>
                <w:sz w:val="12"/>
                <w:szCs w:val="12"/>
                <w:color w:val="auto"/>
              </w:rPr>
            </w:pPr>
          </w:p>
        </w:tc>
        <w:tc>
          <w:tcPr>
            <w:tcW w:w="1480" w:type="dxa"/>
            <w:vAlign w:val="bottom"/>
            <w:tcBorders>
              <w:bottom w:val="single" w:sz="8" w:color="auto"/>
            </w:tcBorders>
            <w:gridSpan w:val="2"/>
            <w:vMerge w:val="continue"/>
          </w:tcPr>
          <w:p>
            <w:pPr>
              <w:spacing w:after="0"/>
              <w:rPr>
                <w:sz w:val="12"/>
                <w:szCs w:val="12"/>
                <w:color w:val="auto"/>
              </w:rPr>
            </w:pPr>
          </w:p>
        </w:tc>
        <w:tc>
          <w:tcPr>
            <w:tcW w:w="112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69"/>
        </w:trPr>
        <w:tc>
          <w:tcPr>
            <w:tcW w:w="316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Customer class</w:t>
            </w:r>
          </w:p>
        </w:tc>
        <w:tc>
          <w:tcPr>
            <w:tcW w:w="1280" w:type="dxa"/>
            <w:vAlign w:val="bottom"/>
            <w:tcBorders>
              <w:bottom w:val="single" w:sz="8" w:color="auto"/>
            </w:tcBorders>
          </w:tcPr>
          <w:p>
            <w:pPr>
              <w:jc w:val="right"/>
              <w:ind w:right="283"/>
              <w:spacing w:after="0"/>
              <w:rPr>
                <w:sz w:val="20"/>
                <w:szCs w:val="20"/>
                <w:color w:val="auto"/>
              </w:rPr>
            </w:pPr>
            <w:r>
              <w:rPr>
                <w:rFonts w:ascii="Arial" w:cs="Arial" w:eastAsia="Arial" w:hAnsi="Arial"/>
                <w:sz w:val="14"/>
                <w:szCs w:val="14"/>
                <w:color w:val="auto"/>
              </w:rPr>
              <w:t>Volumes</w:t>
            </w:r>
          </w:p>
        </w:tc>
        <w:tc>
          <w:tcPr>
            <w:tcW w:w="28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jc w:val="right"/>
              <w:ind w:right="522"/>
              <w:spacing w:after="0"/>
              <w:rPr>
                <w:sz w:val="20"/>
                <w:szCs w:val="20"/>
                <w:color w:val="auto"/>
              </w:rPr>
            </w:pPr>
            <w:r>
              <w:rPr>
                <w:rFonts w:ascii="Arial" w:cs="Arial" w:eastAsia="Arial" w:hAnsi="Arial"/>
                <w:sz w:val="14"/>
                <w:szCs w:val="14"/>
                <w:color w:val="auto"/>
              </w:rPr>
              <w:t>Revenue</w:t>
            </w:r>
          </w:p>
        </w:tc>
        <w:tc>
          <w:tcPr>
            <w:tcW w:w="1400" w:type="dxa"/>
            <w:vAlign w:val="bottom"/>
            <w:tcBorders>
              <w:bottom w:val="single" w:sz="8" w:color="auto"/>
            </w:tcBorders>
          </w:tcPr>
          <w:p>
            <w:pPr>
              <w:jc w:val="right"/>
              <w:ind w:right="563"/>
              <w:spacing w:after="0"/>
              <w:rPr>
                <w:sz w:val="20"/>
                <w:szCs w:val="20"/>
                <w:color w:val="auto"/>
              </w:rPr>
            </w:pPr>
            <w:r>
              <w:rPr>
                <w:rFonts w:ascii="Arial" w:cs="Arial" w:eastAsia="Arial" w:hAnsi="Arial"/>
                <w:sz w:val="14"/>
                <w:szCs w:val="14"/>
                <w:color w:val="auto"/>
              </w:rPr>
              <w:t>Volumes</w:t>
            </w:r>
          </w:p>
        </w:tc>
        <w:tc>
          <w:tcPr>
            <w:tcW w:w="1360" w:type="dxa"/>
            <w:vAlign w:val="bottom"/>
            <w:tcBorders>
              <w:bottom w:val="single" w:sz="8" w:color="auto"/>
            </w:tcBorders>
          </w:tcPr>
          <w:p>
            <w:pPr>
              <w:jc w:val="right"/>
              <w:ind w:right="522"/>
              <w:spacing w:after="0"/>
              <w:rPr>
                <w:sz w:val="20"/>
                <w:szCs w:val="20"/>
                <w:color w:val="auto"/>
              </w:rPr>
            </w:pPr>
            <w:r>
              <w:rPr>
                <w:rFonts w:ascii="Arial" w:cs="Arial" w:eastAsia="Arial" w:hAnsi="Arial"/>
                <w:sz w:val="14"/>
                <w:szCs w:val="14"/>
                <w:color w:val="auto"/>
              </w:rPr>
              <w:t>Revenue</w:t>
            </w:r>
          </w:p>
        </w:tc>
        <w:tc>
          <w:tcPr>
            <w:tcW w:w="1120" w:type="dxa"/>
            <w:vAlign w:val="bottom"/>
            <w:tcBorders>
              <w:bottom w:val="single" w:sz="8" w:color="auto"/>
            </w:tcBorders>
          </w:tcPr>
          <w:p>
            <w:pPr>
              <w:jc w:val="right"/>
              <w:ind w:right="283"/>
              <w:spacing w:after="0"/>
              <w:rPr>
                <w:sz w:val="20"/>
                <w:szCs w:val="20"/>
                <w:color w:val="auto"/>
              </w:rPr>
            </w:pPr>
            <w:r>
              <w:rPr>
                <w:rFonts w:ascii="Arial" w:cs="Arial" w:eastAsia="Arial" w:hAnsi="Arial"/>
                <w:sz w:val="14"/>
                <w:szCs w:val="14"/>
                <w:color w:val="auto"/>
              </w:rPr>
              <w:t>Volumes</w:t>
            </w:r>
          </w:p>
        </w:tc>
        <w:tc>
          <w:tcPr>
            <w:tcW w:w="36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362"/>
              <w:spacing w:after="0"/>
              <w:rPr>
                <w:sz w:val="20"/>
                <w:szCs w:val="20"/>
                <w:color w:val="auto"/>
              </w:rPr>
            </w:pPr>
            <w:r>
              <w:rPr>
                <w:rFonts w:ascii="Arial" w:cs="Arial" w:eastAsia="Arial" w:hAnsi="Arial"/>
                <w:sz w:val="14"/>
                <w:szCs w:val="14"/>
                <w:color w:val="auto"/>
              </w:rPr>
              <w:t>Revenue</w:t>
            </w:r>
          </w:p>
        </w:tc>
        <w:tc>
          <w:tcPr>
            <w:tcW w:w="0" w:type="dxa"/>
            <w:vAlign w:val="bottom"/>
          </w:tcPr>
          <w:p>
            <w:pPr>
              <w:spacing w:after="0"/>
              <w:rPr>
                <w:sz w:val="1"/>
                <w:szCs w:val="1"/>
                <w:color w:val="auto"/>
              </w:rPr>
            </w:pPr>
          </w:p>
        </w:tc>
      </w:tr>
      <w:tr>
        <w:trPr>
          <w:trHeight w:val="164"/>
        </w:trPr>
        <w:tc>
          <w:tcPr>
            <w:tcW w:w="3160" w:type="dxa"/>
            <w:vAlign w:val="bottom"/>
          </w:tcPr>
          <w:p>
            <w:pPr>
              <w:spacing w:after="0" w:line="164" w:lineRule="exact"/>
              <w:rPr>
                <w:sz w:val="20"/>
                <w:szCs w:val="20"/>
                <w:color w:val="auto"/>
              </w:rPr>
            </w:pPr>
            <w:r>
              <w:rPr>
                <w:rFonts w:ascii="Arial" w:cs="Arial" w:eastAsia="Arial" w:hAnsi="Arial"/>
                <w:sz w:val="16"/>
                <w:szCs w:val="16"/>
                <w:color w:val="auto"/>
              </w:rPr>
              <w:t>Six months ended June 30, 2011:</w:t>
            </w:r>
          </w:p>
        </w:tc>
        <w:tc>
          <w:tcPr>
            <w:tcW w:w="1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3160" w:type="dxa"/>
            <w:vAlign w:val="bottom"/>
          </w:tcPr>
          <w:p>
            <w:pPr>
              <w:ind w:left="180"/>
              <w:spacing w:after="0" w:line="176" w:lineRule="exact"/>
              <w:rPr>
                <w:sz w:val="20"/>
                <w:szCs w:val="20"/>
                <w:color w:val="auto"/>
              </w:rPr>
            </w:pPr>
            <w:r>
              <w:rPr>
                <w:rFonts w:ascii="Arial" w:cs="Arial" w:eastAsia="Arial" w:hAnsi="Arial"/>
                <w:sz w:val="16"/>
                <w:szCs w:val="16"/>
                <w:color w:val="auto"/>
              </w:rPr>
              <w:t>Residential</w:t>
            </w:r>
          </w:p>
        </w:tc>
        <w:tc>
          <w:tcPr>
            <w:tcW w:w="1280" w:type="dxa"/>
            <w:vAlign w:val="bottom"/>
          </w:tcPr>
          <w:p>
            <w:pPr>
              <w:jc w:val="right"/>
              <w:spacing w:after="0" w:line="176" w:lineRule="exact"/>
              <w:rPr>
                <w:sz w:val="20"/>
                <w:szCs w:val="20"/>
                <w:color w:val="auto"/>
              </w:rPr>
            </w:pPr>
            <w:r>
              <w:rPr>
                <w:rFonts w:ascii="Arial" w:cs="Arial" w:eastAsia="Arial" w:hAnsi="Arial"/>
                <w:sz w:val="16"/>
                <w:szCs w:val="16"/>
                <w:color w:val="auto"/>
              </w:rPr>
              <w:t>20</w:t>
            </w:r>
          </w:p>
        </w:tc>
        <w:tc>
          <w:tcPr>
            <w:tcW w:w="280" w:type="dxa"/>
            <w:vAlign w:val="bottom"/>
          </w:tcPr>
          <w:p>
            <w:pPr>
              <w:jc w:val="right"/>
              <w:ind w:right="79"/>
              <w:spacing w:after="0" w:line="176" w:lineRule="exact"/>
              <w:rPr>
                <w:sz w:val="20"/>
                <w:szCs w:val="20"/>
                <w:color w:val="auto"/>
              </w:rPr>
            </w:pPr>
            <w:r>
              <w:rPr>
                <w:rFonts w:ascii="Arial" w:cs="Arial" w:eastAsia="Arial" w:hAnsi="Arial"/>
                <w:sz w:val="16"/>
                <w:szCs w:val="16"/>
                <w:color w:val="auto"/>
              </w:rPr>
              <w:t>$</w:t>
            </w:r>
          </w:p>
        </w:tc>
        <w:tc>
          <w:tcPr>
            <w:tcW w:w="1340" w:type="dxa"/>
            <w:vAlign w:val="bottom"/>
          </w:tcPr>
          <w:p>
            <w:pPr>
              <w:jc w:val="right"/>
              <w:ind w:right="122"/>
              <w:spacing w:after="0" w:line="176" w:lineRule="exact"/>
              <w:rPr>
                <w:sz w:val="20"/>
                <w:szCs w:val="20"/>
                <w:color w:val="auto"/>
              </w:rPr>
            </w:pPr>
            <w:r>
              <w:rPr>
                <w:rFonts w:ascii="Arial" w:cs="Arial" w:eastAsia="Arial" w:hAnsi="Arial"/>
                <w:sz w:val="16"/>
                <w:szCs w:val="16"/>
                <w:color w:val="auto"/>
              </w:rPr>
              <w:t>210</w:t>
            </w:r>
          </w:p>
        </w:tc>
        <w:tc>
          <w:tcPr>
            <w:tcW w:w="1400" w:type="dxa"/>
            <w:vAlign w:val="bottom"/>
          </w:tcPr>
          <w:p>
            <w:pPr>
              <w:jc w:val="right"/>
              <w:ind w:right="83"/>
              <w:spacing w:after="0" w:line="176" w:lineRule="exact"/>
              <w:rPr>
                <w:sz w:val="20"/>
                <w:szCs w:val="20"/>
                <w:color w:val="auto"/>
              </w:rPr>
            </w:pPr>
            <w:r>
              <w:rPr>
                <w:rFonts w:ascii="Arial" w:cs="Arial" w:eastAsia="Arial" w:hAnsi="Arial"/>
                <w:sz w:val="16"/>
                <w:szCs w:val="16"/>
                <w:color w:val="auto"/>
              </w:rPr>
              <w:t>― $</w:t>
            </w:r>
          </w:p>
        </w:tc>
        <w:tc>
          <w:tcPr>
            <w:tcW w:w="1360" w:type="dxa"/>
            <w:vAlign w:val="bottom"/>
          </w:tcPr>
          <w:p>
            <w:pPr>
              <w:jc w:val="right"/>
              <w:ind w:right="142"/>
              <w:spacing w:after="0" w:line="176" w:lineRule="exact"/>
              <w:rPr>
                <w:sz w:val="20"/>
                <w:szCs w:val="20"/>
                <w:color w:val="auto"/>
              </w:rPr>
            </w:pPr>
            <w:r>
              <w:rPr>
                <w:rFonts w:ascii="Arial" w:cs="Arial" w:eastAsia="Arial" w:hAnsi="Arial"/>
                <w:sz w:val="16"/>
                <w:szCs w:val="16"/>
                <w:color w:val="auto"/>
              </w:rPr>
              <w:t>―</w:t>
            </w:r>
          </w:p>
        </w:tc>
        <w:tc>
          <w:tcPr>
            <w:tcW w:w="1120" w:type="dxa"/>
            <w:vAlign w:val="bottom"/>
          </w:tcPr>
          <w:p>
            <w:pPr>
              <w:jc w:val="right"/>
              <w:spacing w:after="0" w:line="176" w:lineRule="exact"/>
              <w:rPr>
                <w:sz w:val="20"/>
                <w:szCs w:val="20"/>
                <w:color w:val="auto"/>
              </w:rPr>
            </w:pPr>
            <w:r>
              <w:rPr>
                <w:rFonts w:ascii="Arial" w:cs="Arial" w:eastAsia="Arial" w:hAnsi="Arial"/>
                <w:sz w:val="16"/>
                <w:szCs w:val="16"/>
                <w:color w:val="auto"/>
              </w:rPr>
              <w:t>20</w:t>
            </w:r>
          </w:p>
        </w:tc>
        <w:tc>
          <w:tcPr>
            <w:tcW w:w="360" w:type="dxa"/>
            <w:vAlign w:val="bottom"/>
          </w:tcPr>
          <w:p>
            <w:pPr>
              <w:jc w:val="right"/>
              <w:ind w:right="159"/>
              <w:spacing w:after="0" w:line="176" w:lineRule="exact"/>
              <w:rPr>
                <w:sz w:val="20"/>
                <w:szCs w:val="20"/>
                <w:color w:val="auto"/>
              </w:rPr>
            </w:pPr>
            <w:r>
              <w:rPr>
                <w:rFonts w:ascii="Arial" w:cs="Arial" w:eastAsia="Arial" w:hAnsi="Arial"/>
                <w:sz w:val="16"/>
                <w:szCs w:val="16"/>
                <w:color w:val="auto"/>
              </w:rPr>
              <w:t>$</w:t>
            </w:r>
          </w:p>
        </w:tc>
        <w:tc>
          <w:tcPr>
            <w:tcW w:w="1120" w:type="dxa"/>
            <w:vAlign w:val="bottom"/>
          </w:tcPr>
          <w:p>
            <w:pPr>
              <w:jc w:val="right"/>
              <w:spacing w:after="0" w:line="176" w:lineRule="exact"/>
              <w:rPr>
                <w:sz w:val="20"/>
                <w:szCs w:val="20"/>
                <w:color w:val="auto"/>
              </w:rPr>
            </w:pPr>
            <w:r>
              <w:rPr>
                <w:rFonts w:ascii="Arial" w:cs="Arial" w:eastAsia="Arial" w:hAnsi="Arial"/>
                <w:sz w:val="16"/>
                <w:szCs w:val="16"/>
                <w:color w:val="auto"/>
              </w:rPr>
              <w:t>210</w:t>
            </w:r>
          </w:p>
        </w:tc>
        <w:tc>
          <w:tcPr>
            <w:tcW w:w="0" w:type="dxa"/>
            <w:vAlign w:val="bottom"/>
          </w:tcPr>
          <w:p>
            <w:pPr>
              <w:spacing w:after="0"/>
              <w:rPr>
                <w:sz w:val="1"/>
                <w:szCs w:val="1"/>
                <w:color w:val="auto"/>
              </w:rPr>
            </w:pPr>
          </w:p>
        </w:tc>
      </w:tr>
      <w:tr>
        <w:trPr>
          <w:trHeight w:val="195"/>
        </w:trPr>
        <w:tc>
          <w:tcPr>
            <w:tcW w:w="3160" w:type="dxa"/>
            <w:vAlign w:val="bottom"/>
          </w:tcPr>
          <w:p>
            <w:pPr>
              <w:ind w:left="180"/>
              <w:spacing w:after="0"/>
              <w:rPr>
                <w:sz w:val="20"/>
                <w:szCs w:val="20"/>
                <w:color w:val="auto"/>
              </w:rPr>
            </w:pPr>
            <w:r>
              <w:rPr>
                <w:rFonts w:ascii="Arial" w:cs="Arial" w:eastAsia="Arial" w:hAnsi="Arial"/>
                <w:sz w:val="16"/>
                <w:szCs w:val="16"/>
                <w:color w:val="auto"/>
              </w:rPr>
              <w:t>Commercial and industrial</w:t>
            </w:r>
          </w:p>
        </w:tc>
        <w:tc>
          <w:tcPr>
            <w:tcW w:w="1280" w:type="dxa"/>
            <w:vAlign w:val="bottom"/>
          </w:tcPr>
          <w:p>
            <w:pPr>
              <w:jc w:val="right"/>
              <w:spacing w:after="0"/>
              <w:rPr>
                <w:sz w:val="20"/>
                <w:szCs w:val="20"/>
                <w:color w:val="auto"/>
              </w:rPr>
            </w:pPr>
            <w:r>
              <w:rPr>
                <w:rFonts w:ascii="Arial" w:cs="Arial" w:eastAsia="Arial" w:hAnsi="Arial"/>
                <w:sz w:val="16"/>
                <w:szCs w:val="16"/>
                <w:color w:val="auto"/>
              </w:rPr>
              <w:t>8</w:t>
            </w:r>
          </w:p>
        </w:tc>
        <w:tc>
          <w:tcPr>
            <w:tcW w:w="280" w:type="dxa"/>
            <w:vAlign w:val="bottom"/>
          </w:tcPr>
          <w:p>
            <w:pPr>
              <w:spacing w:after="0"/>
              <w:rPr>
                <w:sz w:val="16"/>
                <w:szCs w:val="16"/>
                <w:color w:val="auto"/>
              </w:rPr>
            </w:pPr>
          </w:p>
        </w:tc>
        <w:tc>
          <w:tcPr>
            <w:tcW w:w="1340" w:type="dxa"/>
            <w:vAlign w:val="bottom"/>
          </w:tcPr>
          <w:p>
            <w:pPr>
              <w:jc w:val="right"/>
              <w:ind w:right="122"/>
              <w:spacing w:after="0"/>
              <w:rPr>
                <w:sz w:val="20"/>
                <w:szCs w:val="20"/>
                <w:color w:val="auto"/>
              </w:rPr>
            </w:pPr>
            <w:r>
              <w:rPr>
                <w:rFonts w:ascii="Arial" w:cs="Arial" w:eastAsia="Arial" w:hAnsi="Arial"/>
                <w:sz w:val="16"/>
                <w:szCs w:val="16"/>
                <w:color w:val="auto"/>
              </w:rPr>
              <w:t>59</w:t>
            </w:r>
          </w:p>
        </w:tc>
        <w:tc>
          <w:tcPr>
            <w:tcW w:w="1400" w:type="dxa"/>
            <w:vAlign w:val="bottom"/>
          </w:tcPr>
          <w:p>
            <w:pPr>
              <w:jc w:val="right"/>
              <w:ind w:right="223"/>
              <w:spacing w:after="0"/>
              <w:rPr>
                <w:sz w:val="20"/>
                <w:szCs w:val="20"/>
                <w:color w:val="auto"/>
              </w:rPr>
            </w:pPr>
            <w:r>
              <w:rPr>
                <w:rFonts w:ascii="Arial" w:cs="Arial" w:eastAsia="Arial" w:hAnsi="Arial"/>
                <w:sz w:val="16"/>
                <w:szCs w:val="16"/>
                <w:color w:val="auto"/>
              </w:rPr>
              <w:t>4</w:t>
            </w:r>
          </w:p>
        </w:tc>
        <w:tc>
          <w:tcPr>
            <w:tcW w:w="1360" w:type="dxa"/>
            <w:vAlign w:val="bottom"/>
          </w:tcPr>
          <w:p>
            <w:pPr>
              <w:jc w:val="right"/>
              <w:ind w:right="142"/>
              <w:spacing w:after="0"/>
              <w:rPr>
                <w:sz w:val="20"/>
                <w:szCs w:val="20"/>
                <w:color w:val="auto"/>
              </w:rPr>
            </w:pPr>
            <w:r>
              <w:rPr>
                <w:rFonts w:ascii="Arial" w:cs="Arial" w:eastAsia="Arial" w:hAnsi="Arial"/>
                <w:sz w:val="16"/>
                <w:szCs w:val="16"/>
                <w:color w:val="auto"/>
              </w:rPr>
              <w:t>5</w:t>
            </w:r>
          </w:p>
        </w:tc>
        <w:tc>
          <w:tcPr>
            <w:tcW w:w="1120" w:type="dxa"/>
            <w:vAlign w:val="bottom"/>
          </w:tcPr>
          <w:p>
            <w:pPr>
              <w:jc w:val="right"/>
              <w:spacing w:after="0"/>
              <w:rPr>
                <w:sz w:val="20"/>
                <w:szCs w:val="20"/>
                <w:color w:val="auto"/>
              </w:rPr>
            </w:pPr>
            <w:r>
              <w:rPr>
                <w:rFonts w:ascii="Arial" w:cs="Arial" w:eastAsia="Arial" w:hAnsi="Arial"/>
                <w:sz w:val="16"/>
                <w:szCs w:val="16"/>
                <w:color w:val="auto"/>
              </w:rPr>
              <w:t>12</w:t>
            </w:r>
          </w:p>
        </w:tc>
        <w:tc>
          <w:tcPr>
            <w:tcW w:w="36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64</w:t>
            </w:r>
          </w:p>
        </w:tc>
        <w:tc>
          <w:tcPr>
            <w:tcW w:w="0" w:type="dxa"/>
            <w:vAlign w:val="bottom"/>
          </w:tcPr>
          <w:p>
            <w:pPr>
              <w:spacing w:after="0"/>
              <w:rPr>
                <w:sz w:val="1"/>
                <w:szCs w:val="1"/>
                <w:color w:val="auto"/>
              </w:rPr>
            </w:pPr>
          </w:p>
        </w:tc>
      </w:tr>
    </w:tbl>
    <w:p>
      <w:pPr>
        <w:sectPr>
          <w:pgSz w:w="11900" w:h="16838" w:orient="portrait"/>
          <w:cols w:equalWidth="0" w:num="1">
            <w:col w:w="11420"/>
          </w:cols>
          <w:pgMar w:left="240" w:top="341" w:right="239" w:bottom="0" w:gutter="0" w:footer="0" w:header="0"/>
        </w:sectPr>
      </w:pPr>
    </w:p>
    <w:bookmarkStart w:id="58" w:name="page59"/>
    <w:bookmarkEnd w:id="5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20" w:type="dxa"/>
            <w:vAlign w:val="bottom"/>
          </w:tcPr>
          <w:p>
            <w:pPr>
              <w:spacing w:after="0"/>
              <w:rPr>
                <w:sz w:val="16"/>
                <w:szCs w:val="16"/>
                <w:color w:val="auto"/>
              </w:rPr>
            </w:pPr>
          </w:p>
        </w:tc>
        <w:tc>
          <w:tcPr>
            <w:tcW w:w="3140" w:type="dxa"/>
            <w:vAlign w:val="bottom"/>
          </w:tcPr>
          <w:p>
            <w:pPr>
              <w:ind w:left="160"/>
              <w:spacing w:after="0"/>
              <w:rPr>
                <w:sz w:val="20"/>
                <w:szCs w:val="20"/>
                <w:color w:val="auto"/>
              </w:rPr>
            </w:pPr>
            <w:r>
              <w:rPr>
                <w:rFonts w:ascii="Arial" w:cs="Arial" w:eastAsia="Arial" w:hAnsi="Arial"/>
                <w:sz w:val="16"/>
                <w:szCs w:val="16"/>
                <w:color w:val="auto"/>
              </w:rPr>
              <w:t>Electric generation plants</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6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w:t>
            </w:r>
          </w:p>
        </w:tc>
        <w:tc>
          <w:tcPr>
            <w:tcW w:w="7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color w:val="auto"/>
              </w:rPr>
              <w:t>4</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w:t>
            </w:r>
          </w:p>
        </w:tc>
        <w:tc>
          <w:tcPr>
            <w:tcW w:w="6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w:t>
            </w:r>
          </w:p>
        </w:tc>
      </w:tr>
      <w:tr>
        <w:trPr>
          <w:trHeight w:val="164"/>
        </w:trPr>
        <w:tc>
          <w:tcPr>
            <w:tcW w:w="20" w:type="dxa"/>
            <w:vAlign w:val="bottom"/>
          </w:tcPr>
          <w:p>
            <w:pPr>
              <w:spacing w:after="0"/>
              <w:rPr>
                <w:sz w:val="14"/>
                <w:szCs w:val="14"/>
                <w:color w:val="auto"/>
              </w:rPr>
            </w:pPr>
          </w:p>
        </w:tc>
        <w:tc>
          <w:tcPr>
            <w:tcW w:w="3140" w:type="dxa"/>
            <w:vAlign w:val="bottom"/>
          </w:tcPr>
          <w:p>
            <w:pPr>
              <w:spacing w:after="0"/>
              <w:rPr>
                <w:sz w:val="14"/>
                <w:szCs w:val="14"/>
                <w:color w:val="auto"/>
              </w:rPr>
            </w:pPr>
          </w:p>
        </w:tc>
        <w:tc>
          <w:tcPr>
            <w:tcW w:w="1280" w:type="dxa"/>
            <w:vAlign w:val="bottom"/>
          </w:tcPr>
          <w:p>
            <w:pPr>
              <w:jc w:val="right"/>
              <w:spacing w:after="0" w:line="164" w:lineRule="exact"/>
              <w:rPr>
                <w:sz w:val="20"/>
                <w:szCs w:val="20"/>
                <w:color w:val="auto"/>
              </w:rPr>
            </w:pPr>
            <w:r>
              <w:rPr>
                <w:rFonts w:ascii="Arial" w:cs="Arial" w:eastAsia="Arial" w:hAnsi="Arial"/>
                <w:sz w:val="16"/>
                <w:szCs w:val="16"/>
                <w:color w:val="auto"/>
              </w:rPr>
              <w:t>28</w:t>
            </w:r>
          </w:p>
        </w:tc>
        <w:tc>
          <w:tcPr>
            <w:tcW w:w="620" w:type="dxa"/>
            <w:vAlign w:val="bottom"/>
          </w:tcPr>
          <w:p>
            <w:pPr>
              <w:jc w:val="right"/>
              <w:ind w:right="419"/>
              <w:spacing w:after="0" w:line="164" w:lineRule="exact"/>
              <w:rPr>
                <w:sz w:val="20"/>
                <w:szCs w:val="20"/>
                <w:color w:val="auto"/>
              </w:rPr>
            </w:pPr>
            <w:r>
              <w:rPr>
                <w:rFonts w:ascii="Arial" w:cs="Arial" w:eastAsia="Arial" w:hAnsi="Arial"/>
                <w:sz w:val="16"/>
                <w:szCs w:val="16"/>
                <w:color w:val="auto"/>
              </w:rPr>
              <w:t>$</w:t>
            </w:r>
          </w:p>
        </w:tc>
        <w:tc>
          <w:tcPr>
            <w:tcW w:w="1360" w:type="dxa"/>
            <w:vAlign w:val="bottom"/>
          </w:tcPr>
          <w:p>
            <w:pPr>
              <w:jc w:val="right"/>
              <w:ind w:right="479"/>
              <w:spacing w:after="0" w:line="164" w:lineRule="exact"/>
              <w:rPr>
                <w:sz w:val="20"/>
                <w:szCs w:val="20"/>
                <w:color w:val="auto"/>
              </w:rPr>
            </w:pPr>
            <w:r>
              <w:rPr>
                <w:rFonts w:ascii="Arial" w:cs="Arial" w:eastAsia="Arial" w:hAnsi="Arial"/>
                <w:sz w:val="16"/>
                <w:szCs w:val="16"/>
                <w:color w:val="auto"/>
              </w:rPr>
              <w:t>269</w:t>
            </w:r>
          </w:p>
        </w:tc>
        <w:tc>
          <w:tcPr>
            <w:tcW w:w="760" w:type="dxa"/>
            <w:vAlign w:val="bottom"/>
          </w:tcPr>
          <w:p>
            <w:pPr>
              <w:jc w:val="right"/>
              <w:spacing w:after="0" w:line="164" w:lineRule="exact"/>
              <w:rPr>
                <w:sz w:val="20"/>
                <w:szCs w:val="20"/>
                <w:color w:val="auto"/>
              </w:rPr>
            </w:pPr>
            <w:r>
              <w:rPr>
                <w:rFonts w:ascii="Arial" w:cs="Arial" w:eastAsia="Arial" w:hAnsi="Arial"/>
                <w:sz w:val="16"/>
                <w:szCs w:val="16"/>
                <w:color w:val="auto"/>
              </w:rPr>
              <w:t>17</w:t>
            </w:r>
          </w:p>
        </w:tc>
        <w:tc>
          <w:tcPr>
            <w:tcW w:w="700" w:type="dxa"/>
            <w:vAlign w:val="bottom"/>
          </w:tcPr>
          <w:p>
            <w:pPr>
              <w:jc w:val="right"/>
              <w:ind w:right="499"/>
              <w:spacing w:after="0" w:line="164" w:lineRule="exact"/>
              <w:rPr>
                <w:sz w:val="20"/>
                <w:szCs w:val="20"/>
                <w:color w:val="auto"/>
              </w:rPr>
            </w:pPr>
            <w:r>
              <w:rPr>
                <w:rFonts w:ascii="Arial" w:cs="Arial" w:eastAsia="Arial" w:hAnsi="Arial"/>
                <w:sz w:val="16"/>
                <w:szCs w:val="16"/>
                <w:color w:val="auto"/>
              </w:rPr>
              <w:t>$</w:t>
            </w:r>
          </w:p>
        </w:tc>
        <w:tc>
          <w:tcPr>
            <w:tcW w:w="1300" w:type="dxa"/>
            <w:vAlign w:val="bottom"/>
          </w:tcPr>
          <w:p>
            <w:pPr>
              <w:jc w:val="right"/>
              <w:ind w:right="499"/>
              <w:spacing w:after="0" w:line="164" w:lineRule="exact"/>
              <w:rPr>
                <w:sz w:val="20"/>
                <w:szCs w:val="20"/>
                <w:color w:val="auto"/>
              </w:rPr>
            </w:pPr>
            <w:r>
              <w:rPr>
                <w:rFonts w:ascii="Arial" w:cs="Arial" w:eastAsia="Arial" w:hAnsi="Arial"/>
                <w:sz w:val="16"/>
                <w:szCs w:val="16"/>
                <w:color w:val="auto"/>
              </w:rPr>
              <w:t>9</w:t>
            </w:r>
          </w:p>
        </w:tc>
        <w:tc>
          <w:tcPr>
            <w:tcW w:w="780" w:type="dxa"/>
            <w:vAlign w:val="bottom"/>
          </w:tcPr>
          <w:p>
            <w:pPr>
              <w:jc w:val="right"/>
              <w:spacing w:after="0" w:line="164" w:lineRule="exact"/>
              <w:rPr>
                <w:sz w:val="20"/>
                <w:szCs w:val="20"/>
                <w:color w:val="auto"/>
              </w:rPr>
            </w:pPr>
            <w:r>
              <w:rPr>
                <w:rFonts w:ascii="Arial" w:cs="Arial" w:eastAsia="Arial" w:hAnsi="Arial"/>
                <w:sz w:val="16"/>
                <w:szCs w:val="16"/>
                <w:color w:val="auto"/>
              </w:rPr>
              <w:t>45</w:t>
            </w:r>
          </w:p>
        </w:tc>
        <w:tc>
          <w:tcPr>
            <w:tcW w:w="620" w:type="dxa"/>
            <w:vAlign w:val="bottom"/>
          </w:tcPr>
          <w:p>
            <w:pPr>
              <w:spacing w:after="0"/>
              <w:rPr>
                <w:sz w:val="14"/>
                <w:szCs w:val="14"/>
                <w:color w:val="auto"/>
              </w:rPr>
            </w:pPr>
          </w:p>
        </w:tc>
        <w:tc>
          <w:tcPr>
            <w:tcW w:w="840" w:type="dxa"/>
            <w:vAlign w:val="bottom"/>
          </w:tcPr>
          <w:p>
            <w:pPr>
              <w:jc w:val="right"/>
              <w:spacing w:after="0" w:line="164" w:lineRule="exact"/>
              <w:rPr>
                <w:sz w:val="20"/>
                <w:szCs w:val="20"/>
                <w:color w:val="auto"/>
              </w:rPr>
            </w:pPr>
            <w:r>
              <w:rPr>
                <w:rFonts w:ascii="Arial" w:cs="Arial" w:eastAsia="Arial" w:hAnsi="Arial"/>
                <w:sz w:val="16"/>
                <w:szCs w:val="16"/>
                <w:color w:val="auto"/>
              </w:rPr>
              <w:t>278</w:t>
            </w:r>
          </w:p>
        </w:tc>
      </w:tr>
      <w:tr>
        <w:trPr>
          <w:trHeight w:val="176"/>
        </w:trPr>
        <w:tc>
          <w:tcPr>
            <w:tcW w:w="20" w:type="dxa"/>
            <w:vAlign w:val="bottom"/>
          </w:tcPr>
          <w:p>
            <w:pPr>
              <w:spacing w:after="0"/>
              <w:rPr>
                <w:sz w:val="15"/>
                <w:szCs w:val="15"/>
                <w:color w:val="auto"/>
              </w:rPr>
            </w:pPr>
          </w:p>
        </w:tc>
        <w:tc>
          <w:tcPr>
            <w:tcW w:w="3140" w:type="dxa"/>
            <w:vAlign w:val="bottom"/>
          </w:tcPr>
          <w:p>
            <w:pPr>
              <w:ind w:left="160"/>
              <w:spacing w:after="0" w:line="176" w:lineRule="exact"/>
              <w:rPr>
                <w:sz w:val="20"/>
                <w:szCs w:val="20"/>
                <w:color w:val="auto"/>
              </w:rPr>
            </w:pPr>
            <w:r>
              <w:rPr>
                <w:rFonts w:ascii="Arial" w:cs="Arial" w:eastAsia="Arial" w:hAnsi="Arial"/>
                <w:sz w:val="16"/>
                <w:szCs w:val="16"/>
                <w:color w:val="auto"/>
              </w:rPr>
              <w:t>Other revenues</w:t>
            </w:r>
          </w:p>
        </w:tc>
        <w:tc>
          <w:tcPr>
            <w:tcW w:w="12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40" w:type="dxa"/>
            <w:vAlign w:val="bottom"/>
          </w:tcPr>
          <w:p>
            <w:pPr>
              <w:jc w:val="right"/>
              <w:spacing w:after="0" w:line="176" w:lineRule="exact"/>
              <w:rPr>
                <w:sz w:val="20"/>
                <w:szCs w:val="20"/>
                <w:color w:val="auto"/>
              </w:rPr>
            </w:pPr>
            <w:r>
              <w:rPr>
                <w:rFonts w:ascii="Arial" w:cs="Arial" w:eastAsia="Arial" w:hAnsi="Arial"/>
                <w:sz w:val="16"/>
                <w:szCs w:val="16"/>
                <w:color w:val="auto"/>
              </w:rPr>
              <w:t>17</w:t>
            </w:r>
          </w:p>
        </w:tc>
      </w:tr>
      <w:tr>
        <w:trPr>
          <w:trHeight w:val="194"/>
        </w:trPr>
        <w:tc>
          <w:tcPr>
            <w:tcW w:w="20" w:type="dxa"/>
            <w:vAlign w:val="bottom"/>
          </w:tcPr>
          <w:p>
            <w:pPr>
              <w:spacing w:after="0"/>
              <w:rPr>
                <w:sz w:val="16"/>
                <w:szCs w:val="16"/>
                <w:color w:val="auto"/>
              </w:rPr>
            </w:pPr>
          </w:p>
        </w:tc>
        <w:tc>
          <w:tcPr>
            <w:tcW w:w="3140" w:type="dxa"/>
            <w:vAlign w:val="bottom"/>
          </w:tcPr>
          <w:p>
            <w:pPr>
              <w:ind w:left="160"/>
              <w:spacing w:after="0"/>
              <w:rPr>
                <w:sz w:val="20"/>
                <w:szCs w:val="20"/>
                <w:color w:val="auto"/>
              </w:rPr>
            </w:pPr>
            <w:r>
              <w:rPr>
                <w:rFonts w:ascii="Arial" w:cs="Arial" w:eastAsia="Arial" w:hAnsi="Arial"/>
                <w:sz w:val="16"/>
                <w:szCs w:val="16"/>
                <w:color w:val="auto"/>
              </w:rPr>
              <w:t>Balancing accounts</w:t>
            </w:r>
          </w:p>
        </w:tc>
        <w:tc>
          <w:tcPr>
            <w:tcW w:w="12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w:t>
            </w:r>
          </w:p>
        </w:tc>
      </w:tr>
      <w:tr>
        <w:trPr>
          <w:trHeight w:val="183"/>
        </w:trPr>
        <w:tc>
          <w:tcPr>
            <w:tcW w:w="20" w:type="dxa"/>
            <w:vAlign w:val="bottom"/>
          </w:tcPr>
          <w:p>
            <w:pPr>
              <w:spacing w:after="0"/>
              <w:rPr>
                <w:sz w:val="15"/>
                <w:szCs w:val="15"/>
                <w:color w:val="auto"/>
              </w:rPr>
            </w:pPr>
          </w:p>
        </w:tc>
        <w:tc>
          <w:tcPr>
            <w:tcW w:w="3140" w:type="dxa"/>
            <w:vAlign w:val="bottom"/>
            <w:tcBorders>
              <w:bottom w:val="single" w:sz="8" w:color="auto"/>
            </w:tcBorders>
          </w:tcPr>
          <w:p>
            <w:pPr>
              <w:ind w:left="340"/>
              <w:spacing w:after="0" w:line="176" w:lineRule="exact"/>
              <w:rPr>
                <w:sz w:val="20"/>
                <w:szCs w:val="20"/>
                <w:color w:val="auto"/>
              </w:rPr>
            </w:pPr>
            <w:r>
              <w:rPr>
                <w:rFonts w:ascii="Arial" w:cs="Arial" w:eastAsia="Arial" w:hAnsi="Arial"/>
                <w:sz w:val="16"/>
                <w:szCs w:val="16"/>
                <w:color w:val="auto"/>
              </w:rPr>
              <w:t>Total</w:t>
            </w:r>
          </w:p>
        </w:tc>
        <w:tc>
          <w:tcPr>
            <w:tcW w:w="128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ind w:right="439"/>
              <w:spacing w:after="0" w:line="176" w:lineRule="exact"/>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6"/>
                <w:szCs w:val="16"/>
                <w:color w:val="auto"/>
              </w:rPr>
              <w:t>289</w:t>
            </w:r>
          </w:p>
        </w:tc>
      </w:tr>
      <w:tr>
        <w:trPr>
          <w:trHeight w:val="164"/>
        </w:trPr>
        <w:tc>
          <w:tcPr>
            <w:tcW w:w="20" w:type="dxa"/>
            <w:vAlign w:val="bottom"/>
          </w:tcPr>
          <w:p>
            <w:pPr>
              <w:spacing w:after="0"/>
              <w:rPr>
                <w:sz w:val="14"/>
                <w:szCs w:val="14"/>
                <w:color w:val="auto"/>
              </w:rPr>
            </w:pPr>
          </w:p>
        </w:tc>
        <w:tc>
          <w:tcPr>
            <w:tcW w:w="3140" w:type="dxa"/>
            <w:vAlign w:val="bottom"/>
          </w:tcPr>
          <w:p>
            <w:pPr>
              <w:spacing w:after="0" w:line="164" w:lineRule="exact"/>
              <w:rPr>
                <w:sz w:val="20"/>
                <w:szCs w:val="20"/>
                <w:color w:val="auto"/>
              </w:rPr>
            </w:pPr>
            <w:r>
              <w:rPr>
                <w:rFonts w:ascii="Arial" w:cs="Arial" w:eastAsia="Arial" w:hAnsi="Arial"/>
                <w:sz w:val="16"/>
                <w:szCs w:val="16"/>
                <w:color w:val="auto"/>
              </w:rPr>
              <w:t>Six months ended June 30, 2010:</w:t>
            </w:r>
          </w:p>
        </w:tc>
        <w:tc>
          <w:tcPr>
            <w:tcW w:w="12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76"/>
        </w:trPr>
        <w:tc>
          <w:tcPr>
            <w:tcW w:w="20" w:type="dxa"/>
            <w:vAlign w:val="bottom"/>
          </w:tcPr>
          <w:p>
            <w:pPr>
              <w:spacing w:after="0"/>
              <w:rPr>
                <w:sz w:val="15"/>
                <w:szCs w:val="15"/>
                <w:color w:val="auto"/>
              </w:rPr>
            </w:pPr>
          </w:p>
        </w:tc>
        <w:tc>
          <w:tcPr>
            <w:tcW w:w="3140" w:type="dxa"/>
            <w:vAlign w:val="bottom"/>
          </w:tcPr>
          <w:p>
            <w:pPr>
              <w:ind w:left="160"/>
              <w:spacing w:after="0" w:line="176" w:lineRule="exact"/>
              <w:rPr>
                <w:sz w:val="20"/>
                <w:szCs w:val="20"/>
                <w:color w:val="auto"/>
              </w:rPr>
            </w:pPr>
            <w:r>
              <w:rPr>
                <w:rFonts w:ascii="Arial" w:cs="Arial" w:eastAsia="Arial" w:hAnsi="Arial"/>
                <w:sz w:val="16"/>
                <w:szCs w:val="16"/>
                <w:color w:val="auto"/>
              </w:rPr>
              <w:t>Residential</w:t>
            </w:r>
          </w:p>
        </w:tc>
        <w:tc>
          <w:tcPr>
            <w:tcW w:w="1280" w:type="dxa"/>
            <w:vAlign w:val="bottom"/>
          </w:tcPr>
          <w:p>
            <w:pPr>
              <w:jc w:val="right"/>
              <w:spacing w:after="0" w:line="176" w:lineRule="exact"/>
              <w:rPr>
                <w:sz w:val="20"/>
                <w:szCs w:val="20"/>
                <w:color w:val="auto"/>
              </w:rPr>
            </w:pPr>
            <w:r>
              <w:rPr>
                <w:rFonts w:ascii="Arial" w:cs="Arial" w:eastAsia="Arial" w:hAnsi="Arial"/>
                <w:sz w:val="16"/>
                <w:szCs w:val="16"/>
                <w:color w:val="auto"/>
              </w:rPr>
              <w:t>19</w:t>
            </w:r>
          </w:p>
        </w:tc>
        <w:tc>
          <w:tcPr>
            <w:tcW w:w="620" w:type="dxa"/>
            <w:vAlign w:val="bottom"/>
          </w:tcPr>
          <w:p>
            <w:pPr>
              <w:jc w:val="right"/>
              <w:ind w:right="419"/>
              <w:spacing w:after="0" w:line="176" w:lineRule="exact"/>
              <w:rPr>
                <w:sz w:val="20"/>
                <w:szCs w:val="20"/>
                <w:color w:val="auto"/>
              </w:rPr>
            </w:pPr>
            <w:r>
              <w:rPr>
                <w:rFonts w:ascii="Arial" w:cs="Arial" w:eastAsia="Arial" w:hAnsi="Arial"/>
                <w:sz w:val="16"/>
                <w:szCs w:val="16"/>
                <w:color w:val="auto"/>
              </w:rPr>
              <w:t>$</w:t>
            </w:r>
          </w:p>
        </w:tc>
        <w:tc>
          <w:tcPr>
            <w:tcW w:w="1360" w:type="dxa"/>
            <w:vAlign w:val="bottom"/>
          </w:tcPr>
          <w:p>
            <w:pPr>
              <w:jc w:val="right"/>
              <w:ind w:right="479"/>
              <w:spacing w:after="0" w:line="176" w:lineRule="exact"/>
              <w:rPr>
                <w:sz w:val="20"/>
                <w:szCs w:val="20"/>
                <w:color w:val="auto"/>
              </w:rPr>
            </w:pPr>
            <w:r>
              <w:rPr>
                <w:rFonts w:ascii="Arial" w:cs="Arial" w:eastAsia="Arial" w:hAnsi="Arial"/>
                <w:sz w:val="16"/>
                <w:szCs w:val="16"/>
                <w:color w:val="auto"/>
              </w:rPr>
              <w:t>207</w:t>
            </w:r>
          </w:p>
        </w:tc>
        <w:tc>
          <w:tcPr>
            <w:tcW w:w="1460" w:type="dxa"/>
            <w:vAlign w:val="bottom"/>
            <w:gridSpan w:val="2"/>
          </w:tcPr>
          <w:p>
            <w:pPr>
              <w:jc w:val="right"/>
              <w:ind w:right="499"/>
              <w:spacing w:after="0" w:line="176" w:lineRule="exact"/>
              <w:rPr>
                <w:sz w:val="20"/>
                <w:szCs w:val="20"/>
                <w:color w:val="auto"/>
              </w:rPr>
            </w:pPr>
            <w:r>
              <w:rPr>
                <w:rFonts w:ascii="Arial" w:cs="Arial" w:eastAsia="Arial" w:hAnsi="Arial"/>
                <w:sz w:val="16"/>
                <w:szCs w:val="16"/>
                <w:color w:val="auto"/>
              </w:rPr>
              <w:t>― $</w:t>
            </w:r>
          </w:p>
        </w:tc>
        <w:tc>
          <w:tcPr>
            <w:tcW w:w="1300" w:type="dxa"/>
            <w:vAlign w:val="bottom"/>
          </w:tcPr>
          <w:p>
            <w:pPr>
              <w:jc w:val="right"/>
              <w:ind w:right="499"/>
              <w:spacing w:after="0" w:line="176" w:lineRule="exact"/>
              <w:rPr>
                <w:sz w:val="20"/>
                <w:szCs w:val="20"/>
                <w:color w:val="auto"/>
              </w:rPr>
            </w:pPr>
            <w:r>
              <w:rPr>
                <w:rFonts w:ascii="Arial" w:cs="Arial" w:eastAsia="Arial" w:hAnsi="Arial"/>
                <w:sz w:val="16"/>
                <w:szCs w:val="16"/>
                <w:color w:val="auto"/>
              </w:rPr>
              <w:t>―</w:t>
            </w:r>
          </w:p>
        </w:tc>
        <w:tc>
          <w:tcPr>
            <w:tcW w:w="780" w:type="dxa"/>
            <w:vAlign w:val="bottom"/>
          </w:tcPr>
          <w:p>
            <w:pPr>
              <w:jc w:val="right"/>
              <w:spacing w:after="0" w:line="176" w:lineRule="exact"/>
              <w:rPr>
                <w:sz w:val="20"/>
                <w:szCs w:val="20"/>
                <w:color w:val="auto"/>
              </w:rPr>
            </w:pPr>
            <w:r>
              <w:rPr>
                <w:rFonts w:ascii="Arial" w:cs="Arial" w:eastAsia="Arial" w:hAnsi="Arial"/>
                <w:sz w:val="16"/>
                <w:szCs w:val="16"/>
                <w:color w:val="auto"/>
              </w:rPr>
              <w:t>19</w:t>
            </w:r>
          </w:p>
        </w:tc>
        <w:tc>
          <w:tcPr>
            <w:tcW w:w="620" w:type="dxa"/>
            <w:vAlign w:val="bottom"/>
          </w:tcPr>
          <w:p>
            <w:pPr>
              <w:jc w:val="right"/>
              <w:ind w:right="439"/>
              <w:spacing w:after="0" w:line="176" w:lineRule="exact"/>
              <w:rPr>
                <w:sz w:val="20"/>
                <w:szCs w:val="20"/>
                <w:color w:val="auto"/>
              </w:rPr>
            </w:pPr>
            <w:r>
              <w:rPr>
                <w:rFonts w:ascii="Arial" w:cs="Arial" w:eastAsia="Arial" w:hAnsi="Arial"/>
                <w:sz w:val="16"/>
                <w:szCs w:val="16"/>
                <w:color w:val="auto"/>
                <w:w w:val="89"/>
              </w:rPr>
              <w:t>$</w:t>
            </w:r>
          </w:p>
        </w:tc>
        <w:tc>
          <w:tcPr>
            <w:tcW w:w="840" w:type="dxa"/>
            <w:vAlign w:val="bottom"/>
          </w:tcPr>
          <w:p>
            <w:pPr>
              <w:jc w:val="right"/>
              <w:spacing w:after="0" w:line="176" w:lineRule="exact"/>
              <w:rPr>
                <w:sz w:val="20"/>
                <w:szCs w:val="20"/>
                <w:color w:val="auto"/>
              </w:rPr>
            </w:pPr>
            <w:r>
              <w:rPr>
                <w:rFonts w:ascii="Arial" w:cs="Arial" w:eastAsia="Arial" w:hAnsi="Arial"/>
                <w:sz w:val="16"/>
                <w:szCs w:val="16"/>
                <w:color w:val="auto"/>
              </w:rPr>
              <w:t>207</w:t>
            </w:r>
          </w:p>
        </w:tc>
      </w:tr>
      <w:tr>
        <w:trPr>
          <w:trHeight w:val="176"/>
        </w:trPr>
        <w:tc>
          <w:tcPr>
            <w:tcW w:w="20" w:type="dxa"/>
            <w:vAlign w:val="bottom"/>
          </w:tcPr>
          <w:p>
            <w:pPr>
              <w:spacing w:after="0"/>
              <w:rPr>
                <w:sz w:val="15"/>
                <w:szCs w:val="15"/>
                <w:color w:val="auto"/>
              </w:rPr>
            </w:pPr>
          </w:p>
        </w:tc>
        <w:tc>
          <w:tcPr>
            <w:tcW w:w="3140" w:type="dxa"/>
            <w:vAlign w:val="bottom"/>
          </w:tcPr>
          <w:p>
            <w:pPr>
              <w:ind w:left="160"/>
              <w:spacing w:after="0" w:line="176" w:lineRule="exact"/>
              <w:rPr>
                <w:sz w:val="20"/>
                <w:szCs w:val="20"/>
                <w:color w:val="auto"/>
              </w:rPr>
            </w:pPr>
            <w:r>
              <w:rPr>
                <w:rFonts w:ascii="Arial" w:cs="Arial" w:eastAsia="Arial" w:hAnsi="Arial"/>
                <w:sz w:val="16"/>
                <w:szCs w:val="16"/>
                <w:color w:val="auto"/>
              </w:rPr>
              <w:t>Commercial and industrial</w:t>
            </w:r>
          </w:p>
        </w:tc>
        <w:tc>
          <w:tcPr>
            <w:tcW w:w="1280" w:type="dxa"/>
            <w:vAlign w:val="bottom"/>
          </w:tcPr>
          <w:p>
            <w:pPr>
              <w:jc w:val="right"/>
              <w:spacing w:after="0" w:line="176" w:lineRule="exact"/>
              <w:rPr>
                <w:sz w:val="20"/>
                <w:szCs w:val="20"/>
                <w:color w:val="auto"/>
              </w:rPr>
            </w:pPr>
            <w:r>
              <w:rPr>
                <w:rFonts w:ascii="Arial" w:cs="Arial" w:eastAsia="Arial" w:hAnsi="Arial"/>
                <w:sz w:val="16"/>
                <w:szCs w:val="16"/>
                <w:color w:val="auto"/>
              </w:rPr>
              <w:t>8</w:t>
            </w:r>
          </w:p>
        </w:tc>
        <w:tc>
          <w:tcPr>
            <w:tcW w:w="620" w:type="dxa"/>
            <w:vAlign w:val="bottom"/>
          </w:tcPr>
          <w:p>
            <w:pPr>
              <w:spacing w:after="0"/>
              <w:rPr>
                <w:sz w:val="15"/>
                <w:szCs w:val="15"/>
                <w:color w:val="auto"/>
              </w:rPr>
            </w:pPr>
          </w:p>
        </w:tc>
        <w:tc>
          <w:tcPr>
            <w:tcW w:w="1360" w:type="dxa"/>
            <w:vAlign w:val="bottom"/>
          </w:tcPr>
          <w:p>
            <w:pPr>
              <w:jc w:val="right"/>
              <w:ind w:right="479"/>
              <w:spacing w:after="0" w:line="176" w:lineRule="exact"/>
              <w:rPr>
                <w:sz w:val="20"/>
                <w:szCs w:val="20"/>
                <w:color w:val="auto"/>
              </w:rPr>
            </w:pPr>
            <w:r>
              <w:rPr>
                <w:rFonts w:ascii="Arial" w:cs="Arial" w:eastAsia="Arial" w:hAnsi="Arial"/>
                <w:sz w:val="16"/>
                <w:szCs w:val="16"/>
                <w:color w:val="auto"/>
              </w:rPr>
              <w:t>60</w:t>
            </w:r>
          </w:p>
        </w:tc>
        <w:tc>
          <w:tcPr>
            <w:tcW w:w="760" w:type="dxa"/>
            <w:vAlign w:val="bottom"/>
          </w:tcPr>
          <w:p>
            <w:pPr>
              <w:jc w:val="right"/>
              <w:spacing w:after="0" w:line="176" w:lineRule="exact"/>
              <w:rPr>
                <w:sz w:val="20"/>
                <w:szCs w:val="20"/>
                <w:color w:val="auto"/>
              </w:rPr>
            </w:pPr>
            <w:r>
              <w:rPr>
                <w:rFonts w:ascii="Arial" w:cs="Arial" w:eastAsia="Arial" w:hAnsi="Arial"/>
                <w:sz w:val="16"/>
                <w:szCs w:val="16"/>
                <w:color w:val="auto"/>
              </w:rPr>
              <w:t>4</w:t>
            </w:r>
          </w:p>
        </w:tc>
        <w:tc>
          <w:tcPr>
            <w:tcW w:w="700" w:type="dxa"/>
            <w:vAlign w:val="bottom"/>
          </w:tcPr>
          <w:p>
            <w:pPr>
              <w:spacing w:after="0"/>
              <w:rPr>
                <w:sz w:val="15"/>
                <w:szCs w:val="15"/>
                <w:color w:val="auto"/>
              </w:rPr>
            </w:pPr>
          </w:p>
        </w:tc>
        <w:tc>
          <w:tcPr>
            <w:tcW w:w="1300" w:type="dxa"/>
            <w:vAlign w:val="bottom"/>
          </w:tcPr>
          <w:p>
            <w:pPr>
              <w:jc w:val="right"/>
              <w:ind w:right="499"/>
              <w:spacing w:after="0" w:line="176" w:lineRule="exact"/>
              <w:rPr>
                <w:sz w:val="20"/>
                <w:szCs w:val="20"/>
                <w:color w:val="auto"/>
              </w:rPr>
            </w:pPr>
            <w:r>
              <w:rPr>
                <w:rFonts w:ascii="Arial" w:cs="Arial" w:eastAsia="Arial" w:hAnsi="Arial"/>
                <w:sz w:val="16"/>
                <w:szCs w:val="16"/>
                <w:color w:val="auto"/>
              </w:rPr>
              <w:t>6</w:t>
            </w:r>
          </w:p>
        </w:tc>
        <w:tc>
          <w:tcPr>
            <w:tcW w:w="780" w:type="dxa"/>
            <w:vAlign w:val="bottom"/>
          </w:tcPr>
          <w:p>
            <w:pPr>
              <w:jc w:val="right"/>
              <w:spacing w:after="0" w:line="176" w:lineRule="exact"/>
              <w:rPr>
                <w:sz w:val="20"/>
                <w:szCs w:val="20"/>
                <w:color w:val="auto"/>
              </w:rPr>
            </w:pPr>
            <w:r>
              <w:rPr>
                <w:rFonts w:ascii="Arial" w:cs="Arial" w:eastAsia="Arial" w:hAnsi="Arial"/>
                <w:sz w:val="16"/>
                <w:szCs w:val="16"/>
                <w:color w:val="auto"/>
              </w:rPr>
              <w:t>12</w:t>
            </w:r>
          </w:p>
        </w:tc>
        <w:tc>
          <w:tcPr>
            <w:tcW w:w="620" w:type="dxa"/>
            <w:vAlign w:val="bottom"/>
          </w:tcPr>
          <w:p>
            <w:pPr>
              <w:spacing w:after="0"/>
              <w:rPr>
                <w:sz w:val="15"/>
                <w:szCs w:val="15"/>
                <w:color w:val="auto"/>
              </w:rPr>
            </w:pPr>
          </w:p>
        </w:tc>
        <w:tc>
          <w:tcPr>
            <w:tcW w:w="840" w:type="dxa"/>
            <w:vAlign w:val="bottom"/>
          </w:tcPr>
          <w:p>
            <w:pPr>
              <w:jc w:val="right"/>
              <w:spacing w:after="0" w:line="176" w:lineRule="exact"/>
              <w:rPr>
                <w:sz w:val="20"/>
                <w:szCs w:val="20"/>
                <w:color w:val="auto"/>
              </w:rPr>
            </w:pPr>
            <w:r>
              <w:rPr>
                <w:rFonts w:ascii="Arial" w:cs="Arial" w:eastAsia="Arial" w:hAnsi="Arial"/>
                <w:sz w:val="16"/>
                <w:szCs w:val="16"/>
                <w:color w:val="auto"/>
              </w:rPr>
              <w:t>66</w:t>
            </w:r>
          </w:p>
        </w:tc>
      </w:tr>
      <w:tr>
        <w:trPr>
          <w:trHeight w:val="194"/>
        </w:trPr>
        <w:tc>
          <w:tcPr>
            <w:tcW w:w="20" w:type="dxa"/>
            <w:vAlign w:val="bottom"/>
          </w:tcPr>
          <w:p>
            <w:pPr>
              <w:spacing w:after="0"/>
              <w:rPr>
                <w:sz w:val="16"/>
                <w:szCs w:val="16"/>
                <w:color w:val="auto"/>
              </w:rPr>
            </w:pPr>
          </w:p>
        </w:tc>
        <w:tc>
          <w:tcPr>
            <w:tcW w:w="3140" w:type="dxa"/>
            <w:vAlign w:val="bottom"/>
          </w:tcPr>
          <w:p>
            <w:pPr>
              <w:ind w:left="160"/>
              <w:spacing w:after="0"/>
              <w:rPr>
                <w:sz w:val="20"/>
                <w:szCs w:val="20"/>
                <w:color w:val="auto"/>
              </w:rPr>
            </w:pPr>
            <w:r>
              <w:rPr>
                <w:rFonts w:ascii="Arial" w:cs="Arial" w:eastAsia="Arial" w:hAnsi="Arial"/>
                <w:sz w:val="16"/>
                <w:szCs w:val="16"/>
                <w:color w:val="auto"/>
              </w:rPr>
              <w:t>Electric generation plants</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6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w:t>
            </w:r>
          </w:p>
        </w:tc>
        <w:tc>
          <w:tcPr>
            <w:tcW w:w="7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color w:val="auto"/>
              </w:rPr>
              <w:t>3</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w:t>
            </w:r>
          </w:p>
        </w:tc>
        <w:tc>
          <w:tcPr>
            <w:tcW w:w="6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w:t>
            </w:r>
          </w:p>
        </w:tc>
      </w:tr>
      <w:tr>
        <w:trPr>
          <w:trHeight w:val="164"/>
        </w:trPr>
        <w:tc>
          <w:tcPr>
            <w:tcW w:w="20" w:type="dxa"/>
            <w:vAlign w:val="bottom"/>
          </w:tcPr>
          <w:p>
            <w:pPr>
              <w:spacing w:after="0"/>
              <w:rPr>
                <w:sz w:val="14"/>
                <w:szCs w:val="14"/>
                <w:color w:val="auto"/>
              </w:rPr>
            </w:pPr>
          </w:p>
        </w:tc>
        <w:tc>
          <w:tcPr>
            <w:tcW w:w="3140" w:type="dxa"/>
            <w:vAlign w:val="bottom"/>
          </w:tcPr>
          <w:p>
            <w:pPr>
              <w:spacing w:after="0"/>
              <w:rPr>
                <w:sz w:val="14"/>
                <w:szCs w:val="14"/>
                <w:color w:val="auto"/>
              </w:rPr>
            </w:pPr>
          </w:p>
        </w:tc>
        <w:tc>
          <w:tcPr>
            <w:tcW w:w="1280" w:type="dxa"/>
            <w:vAlign w:val="bottom"/>
          </w:tcPr>
          <w:p>
            <w:pPr>
              <w:jc w:val="right"/>
              <w:spacing w:after="0" w:line="164" w:lineRule="exact"/>
              <w:rPr>
                <w:sz w:val="20"/>
                <w:szCs w:val="20"/>
                <w:color w:val="auto"/>
              </w:rPr>
            </w:pPr>
            <w:r>
              <w:rPr>
                <w:rFonts w:ascii="Arial" w:cs="Arial" w:eastAsia="Arial" w:hAnsi="Arial"/>
                <w:sz w:val="16"/>
                <w:szCs w:val="16"/>
                <w:color w:val="auto"/>
              </w:rPr>
              <w:t>27</w:t>
            </w:r>
          </w:p>
        </w:tc>
        <w:tc>
          <w:tcPr>
            <w:tcW w:w="620" w:type="dxa"/>
            <w:vAlign w:val="bottom"/>
          </w:tcPr>
          <w:p>
            <w:pPr>
              <w:jc w:val="right"/>
              <w:ind w:right="419"/>
              <w:spacing w:after="0" w:line="164" w:lineRule="exact"/>
              <w:rPr>
                <w:sz w:val="20"/>
                <w:szCs w:val="20"/>
                <w:color w:val="auto"/>
              </w:rPr>
            </w:pPr>
            <w:r>
              <w:rPr>
                <w:rFonts w:ascii="Arial" w:cs="Arial" w:eastAsia="Arial" w:hAnsi="Arial"/>
                <w:sz w:val="16"/>
                <w:szCs w:val="16"/>
                <w:color w:val="auto"/>
              </w:rPr>
              <w:t>$</w:t>
            </w:r>
          </w:p>
        </w:tc>
        <w:tc>
          <w:tcPr>
            <w:tcW w:w="1360" w:type="dxa"/>
            <w:vAlign w:val="bottom"/>
          </w:tcPr>
          <w:p>
            <w:pPr>
              <w:jc w:val="right"/>
              <w:ind w:right="479"/>
              <w:spacing w:after="0" w:line="164" w:lineRule="exact"/>
              <w:rPr>
                <w:sz w:val="20"/>
                <w:szCs w:val="20"/>
                <w:color w:val="auto"/>
              </w:rPr>
            </w:pPr>
            <w:r>
              <w:rPr>
                <w:rFonts w:ascii="Arial" w:cs="Arial" w:eastAsia="Arial" w:hAnsi="Arial"/>
                <w:sz w:val="16"/>
                <w:szCs w:val="16"/>
                <w:color w:val="auto"/>
              </w:rPr>
              <w:t>267</w:t>
            </w:r>
          </w:p>
        </w:tc>
        <w:tc>
          <w:tcPr>
            <w:tcW w:w="760" w:type="dxa"/>
            <w:vAlign w:val="bottom"/>
          </w:tcPr>
          <w:p>
            <w:pPr>
              <w:jc w:val="right"/>
              <w:spacing w:after="0" w:line="164" w:lineRule="exact"/>
              <w:rPr>
                <w:sz w:val="20"/>
                <w:szCs w:val="20"/>
                <w:color w:val="auto"/>
              </w:rPr>
            </w:pPr>
            <w:r>
              <w:rPr>
                <w:rFonts w:ascii="Arial" w:cs="Arial" w:eastAsia="Arial" w:hAnsi="Arial"/>
                <w:sz w:val="16"/>
                <w:szCs w:val="16"/>
                <w:color w:val="auto"/>
              </w:rPr>
              <w:t>18</w:t>
            </w:r>
          </w:p>
        </w:tc>
        <w:tc>
          <w:tcPr>
            <w:tcW w:w="700" w:type="dxa"/>
            <w:vAlign w:val="bottom"/>
          </w:tcPr>
          <w:p>
            <w:pPr>
              <w:jc w:val="right"/>
              <w:ind w:right="499"/>
              <w:spacing w:after="0" w:line="164" w:lineRule="exact"/>
              <w:rPr>
                <w:sz w:val="20"/>
                <w:szCs w:val="20"/>
                <w:color w:val="auto"/>
              </w:rPr>
            </w:pPr>
            <w:r>
              <w:rPr>
                <w:rFonts w:ascii="Arial" w:cs="Arial" w:eastAsia="Arial" w:hAnsi="Arial"/>
                <w:sz w:val="16"/>
                <w:szCs w:val="16"/>
                <w:color w:val="auto"/>
              </w:rPr>
              <w:t>$</w:t>
            </w:r>
          </w:p>
        </w:tc>
        <w:tc>
          <w:tcPr>
            <w:tcW w:w="1300" w:type="dxa"/>
            <w:vAlign w:val="bottom"/>
          </w:tcPr>
          <w:p>
            <w:pPr>
              <w:jc w:val="right"/>
              <w:ind w:right="499"/>
              <w:spacing w:after="0" w:line="164" w:lineRule="exact"/>
              <w:rPr>
                <w:sz w:val="20"/>
                <w:szCs w:val="20"/>
                <w:color w:val="auto"/>
              </w:rPr>
            </w:pPr>
            <w:r>
              <w:rPr>
                <w:rFonts w:ascii="Arial" w:cs="Arial" w:eastAsia="Arial" w:hAnsi="Arial"/>
                <w:sz w:val="16"/>
                <w:szCs w:val="16"/>
                <w:color w:val="auto"/>
              </w:rPr>
              <w:t>9</w:t>
            </w:r>
          </w:p>
        </w:tc>
        <w:tc>
          <w:tcPr>
            <w:tcW w:w="780" w:type="dxa"/>
            <w:vAlign w:val="bottom"/>
          </w:tcPr>
          <w:p>
            <w:pPr>
              <w:jc w:val="right"/>
              <w:spacing w:after="0" w:line="164" w:lineRule="exact"/>
              <w:rPr>
                <w:sz w:val="20"/>
                <w:szCs w:val="20"/>
                <w:color w:val="auto"/>
              </w:rPr>
            </w:pPr>
            <w:r>
              <w:rPr>
                <w:rFonts w:ascii="Arial" w:cs="Arial" w:eastAsia="Arial" w:hAnsi="Arial"/>
                <w:sz w:val="16"/>
                <w:szCs w:val="16"/>
                <w:color w:val="auto"/>
              </w:rPr>
              <w:t>45</w:t>
            </w:r>
          </w:p>
        </w:tc>
        <w:tc>
          <w:tcPr>
            <w:tcW w:w="620" w:type="dxa"/>
            <w:vAlign w:val="bottom"/>
          </w:tcPr>
          <w:p>
            <w:pPr>
              <w:spacing w:after="0"/>
              <w:rPr>
                <w:sz w:val="14"/>
                <w:szCs w:val="14"/>
                <w:color w:val="auto"/>
              </w:rPr>
            </w:pPr>
          </w:p>
        </w:tc>
        <w:tc>
          <w:tcPr>
            <w:tcW w:w="840" w:type="dxa"/>
            <w:vAlign w:val="bottom"/>
          </w:tcPr>
          <w:p>
            <w:pPr>
              <w:jc w:val="right"/>
              <w:spacing w:after="0" w:line="164" w:lineRule="exact"/>
              <w:rPr>
                <w:sz w:val="20"/>
                <w:szCs w:val="20"/>
                <w:color w:val="auto"/>
              </w:rPr>
            </w:pPr>
            <w:r>
              <w:rPr>
                <w:rFonts w:ascii="Arial" w:cs="Arial" w:eastAsia="Arial" w:hAnsi="Arial"/>
                <w:sz w:val="16"/>
                <w:szCs w:val="16"/>
                <w:color w:val="auto"/>
              </w:rPr>
              <w:t>276</w:t>
            </w:r>
          </w:p>
        </w:tc>
      </w:tr>
      <w:tr>
        <w:trPr>
          <w:trHeight w:val="176"/>
        </w:trPr>
        <w:tc>
          <w:tcPr>
            <w:tcW w:w="20" w:type="dxa"/>
            <w:vAlign w:val="bottom"/>
          </w:tcPr>
          <w:p>
            <w:pPr>
              <w:spacing w:after="0"/>
              <w:rPr>
                <w:sz w:val="15"/>
                <w:szCs w:val="15"/>
                <w:color w:val="auto"/>
              </w:rPr>
            </w:pPr>
          </w:p>
        </w:tc>
        <w:tc>
          <w:tcPr>
            <w:tcW w:w="3140" w:type="dxa"/>
            <w:vAlign w:val="bottom"/>
          </w:tcPr>
          <w:p>
            <w:pPr>
              <w:ind w:left="160"/>
              <w:spacing w:after="0" w:line="176" w:lineRule="exact"/>
              <w:rPr>
                <w:sz w:val="20"/>
                <w:szCs w:val="20"/>
                <w:color w:val="auto"/>
              </w:rPr>
            </w:pPr>
            <w:r>
              <w:rPr>
                <w:rFonts w:ascii="Arial" w:cs="Arial" w:eastAsia="Arial" w:hAnsi="Arial"/>
                <w:sz w:val="16"/>
                <w:szCs w:val="16"/>
                <w:color w:val="auto"/>
              </w:rPr>
              <w:t>Other revenues</w:t>
            </w:r>
          </w:p>
        </w:tc>
        <w:tc>
          <w:tcPr>
            <w:tcW w:w="12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40" w:type="dxa"/>
            <w:vAlign w:val="bottom"/>
          </w:tcPr>
          <w:p>
            <w:pPr>
              <w:jc w:val="right"/>
              <w:spacing w:after="0" w:line="176" w:lineRule="exact"/>
              <w:rPr>
                <w:sz w:val="20"/>
                <w:szCs w:val="20"/>
                <w:color w:val="auto"/>
              </w:rPr>
            </w:pPr>
            <w:r>
              <w:rPr>
                <w:rFonts w:ascii="Arial" w:cs="Arial" w:eastAsia="Arial" w:hAnsi="Arial"/>
                <w:sz w:val="16"/>
                <w:szCs w:val="16"/>
                <w:color w:val="auto"/>
              </w:rPr>
              <w:t>18</w:t>
            </w:r>
          </w:p>
        </w:tc>
      </w:tr>
      <w:tr>
        <w:trPr>
          <w:trHeight w:val="194"/>
        </w:trPr>
        <w:tc>
          <w:tcPr>
            <w:tcW w:w="20" w:type="dxa"/>
            <w:vAlign w:val="bottom"/>
          </w:tcPr>
          <w:p>
            <w:pPr>
              <w:spacing w:after="0"/>
              <w:rPr>
                <w:sz w:val="16"/>
                <w:szCs w:val="16"/>
                <w:color w:val="auto"/>
              </w:rPr>
            </w:pPr>
          </w:p>
        </w:tc>
        <w:tc>
          <w:tcPr>
            <w:tcW w:w="3140" w:type="dxa"/>
            <w:vAlign w:val="bottom"/>
          </w:tcPr>
          <w:p>
            <w:pPr>
              <w:ind w:left="160"/>
              <w:spacing w:after="0"/>
              <w:rPr>
                <w:sz w:val="20"/>
                <w:szCs w:val="20"/>
                <w:color w:val="auto"/>
              </w:rPr>
            </w:pPr>
            <w:r>
              <w:rPr>
                <w:rFonts w:ascii="Arial" w:cs="Arial" w:eastAsia="Arial" w:hAnsi="Arial"/>
                <w:sz w:val="16"/>
                <w:szCs w:val="16"/>
                <w:color w:val="auto"/>
              </w:rPr>
              <w:t>Balancing accounts</w:t>
            </w:r>
          </w:p>
        </w:tc>
        <w:tc>
          <w:tcPr>
            <w:tcW w:w="12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w:t>
            </w:r>
          </w:p>
        </w:tc>
      </w:tr>
      <w:tr>
        <w:trPr>
          <w:trHeight w:val="195"/>
        </w:trPr>
        <w:tc>
          <w:tcPr>
            <w:tcW w:w="20" w:type="dxa"/>
            <w:vAlign w:val="bottom"/>
          </w:tcPr>
          <w:p>
            <w:pPr>
              <w:spacing w:after="0"/>
              <w:rPr>
                <w:sz w:val="16"/>
                <w:szCs w:val="16"/>
                <w:color w:val="auto"/>
              </w:rPr>
            </w:pPr>
          </w:p>
        </w:tc>
        <w:tc>
          <w:tcPr>
            <w:tcW w:w="3140" w:type="dxa"/>
            <w:vAlign w:val="bottom"/>
          </w:tcPr>
          <w:p>
            <w:pPr>
              <w:ind w:left="340"/>
              <w:spacing w:after="0"/>
              <w:rPr>
                <w:sz w:val="20"/>
                <w:szCs w:val="20"/>
                <w:color w:val="auto"/>
              </w:rPr>
            </w:pPr>
            <w:r>
              <w:rPr>
                <w:rFonts w:ascii="Arial" w:cs="Arial" w:eastAsia="Arial" w:hAnsi="Arial"/>
                <w:sz w:val="16"/>
                <w:szCs w:val="16"/>
                <w:color w:val="auto"/>
              </w:rPr>
              <w:t>Total(1)</w:t>
            </w:r>
          </w:p>
        </w:tc>
        <w:tc>
          <w:tcPr>
            <w:tcW w:w="12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620" w:type="dxa"/>
            <w:vAlign w:val="bottom"/>
          </w:tcPr>
          <w:p>
            <w:pPr>
              <w:jc w:val="right"/>
              <w:ind w:right="439"/>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282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246620" cy="171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rPr>
          <w:sz w:val="20"/>
          <w:szCs w:val="20"/>
          <w:color w:val="auto"/>
        </w:rPr>
      </w:pPr>
      <w:r>
        <w:rPr>
          <w:rFonts w:ascii="Arial" w:cs="Arial" w:eastAsia="Arial" w:hAnsi="Arial"/>
          <w:sz w:val="14"/>
          <w:szCs w:val="14"/>
          <w:i w:val="1"/>
          <w:iCs w:val="1"/>
          <w:color w:val="auto"/>
        </w:rPr>
        <w:t>(1) Includes sales to affiliates of $1 million in 2010.</w:t>
      </w:r>
    </w:p>
    <w:p>
      <w:pPr>
        <w:spacing w:after="0" w:line="238" w:lineRule="exact"/>
        <w:rPr>
          <w:sz w:val="20"/>
          <w:szCs w:val="20"/>
          <w:color w:val="auto"/>
        </w:rPr>
      </w:pPr>
    </w:p>
    <w:p>
      <w:pPr>
        <w:ind w:right="300"/>
        <w:spacing w:after="0" w:line="264" w:lineRule="auto"/>
        <w:rPr>
          <w:sz w:val="20"/>
          <w:szCs w:val="20"/>
          <w:color w:val="auto"/>
        </w:rPr>
      </w:pPr>
      <w:r>
        <w:rPr>
          <w:rFonts w:ascii="Arial" w:cs="Arial" w:eastAsia="Arial" w:hAnsi="Arial"/>
          <w:sz w:val="18"/>
          <w:szCs w:val="18"/>
          <w:color w:val="auto"/>
        </w:rPr>
        <w:t>During the three months ended June 30, 2011, SDG&amp;E's natural gas revenues increased by $11 million (11%) to $114 million, and the cost of natural gas increased by $8 million (18%) to $52 million. During the six months ended June 30, 2011, SDG&amp;E's natural gas revenues increased by $7 million (2%) to $289 million, and the cost of natural gas increased by $2 million (2%) to $135 million.</w:t>
      </w:r>
    </w:p>
    <w:p>
      <w:pPr>
        <w:spacing w:after="0" w:line="181"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SDG&amp;E’s average cost of natural gas for the three months ended June 30, 2011 was $4.90 per thousand cubic feet (Mcf) compared to $4.29 per Mcf for the corresponding period in 2010, a 14-percent increase of $0.61 per Mcf, resulting in higher revenues and cost of $7 million. For the first six months of 2011, SDG&amp;E’s average cost of natural gas was $4.86 per Mcf compared to $5.03 per Mcf for the corresponding period in 2010, a 3-percent decrease of $0.17 per Mcf, resulting in lower revenues and cost of $5 million. The decrease due to the lower average cost of natural gas delivered was offset by higher demand for natural gas, which resulted in higher revenues and cost of $7 million in 2011.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SOCALGAS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-104775</wp:posOffset>
            </wp:positionV>
            <wp:extent cx="7246620" cy="3346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46620" cy="334645"/>
                    </a:xfrm>
                    <a:prstGeom prst="rect">
                      <a:avLst/>
                    </a:prstGeom>
                    <a:noFill/>
                  </pic:spPr>
                </pic:pic>
              </a:graphicData>
            </a:graphic>
          </wp:anchor>
        </w:drawing>
      </w:r>
    </w:p>
    <w:p>
      <w:pPr>
        <w:spacing w:after="0"/>
        <w:rPr>
          <w:sz w:val="20"/>
          <w:szCs w:val="20"/>
          <w:color w:val="auto"/>
        </w:rPr>
      </w:pPr>
      <w:r>
        <w:rPr>
          <w:rFonts w:ascii="Arial" w:cs="Arial" w:eastAsia="Arial" w:hAnsi="Arial"/>
          <w:sz w:val="16"/>
          <w:szCs w:val="16"/>
          <w:b w:val="1"/>
          <w:bCs w:val="1"/>
          <w:color w:val="auto"/>
        </w:rPr>
        <w:t>NATURAL GAS SALES AND TRANSPORTATION</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160" w:type="dxa"/>
            <w:vAlign w:val="bottom"/>
            <w:gridSpan w:val="2"/>
          </w:tcPr>
          <w:p>
            <w:pPr>
              <w:spacing w:after="0"/>
              <w:rPr>
                <w:sz w:val="20"/>
                <w:szCs w:val="20"/>
                <w:color w:val="auto"/>
              </w:rPr>
            </w:pPr>
            <w:r>
              <w:rPr>
                <w:rFonts w:ascii="Arial" w:cs="Arial" w:eastAsia="Arial" w:hAnsi="Arial"/>
                <w:sz w:val="14"/>
                <w:szCs w:val="14"/>
                <w:i w:val="1"/>
                <w:iCs w:val="1"/>
                <w:color w:val="auto"/>
              </w:rPr>
              <w:t>(Volumes in billion cubic feet, dollars in millions)</w:t>
            </w:r>
          </w:p>
        </w:tc>
        <w:tc>
          <w:tcPr>
            <w:tcW w:w="2900" w:type="dxa"/>
            <w:vAlign w:val="bottom"/>
            <w:gridSpan w:val="3"/>
            <w:vMerge w:val="restart"/>
          </w:tcPr>
          <w:p>
            <w:pPr>
              <w:jc w:val="center"/>
              <w:ind w:right="100"/>
              <w:spacing w:after="0"/>
              <w:rPr>
                <w:sz w:val="20"/>
                <w:szCs w:val="20"/>
                <w:color w:val="auto"/>
              </w:rPr>
            </w:pPr>
            <w:r>
              <w:rPr>
                <w:rFonts w:ascii="Arial" w:cs="Arial" w:eastAsia="Arial" w:hAnsi="Arial"/>
                <w:sz w:val="14"/>
                <w:szCs w:val="14"/>
                <w:color w:val="auto"/>
              </w:rPr>
              <w:t>Natural Gas Sales</w:t>
            </w:r>
          </w:p>
        </w:tc>
        <w:tc>
          <w:tcPr>
            <w:tcW w:w="2220" w:type="dxa"/>
            <w:vAlign w:val="bottom"/>
            <w:gridSpan w:val="2"/>
            <w:vMerge w:val="restart"/>
          </w:tcPr>
          <w:p>
            <w:pPr>
              <w:jc w:val="center"/>
              <w:ind w:left="140"/>
              <w:spacing w:after="0"/>
              <w:rPr>
                <w:sz w:val="20"/>
                <w:szCs w:val="20"/>
                <w:color w:val="auto"/>
              </w:rPr>
            </w:pPr>
            <w:r>
              <w:rPr>
                <w:rFonts w:ascii="Arial" w:cs="Arial" w:eastAsia="Arial" w:hAnsi="Arial"/>
                <w:sz w:val="14"/>
                <w:szCs w:val="14"/>
                <w:color w:val="auto"/>
              </w:rPr>
              <w:t>Transportation</w:t>
            </w:r>
          </w:p>
        </w:tc>
        <w:tc>
          <w:tcPr>
            <w:tcW w:w="540" w:type="dxa"/>
            <w:vAlign w:val="bottom"/>
          </w:tcPr>
          <w:p>
            <w:pPr>
              <w:spacing w:after="0"/>
              <w:rPr>
                <w:sz w:val="16"/>
                <w:szCs w:val="16"/>
                <w:color w:val="auto"/>
              </w:rPr>
            </w:pPr>
          </w:p>
        </w:tc>
        <w:tc>
          <w:tcPr>
            <w:tcW w:w="1480" w:type="dxa"/>
            <w:vAlign w:val="bottom"/>
            <w:gridSpan w:val="2"/>
            <w:vMerge w:val="restart"/>
          </w:tcPr>
          <w:p>
            <w:pPr>
              <w:jc w:val="right"/>
              <w:ind w:right="39"/>
              <w:spacing w:after="0"/>
              <w:rPr>
                <w:sz w:val="20"/>
                <w:szCs w:val="20"/>
                <w:color w:val="auto"/>
              </w:rPr>
            </w:pPr>
            <w:r>
              <w:rPr>
                <w:rFonts w:ascii="Arial" w:cs="Arial" w:eastAsia="Arial" w:hAnsi="Arial"/>
                <w:sz w:val="14"/>
                <w:szCs w:val="14"/>
                <w:color w:val="auto"/>
              </w:rPr>
              <w:t>Total</w:t>
            </w: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3140" w:type="dxa"/>
            <w:vAlign w:val="bottom"/>
          </w:tcPr>
          <w:p>
            <w:pPr>
              <w:spacing w:after="0"/>
              <w:rPr>
                <w:sz w:val="12"/>
                <w:szCs w:val="12"/>
                <w:color w:val="auto"/>
              </w:rPr>
            </w:pPr>
          </w:p>
        </w:tc>
        <w:tc>
          <w:tcPr>
            <w:tcW w:w="2900" w:type="dxa"/>
            <w:vAlign w:val="bottom"/>
            <w:tcBorders>
              <w:bottom w:val="single" w:sz="8" w:color="auto"/>
            </w:tcBorders>
            <w:gridSpan w:val="3"/>
            <w:vMerge w:val="continue"/>
          </w:tcPr>
          <w:p>
            <w:pPr>
              <w:spacing w:after="0"/>
              <w:rPr>
                <w:sz w:val="12"/>
                <w:szCs w:val="12"/>
                <w:color w:val="auto"/>
              </w:rPr>
            </w:pPr>
          </w:p>
        </w:tc>
        <w:tc>
          <w:tcPr>
            <w:tcW w:w="2220" w:type="dxa"/>
            <w:vAlign w:val="bottom"/>
            <w:tcBorders>
              <w:bottom w:val="single" w:sz="8" w:color="auto"/>
            </w:tcBorders>
            <w:gridSpan w:val="2"/>
            <w:vMerge w:val="continue"/>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1480" w:type="dxa"/>
            <w:vAlign w:val="bottom"/>
            <w:tcBorders>
              <w:bottom w:val="single" w:sz="8" w:color="auto"/>
            </w:tcBorders>
            <w:gridSpan w:val="2"/>
            <w:vMerge w:val="continue"/>
          </w:tcPr>
          <w:p>
            <w:pPr>
              <w:spacing w:after="0"/>
              <w:rPr>
                <w:sz w:val="12"/>
                <w:szCs w:val="12"/>
                <w:color w:val="auto"/>
              </w:rPr>
            </w:pPr>
          </w:p>
        </w:tc>
        <w:tc>
          <w:tcPr>
            <w:tcW w:w="112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69"/>
        </w:trPr>
        <w:tc>
          <w:tcPr>
            <w:tcW w:w="3160" w:type="dxa"/>
            <w:vAlign w:val="bottom"/>
            <w:tcBorders>
              <w:bottom w:val="single" w:sz="8" w:color="auto"/>
            </w:tcBorders>
            <w:gridSpan w:val="2"/>
          </w:tcPr>
          <w:p>
            <w:pPr>
              <w:spacing w:after="0"/>
              <w:rPr>
                <w:sz w:val="20"/>
                <w:szCs w:val="20"/>
                <w:color w:val="auto"/>
              </w:rPr>
            </w:pPr>
            <w:r>
              <w:rPr>
                <w:rFonts w:ascii="Arial" w:cs="Arial" w:eastAsia="Arial" w:hAnsi="Arial"/>
                <w:sz w:val="14"/>
                <w:szCs w:val="14"/>
                <w:color w:val="auto"/>
              </w:rPr>
              <w:t>Customer class</w:t>
            </w:r>
          </w:p>
        </w:tc>
        <w:tc>
          <w:tcPr>
            <w:tcW w:w="1280" w:type="dxa"/>
            <w:vAlign w:val="bottom"/>
            <w:tcBorders>
              <w:bottom w:val="single" w:sz="8" w:color="auto"/>
            </w:tcBorders>
          </w:tcPr>
          <w:p>
            <w:pPr>
              <w:jc w:val="right"/>
              <w:ind w:right="280"/>
              <w:spacing w:after="0"/>
              <w:rPr>
                <w:sz w:val="20"/>
                <w:szCs w:val="20"/>
                <w:color w:val="auto"/>
              </w:rPr>
            </w:pPr>
            <w:r>
              <w:rPr>
                <w:rFonts w:ascii="Arial" w:cs="Arial" w:eastAsia="Arial" w:hAnsi="Arial"/>
                <w:sz w:val="14"/>
                <w:szCs w:val="14"/>
                <w:color w:val="auto"/>
              </w:rPr>
              <w:t>Volumes</w:t>
            </w:r>
          </w:p>
        </w:tc>
        <w:tc>
          <w:tcPr>
            <w:tcW w:w="28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jc w:val="right"/>
              <w:ind w:right="520"/>
              <w:spacing w:after="0"/>
              <w:rPr>
                <w:sz w:val="20"/>
                <w:szCs w:val="20"/>
                <w:color w:val="auto"/>
              </w:rPr>
            </w:pPr>
            <w:r>
              <w:rPr>
                <w:rFonts w:ascii="Arial" w:cs="Arial" w:eastAsia="Arial" w:hAnsi="Arial"/>
                <w:sz w:val="14"/>
                <w:szCs w:val="14"/>
                <w:color w:val="auto"/>
              </w:rPr>
              <w:t>Revenue</w:t>
            </w:r>
          </w:p>
        </w:tc>
        <w:tc>
          <w:tcPr>
            <w:tcW w:w="1120" w:type="dxa"/>
            <w:vAlign w:val="bottom"/>
            <w:tcBorders>
              <w:bottom w:val="single" w:sz="8" w:color="auto"/>
            </w:tcBorders>
          </w:tcPr>
          <w:p>
            <w:pPr>
              <w:jc w:val="right"/>
              <w:ind w:right="280"/>
              <w:spacing w:after="0"/>
              <w:rPr>
                <w:sz w:val="20"/>
                <w:szCs w:val="20"/>
                <w:color w:val="auto"/>
              </w:rPr>
            </w:pPr>
            <w:r>
              <w:rPr>
                <w:rFonts w:ascii="Arial" w:cs="Arial" w:eastAsia="Arial" w:hAnsi="Arial"/>
                <w:sz w:val="14"/>
                <w:szCs w:val="14"/>
                <w:color w:val="auto"/>
              </w:rPr>
              <w:t>Volumes</w:t>
            </w:r>
          </w:p>
        </w:tc>
        <w:tc>
          <w:tcPr>
            <w:tcW w:w="1100" w:type="dxa"/>
            <w:vAlign w:val="bottom"/>
            <w:tcBorders>
              <w:bottom w:val="single" w:sz="8" w:color="auto"/>
            </w:tcBorders>
          </w:tcPr>
          <w:p>
            <w:pPr>
              <w:ind w:left="460"/>
              <w:spacing w:after="0"/>
              <w:rPr>
                <w:sz w:val="20"/>
                <w:szCs w:val="20"/>
                <w:color w:val="auto"/>
              </w:rPr>
            </w:pPr>
            <w:r>
              <w:rPr>
                <w:rFonts w:ascii="Arial" w:cs="Arial" w:eastAsia="Arial" w:hAnsi="Arial"/>
                <w:sz w:val="14"/>
                <w:szCs w:val="14"/>
                <w:color w:val="auto"/>
              </w:rPr>
              <w:t>Revenue</w:t>
            </w:r>
          </w:p>
        </w:tc>
        <w:tc>
          <w:tcPr>
            <w:tcW w:w="54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300"/>
              <w:spacing w:after="0"/>
              <w:rPr>
                <w:sz w:val="20"/>
                <w:szCs w:val="20"/>
                <w:color w:val="auto"/>
              </w:rPr>
            </w:pPr>
            <w:r>
              <w:rPr>
                <w:rFonts w:ascii="Arial" w:cs="Arial" w:eastAsia="Arial" w:hAnsi="Arial"/>
                <w:sz w:val="14"/>
                <w:szCs w:val="14"/>
                <w:color w:val="auto"/>
              </w:rPr>
              <w:t>Volumes</w:t>
            </w:r>
          </w:p>
        </w:tc>
        <w:tc>
          <w:tcPr>
            <w:tcW w:w="34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360"/>
              <w:spacing w:after="0"/>
              <w:rPr>
                <w:sz w:val="20"/>
                <w:szCs w:val="20"/>
                <w:color w:val="auto"/>
              </w:rPr>
            </w:pPr>
            <w:r>
              <w:rPr>
                <w:rFonts w:ascii="Arial" w:cs="Arial" w:eastAsia="Arial" w:hAnsi="Arial"/>
                <w:sz w:val="14"/>
                <w:szCs w:val="14"/>
                <w:color w:val="auto"/>
              </w:rPr>
              <w:t>Revenue</w:t>
            </w:r>
          </w:p>
        </w:tc>
        <w:tc>
          <w:tcPr>
            <w:tcW w:w="0" w:type="dxa"/>
            <w:vAlign w:val="bottom"/>
          </w:tcPr>
          <w:p>
            <w:pPr>
              <w:spacing w:after="0"/>
              <w:rPr>
                <w:sz w:val="1"/>
                <w:szCs w:val="1"/>
                <w:color w:val="auto"/>
              </w:rPr>
            </w:pPr>
          </w:p>
        </w:tc>
      </w:tr>
      <w:tr>
        <w:trPr>
          <w:trHeight w:val="164"/>
        </w:trPr>
        <w:tc>
          <w:tcPr>
            <w:tcW w:w="3160" w:type="dxa"/>
            <w:vAlign w:val="bottom"/>
            <w:gridSpan w:val="2"/>
          </w:tcPr>
          <w:p>
            <w:pPr>
              <w:spacing w:after="0" w:line="164" w:lineRule="exact"/>
              <w:rPr>
                <w:sz w:val="20"/>
                <w:szCs w:val="20"/>
                <w:color w:val="auto"/>
              </w:rPr>
            </w:pPr>
            <w:r>
              <w:rPr>
                <w:rFonts w:ascii="Arial" w:cs="Arial" w:eastAsia="Arial" w:hAnsi="Arial"/>
                <w:sz w:val="16"/>
                <w:szCs w:val="16"/>
                <w:color w:val="auto"/>
              </w:rPr>
              <w:t>Six months ended June 30, 2011:</w:t>
            </w:r>
          </w:p>
        </w:tc>
        <w:tc>
          <w:tcPr>
            <w:tcW w:w="1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140" w:type="dxa"/>
            <w:vAlign w:val="bottom"/>
          </w:tcPr>
          <w:p>
            <w:pPr>
              <w:ind w:left="160"/>
              <w:spacing w:after="0" w:line="176" w:lineRule="exact"/>
              <w:rPr>
                <w:sz w:val="20"/>
                <w:szCs w:val="20"/>
                <w:color w:val="auto"/>
              </w:rPr>
            </w:pPr>
            <w:r>
              <w:rPr>
                <w:rFonts w:ascii="Arial" w:cs="Arial" w:eastAsia="Arial" w:hAnsi="Arial"/>
                <w:sz w:val="16"/>
                <w:szCs w:val="16"/>
                <w:color w:val="auto"/>
              </w:rPr>
              <w:t>Residential</w:t>
            </w:r>
          </w:p>
        </w:tc>
        <w:tc>
          <w:tcPr>
            <w:tcW w:w="1280" w:type="dxa"/>
            <w:vAlign w:val="bottom"/>
          </w:tcPr>
          <w:p>
            <w:pPr>
              <w:jc w:val="right"/>
              <w:spacing w:after="0" w:line="176" w:lineRule="exact"/>
              <w:rPr>
                <w:sz w:val="20"/>
                <w:szCs w:val="20"/>
                <w:color w:val="auto"/>
              </w:rPr>
            </w:pPr>
            <w:r>
              <w:rPr>
                <w:rFonts w:ascii="Arial" w:cs="Arial" w:eastAsia="Arial" w:hAnsi="Arial"/>
                <w:sz w:val="16"/>
                <w:szCs w:val="16"/>
                <w:color w:val="auto"/>
              </w:rPr>
              <w:t>140</w:t>
            </w:r>
          </w:p>
        </w:tc>
        <w:tc>
          <w:tcPr>
            <w:tcW w:w="280" w:type="dxa"/>
            <w:vAlign w:val="bottom"/>
          </w:tcPr>
          <w:p>
            <w:pPr>
              <w:jc w:val="center"/>
              <w:ind w:right="59"/>
              <w:spacing w:after="0" w:line="176" w:lineRule="exact"/>
              <w:rPr>
                <w:sz w:val="20"/>
                <w:szCs w:val="20"/>
                <w:color w:val="auto"/>
              </w:rPr>
            </w:pPr>
            <w:r>
              <w:rPr>
                <w:rFonts w:ascii="Arial" w:cs="Arial" w:eastAsia="Arial" w:hAnsi="Arial"/>
                <w:sz w:val="16"/>
                <w:szCs w:val="16"/>
                <w:color w:val="auto"/>
              </w:rPr>
              <w:t>$</w:t>
            </w:r>
          </w:p>
        </w:tc>
        <w:tc>
          <w:tcPr>
            <w:tcW w:w="1340" w:type="dxa"/>
            <w:vAlign w:val="bottom"/>
          </w:tcPr>
          <w:p>
            <w:pPr>
              <w:jc w:val="right"/>
              <w:ind w:right="120"/>
              <w:spacing w:after="0" w:line="176" w:lineRule="exact"/>
              <w:rPr>
                <w:sz w:val="20"/>
                <w:szCs w:val="20"/>
                <w:color w:val="auto"/>
              </w:rPr>
            </w:pPr>
            <w:r>
              <w:rPr>
                <w:rFonts w:ascii="Arial" w:cs="Arial" w:eastAsia="Arial" w:hAnsi="Arial"/>
                <w:sz w:val="16"/>
                <w:szCs w:val="16"/>
                <w:color w:val="auto"/>
              </w:rPr>
              <w:t>1,307</w:t>
            </w:r>
          </w:p>
        </w:tc>
        <w:tc>
          <w:tcPr>
            <w:tcW w:w="1120" w:type="dxa"/>
            <w:vAlign w:val="bottom"/>
          </w:tcPr>
          <w:p>
            <w:pPr>
              <w:jc w:val="right"/>
              <w:spacing w:after="0" w:line="176" w:lineRule="exact"/>
              <w:rPr>
                <w:sz w:val="20"/>
                <w:szCs w:val="20"/>
                <w:color w:val="auto"/>
              </w:rPr>
            </w:pPr>
            <w:r>
              <w:rPr>
                <w:rFonts w:ascii="Arial" w:cs="Arial" w:eastAsia="Arial" w:hAnsi="Arial"/>
                <w:sz w:val="16"/>
                <w:szCs w:val="16"/>
                <w:color w:val="auto"/>
              </w:rPr>
              <w:t>1</w:t>
            </w:r>
          </w:p>
        </w:tc>
        <w:tc>
          <w:tcPr>
            <w:tcW w:w="1100" w:type="dxa"/>
            <w:vAlign w:val="bottom"/>
          </w:tcPr>
          <w:p>
            <w:pPr>
              <w:jc w:val="center"/>
              <w:ind w:right="881"/>
              <w:spacing w:after="0" w:line="176" w:lineRule="exact"/>
              <w:rPr>
                <w:sz w:val="20"/>
                <w:szCs w:val="20"/>
                <w:color w:val="auto"/>
              </w:rPr>
            </w:pPr>
            <w:r>
              <w:rPr>
                <w:rFonts w:ascii="Arial" w:cs="Arial" w:eastAsia="Arial" w:hAnsi="Arial"/>
                <w:sz w:val="16"/>
                <w:szCs w:val="16"/>
                <w:color w:val="auto"/>
              </w:rPr>
              <w:t>$</w:t>
            </w:r>
          </w:p>
        </w:tc>
        <w:tc>
          <w:tcPr>
            <w:tcW w:w="540" w:type="dxa"/>
            <w:vAlign w:val="bottom"/>
          </w:tcPr>
          <w:p>
            <w:pPr>
              <w:jc w:val="right"/>
              <w:ind w:right="139"/>
              <w:spacing w:after="0" w:line="176" w:lineRule="exact"/>
              <w:rPr>
                <w:sz w:val="20"/>
                <w:szCs w:val="20"/>
                <w:color w:val="auto"/>
              </w:rPr>
            </w:pPr>
            <w:r>
              <w:rPr>
                <w:rFonts w:ascii="Arial" w:cs="Arial" w:eastAsia="Arial" w:hAnsi="Arial"/>
                <w:sz w:val="16"/>
                <w:szCs w:val="16"/>
                <w:color w:val="auto"/>
              </w:rPr>
              <w:t>2</w:t>
            </w:r>
          </w:p>
        </w:tc>
        <w:tc>
          <w:tcPr>
            <w:tcW w:w="1140" w:type="dxa"/>
            <w:vAlign w:val="bottom"/>
          </w:tcPr>
          <w:p>
            <w:pPr>
              <w:jc w:val="right"/>
              <w:spacing w:after="0" w:line="176" w:lineRule="exact"/>
              <w:rPr>
                <w:sz w:val="20"/>
                <w:szCs w:val="20"/>
                <w:color w:val="auto"/>
              </w:rPr>
            </w:pPr>
            <w:r>
              <w:rPr>
                <w:rFonts w:ascii="Arial" w:cs="Arial" w:eastAsia="Arial" w:hAnsi="Arial"/>
                <w:sz w:val="16"/>
                <w:szCs w:val="16"/>
                <w:color w:val="auto"/>
              </w:rPr>
              <w:t>141</w:t>
            </w:r>
          </w:p>
        </w:tc>
        <w:tc>
          <w:tcPr>
            <w:tcW w:w="340" w:type="dxa"/>
            <w:vAlign w:val="bottom"/>
          </w:tcPr>
          <w:p>
            <w:pPr>
              <w:jc w:val="right"/>
              <w:ind w:right="159"/>
              <w:spacing w:after="0" w:line="176" w:lineRule="exact"/>
              <w:rPr>
                <w:sz w:val="20"/>
                <w:szCs w:val="20"/>
                <w:color w:val="auto"/>
              </w:rPr>
            </w:pPr>
            <w:r>
              <w:rPr>
                <w:rFonts w:ascii="Arial" w:cs="Arial" w:eastAsia="Arial" w:hAnsi="Arial"/>
                <w:sz w:val="16"/>
                <w:szCs w:val="16"/>
                <w:color w:val="auto"/>
                <w:w w:val="89"/>
              </w:rPr>
              <w:t>$</w:t>
            </w:r>
          </w:p>
        </w:tc>
        <w:tc>
          <w:tcPr>
            <w:tcW w:w="1120" w:type="dxa"/>
            <w:vAlign w:val="bottom"/>
          </w:tcPr>
          <w:p>
            <w:pPr>
              <w:jc w:val="right"/>
              <w:spacing w:after="0" w:line="176" w:lineRule="exact"/>
              <w:rPr>
                <w:sz w:val="20"/>
                <w:szCs w:val="20"/>
                <w:color w:val="auto"/>
              </w:rPr>
            </w:pPr>
            <w:r>
              <w:rPr>
                <w:rFonts w:ascii="Arial" w:cs="Arial" w:eastAsia="Arial" w:hAnsi="Arial"/>
                <w:sz w:val="16"/>
                <w:szCs w:val="16"/>
                <w:color w:val="auto"/>
              </w:rPr>
              <w:t>1,309</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140" w:type="dxa"/>
            <w:vAlign w:val="bottom"/>
          </w:tcPr>
          <w:p>
            <w:pPr>
              <w:ind w:left="160"/>
              <w:spacing w:after="0" w:line="176" w:lineRule="exact"/>
              <w:rPr>
                <w:sz w:val="20"/>
                <w:szCs w:val="20"/>
                <w:color w:val="auto"/>
              </w:rPr>
            </w:pPr>
            <w:r>
              <w:rPr>
                <w:rFonts w:ascii="Arial" w:cs="Arial" w:eastAsia="Arial" w:hAnsi="Arial"/>
                <w:sz w:val="16"/>
                <w:szCs w:val="16"/>
                <w:color w:val="auto"/>
              </w:rPr>
              <w:t>Commercial and industrial</w:t>
            </w:r>
          </w:p>
        </w:tc>
        <w:tc>
          <w:tcPr>
            <w:tcW w:w="1280" w:type="dxa"/>
            <w:vAlign w:val="bottom"/>
          </w:tcPr>
          <w:p>
            <w:pPr>
              <w:jc w:val="right"/>
              <w:spacing w:after="0" w:line="176" w:lineRule="exact"/>
              <w:rPr>
                <w:sz w:val="20"/>
                <w:szCs w:val="20"/>
                <w:color w:val="auto"/>
              </w:rPr>
            </w:pPr>
            <w:r>
              <w:rPr>
                <w:rFonts w:ascii="Arial" w:cs="Arial" w:eastAsia="Arial" w:hAnsi="Arial"/>
                <w:sz w:val="16"/>
                <w:szCs w:val="16"/>
                <w:color w:val="auto"/>
              </w:rPr>
              <w:t>55</w:t>
            </w:r>
          </w:p>
        </w:tc>
        <w:tc>
          <w:tcPr>
            <w:tcW w:w="280" w:type="dxa"/>
            <w:vAlign w:val="bottom"/>
          </w:tcPr>
          <w:p>
            <w:pPr>
              <w:spacing w:after="0"/>
              <w:rPr>
                <w:sz w:val="15"/>
                <w:szCs w:val="15"/>
                <w:color w:val="auto"/>
              </w:rPr>
            </w:pPr>
          </w:p>
        </w:tc>
        <w:tc>
          <w:tcPr>
            <w:tcW w:w="1340" w:type="dxa"/>
            <w:vAlign w:val="bottom"/>
          </w:tcPr>
          <w:p>
            <w:pPr>
              <w:jc w:val="right"/>
              <w:ind w:right="120"/>
              <w:spacing w:after="0" w:line="176" w:lineRule="exact"/>
              <w:rPr>
                <w:sz w:val="20"/>
                <w:szCs w:val="20"/>
                <w:color w:val="auto"/>
              </w:rPr>
            </w:pPr>
            <w:r>
              <w:rPr>
                <w:rFonts w:ascii="Arial" w:cs="Arial" w:eastAsia="Arial" w:hAnsi="Arial"/>
                <w:sz w:val="16"/>
                <w:szCs w:val="16"/>
                <w:color w:val="auto"/>
              </w:rPr>
              <w:t>411</w:t>
            </w:r>
          </w:p>
        </w:tc>
        <w:tc>
          <w:tcPr>
            <w:tcW w:w="1120" w:type="dxa"/>
            <w:vAlign w:val="bottom"/>
          </w:tcPr>
          <w:p>
            <w:pPr>
              <w:jc w:val="right"/>
              <w:spacing w:after="0" w:line="176" w:lineRule="exact"/>
              <w:rPr>
                <w:sz w:val="20"/>
                <w:szCs w:val="20"/>
                <w:color w:val="auto"/>
              </w:rPr>
            </w:pPr>
            <w:r>
              <w:rPr>
                <w:rFonts w:ascii="Arial" w:cs="Arial" w:eastAsia="Arial" w:hAnsi="Arial"/>
                <w:sz w:val="16"/>
                <w:szCs w:val="16"/>
                <w:color w:val="auto"/>
              </w:rPr>
              <w:t>134</w:t>
            </w:r>
          </w:p>
        </w:tc>
        <w:tc>
          <w:tcPr>
            <w:tcW w:w="1100" w:type="dxa"/>
            <w:vAlign w:val="bottom"/>
          </w:tcPr>
          <w:p>
            <w:pPr>
              <w:spacing w:after="0"/>
              <w:rPr>
                <w:sz w:val="15"/>
                <w:szCs w:val="15"/>
                <w:color w:val="auto"/>
              </w:rPr>
            </w:pPr>
          </w:p>
        </w:tc>
        <w:tc>
          <w:tcPr>
            <w:tcW w:w="540" w:type="dxa"/>
            <w:vAlign w:val="bottom"/>
          </w:tcPr>
          <w:p>
            <w:pPr>
              <w:jc w:val="right"/>
              <w:ind w:right="139"/>
              <w:spacing w:after="0" w:line="176" w:lineRule="exact"/>
              <w:rPr>
                <w:sz w:val="20"/>
                <w:szCs w:val="20"/>
                <w:color w:val="auto"/>
              </w:rPr>
            </w:pPr>
            <w:r>
              <w:rPr>
                <w:rFonts w:ascii="Arial" w:cs="Arial" w:eastAsia="Arial" w:hAnsi="Arial"/>
                <w:sz w:val="16"/>
                <w:szCs w:val="16"/>
                <w:color w:val="auto"/>
              </w:rPr>
              <w:t>111</w:t>
            </w:r>
          </w:p>
        </w:tc>
        <w:tc>
          <w:tcPr>
            <w:tcW w:w="1140" w:type="dxa"/>
            <w:vAlign w:val="bottom"/>
          </w:tcPr>
          <w:p>
            <w:pPr>
              <w:jc w:val="right"/>
              <w:spacing w:after="0" w:line="176" w:lineRule="exact"/>
              <w:rPr>
                <w:sz w:val="20"/>
                <w:szCs w:val="20"/>
                <w:color w:val="auto"/>
              </w:rPr>
            </w:pPr>
            <w:r>
              <w:rPr>
                <w:rFonts w:ascii="Arial" w:cs="Arial" w:eastAsia="Arial" w:hAnsi="Arial"/>
                <w:sz w:val="16"/>
                <w:szCs w:val="16"/>
                <w:color w:val="auto"/>
              </w:rPr>
              <w:t>189</w:t>
            </w:r>
          </w:p>
        </w:tc>
        <w:tc>
          <w:tcPr>
            <w:tcW w:w="340" w:type="dxa"/>
            <w:vAlign w:val="bottom"/>
          </w:tcPr>
          <w:p>
            <w:pPr>
              <w:spacing w:after="0"/>
              <w:rPr>
                <w:sz w:val="15"/>
                <w:szCs w:val="15"/>
                <w:color w:val="auto"/>
              </w:rPr>
            </w:pPr>
          </w:p>
        </w:tc>
        <w:tc>
          <w:tcPr>
            <w:tcW w:w="1120" w:type="dxa"/>
            <w:vAlign w:val="bottom"/>
          </w:tcPr>
          <w:p>
            <w:pPr>
              <w:jc w:val="right"/>
              <w:spacing w:after="0" w:line="176" w:lineRule="exact"/>
              <w:rPr>
                <w:sz w:val="20"/>
                <w:szCs w:val="20"/>
                <w:color w:val="auto"/>
              </w:rPr>
            </w:pPr>
            <w:r>
              <w:rPr>
                <w:rFonts w:ascii="Arial" w:cs="Arial" w:eastAsia="Arial" w:hAnsi="Arial"/>
                <w:sz w:val="16"/>
                <w:szCs w:val="16"/>
                <w:color w:val="auto"/>
              </w:rPr>
              <w:t>522</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140" w:type="dxa"/>
            <w:vAlign w:val="bottom"/>
          </w:tcPr>
          <w:p>
            <w:pPr>
              <w:ind w:left="160"/>
              <w:spacing w:after="0" w:line="176" w:lineRule="exact"/>
              <w:rPr>
                <w:sz w:val="20"/>
                <w:szCs w:val="20"/>
                <w:color w:val="auto"/>
              </w:rPr>
            </w:pPr>
            <w:r>
              <w:rPr>
                <w:rFonts w:ascii="Arial" w:cs="Arial" w:eastAsia="Arial" w:hAnsi="Arial"/>
                <w:sz w:val="16"/>
                <w:szCs w:val="16"/>
                <w:color w:val="auto"/>
              </w:rPr>
              <w:t>Electric generation plants</w:t>
            </w:r>
          </w:p>
        </w:tc>
        <w:tc>
          <w:tcPr>
            <w:tcW w:w="1280" w:type="dxa"/>
            <w:vAlign w:val="bottom"/>
          </w:tcPr>
          <w:p>
            <w:pPr>
              <w:jc w:val="right"/>
              <w:spacing w:after="0" w:line="176" w:lineRule="exact"/>
              <w:rPr>
                <w:sz w:val="20"/>
                <w:szCs w:val="20"/>
                <w:color w:val="auto"/>
              </w:rPr>
            </w:pPr>
            <w:r>
              <w:rPr>
                <w:rFonts w:ascii="Arial" w:cs="Arial" w:eastAsia="Arial" w:hAnsi="Arial"/>
                <w:sz w:val="16"/>
                <w:szCs w:val="16"/>
                <w:color w:val="auto"/>
              </w:rPr>
              <w:t>―</w:t>
            </w:r>
          </w:p>
        </w:tc>
        <w:tc>
          <w:tcPr>
            <w:tcW w:w="280" w:type="dxa"/>
            <w:vAlign w:val="bottom"/>
          </w:tcPr>
          <w:p>
            <w:pPr>
              <w:spacing w:after="0"/>
              <w:rPr>
                <w:sz w:val="15"/>
                <w:szCs w:val="15"/>
                <w:color w:val="auto"/>
              </w:rPr>
            </w:pPr>
          </w:p>
        </w:tc>
        <w:tc>
          <w:tcPr>
            <w:tcW w:w="1340" w:type="dxa"/>
            <w:vAlign w:val="bottom"/>
          </w:tcPr>
          <w:p>
            <w:pPr>
              <w:jc w:val="right"/>
              <w:ind w:right="120"/>
              <w:spacing w:after="0" w:line="176" w:lineRule="exact"/>
              <w:rPr>
                <w:sz w:val="20"/>
                <w:szCs w:val="20"/>
                <w:color w:val="auto"/>
              </w:rPr>
            </w:pPr>
            <w:r>
              <w:rPr>
                <w:rFonts w:ascii="Arial" w:cs="Arial" w:eastAsia="Arial" w:hAnsi="Arial"/>
                <w:sz w:val="16"/>
                <w:szCs w:val="16"/>
                <w:color w:val="auto"/>
              </w:rPr>
              <w:t>―</w:t>
            </w:r>
          </w:p>
        </w:tc>
        <w:tc>
          <w:tcPr>
            <w:tcW w:w="1120" w:type="dxa"/>
            <w:vAlign w:val="bottom"/>
          </w:tcPr>
          <w:p>
            <w:pPr>
              <w:jc w:val="right"/>
              <w:spacing w:after="0" w:line="176" w:lineRule="exact"/>
              <w:rPr>
                <w:sz w:val="20"/>
                <w:szCs w:val="20"/>
                <w:color w:val="auto"/>
              </w:rPr>
            </w:pPr>
            <w:r>
              <w:rPr>
                <w:rFonts w:ascii="Arial" w:cs="Arial" w:eastAsia="Arial" w:hAnsi="Arial"/>
                <w:sz w:val="16"/>
                <w:szCs w:val="16"/>
                <w:color w:val="auto"/>
              </w:rPr>
              <w:t>69</w:t>
            </w:r>
          </w:p>
        </w:tc>
        <w:tc>
          <w:tcPr>
            <w:tcW w:w="1100" w:type="dxa"/>
            <w:vAlign w:val="bottom"/>
          </w:tcPr>
          <w:p>
            <w:pPr>
              <w:spacing w:after="0"/>
              <w:rPr>
                <w:sz w:val="15"/>
                <w:szCs w:val="15"/>
                <w:color w:val="auto"/>
              </w:rPr>
            </w:pPr>
          </w:p>
        </w:tc>
        <w:tc>
          <w:tcPr>
            <w:tcW w:w="540" w:type="dxa"/>
            <w:vAlign w:val="bottom"/>
          </w:tcPr>
          <w:p>
            <w:pPr>
              <w:jc w:val="right"/>
              <w:ind w:right="139"/>
              <w:spacing w:after="0" w:line="176" w:lineRule="exact"/>
              <w:rPr>
                <w:sz w:val="20"/>
                <w:szCs w:val="20"/>
                <w:color w:val="auto"/>
              </w:rPr>
            </w:pPr>
            <w:r>
              <w:rPr>
                <w:rFonts w:ascii="Arial" w:cs="Arial" w:eastAsia="Arial" w:hAnsi="Arial"/>
                <w:sz w:val="16"/>
                <w:szCs w:val="16"/>
                <w:color w:val="auto"/>
              </w:rPr>
              <w:t>20</w:t>
            </w:r>
          </w:p>
        </w:tc>
        <w:tc>
          <w:tcPr>
            <w:tcW w:w="1140" w:type="dxa"/>
            <w:vAlign w:val="bottom"/>
          </w:tcPr>
          <w:p>
            <w:pPr>
              <w:jc w:val="right"/>
              <w:spacing w:after="0" w:line="176" w:lineRule="exact"/>
              <w:rPr>
                <w:sz w:val="20"/>
                <w:szCs w:val="20"/>
                <w:color w:val="auto"/>
              </w:rPr>
            </w:pPr>
            <w:r>
              <w:rPr>
                <w:rFonts w:ascii="Arial" w:cs="Arial" w:eastAsia="Arial" w:hAnsi="Arial"/>
                <w:sz w:val="16"/>
                <w:szCs w:val="16"/>
                <w:color w:val="auto"/>
              </w:rPr>
              <w:t>69</w:t>
            </w:r>
          </w:p>
        </w:tc>
        <w:tc>
          <w:tcPr>
            <w:tcW w:w="340" w:type="dxa"/>
            <w:vAlign w:val="bottom"/>
          </w:tcPr>
          <w:p>
            <w:pPr>
              <w:spacing w:after="0"/>
              <w:rPr>
                <w:sz w:val="15"/>
                <w:szCs w:val="15"/>
                <w:color w:val="auto"/>
              </w:rPr>
            </w:pPr>
          </w:p>
        </w:tc>
        <w:tc>
          <w:tcPr>
            <w:tcW w:w="1120" w:type="dxa"/>
            <w:vAlign w:val="bottom"/>
          </w:tcPr>
          <w:p>
            <w:pPr>
              <w:jc w:val="right"/>
              <w:spacing w:after="0" w:line="176" w:lineRule="exact"/>
              <w:rPr>
                <w:sz w:val="20"/>
                <w:szCs w:val="20"/>
                <w:color w:val="auto"/>
              </w:rPr>
            </w:pPr>
            <w:r>
              <w:rPr>
                <w:rFonts w:ascii="Arial" w:cs="Arial" w:eastAsia="Arial" w:hAnsi="Arial"/>
                <w:sz w:val="16"/>
                <w:szCs w:val="16"/>
                <w:color w:val="auto"/>
              </w:rPr>
              <w:t>20</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3140" w:type="dxa"/>
            <w:vAlign w:val="bottom"/>
          </w:tcPr>
          <w:p>
            <w:pPr>
              <w:ind w:left="160"/>
              <w:spacing w:after="0"/>
              <w:rPr>
                <w:sz w:val="20"/>
                <w:szCs w:val="20"/>
                <w:color w:val="auto"/>
              </w:rPr>
            </w:pPr>
            <w:r>
              <w:rPr>
                <w:rFonts w:ascii="Arial" w:cs="Arial" w:eastAsia="Arial" w:hAnsi="Arial"/>
                <w:sz w:val="16"/>
                <w:szCs w:val="16"/>
                <w:color w:val="auto"/>
              </w:rPr>
              <w:t>Wholesale</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120"/>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73</w:t>
            </w:r>
          </w:p>
        </w:tc>
        <w:tc>
          <w:tcPr>
            <w:tcW w:w="110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10</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73</w:t>
            </w: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3140" w:type="dxa"/>
            <w:vAlign w:val="bottom"/>
          </w:tcPr>
          <w:p>
            <w:pPr>
              <w:spacing w:after="0"/>
              <w:rPr>
                <w:sz w:val="14"/>
                <w:szCs w:val="14"/>
                <w:color w:val="auto"/>
              </w:rPr>
            </w:pPr>
          </w:p>
        </w:tc>
        <w:tc>
          <w:tcPr>
            <w:tcW w:w="1280" w:type="dxa"/>
            <w:vAlign w:val="bottom"/>
          </w:tcPr>
          <w:p>
            <w:pPr>
              <w:jc w:val="right"/>
              <w:spacing w:after="0" w:line="164" w:lineRule="exact"/>
              <w:rPr>
                <w:sz w:val="20"/>
                <w:szCs w:val="20"/>
                <w:color w:val="auto"/>
              </w:rPr>
            </w:pPr>
            <w:r>
              <w:rPr>
                <w:rFonts w:ascii="Arial" w:cs="Arial" w:eastAsia="Arial" w:hAnsi="Arial"/>
                <w:sz w:val="16"/>
                <w:szCs w:val="16"/>
                <w:color w:val="auto"/>
              </w:rPr>
              <w:t>195</w:t>
            </w:r>
          </w:p>
        </w:tc>
        <w:tc>
          <w:tcPr>
            <w:tcW w:w="280" w:type="dxa"/>
            <w:vAlign w:val="bottom"/>
          </w:tcPr>
          <w:p>
            <w:pPr>
              <w:jc w:val="center"/>
              <w:ind w:right="59"/>
              <w:spacing w:after="0" w:line="164" w:lineRule="exact"/>
              <w:rPr>
                <w:sz w:val="20"/>
                <w:szCs w:val="20"/>
                <w:color w:val="auto"/>
              </w:rPr>
            </w:pPr>
            <w:r>
              <w:rPr>
                <w:rFonts w:ascii="Arial" w:cs="Arial" w:eastAsia="Arial" w:hAnsi="Arial"/>
                <w:sz w:val="16"/>
                <w:szCs w:val="16"/>
                <w:color w:val="auto"/>
              </w:rPr>
              <w:t>$</w:t>
            </w:r>
          </w:p>
        </w:tc>
        <w:tc>
          <w:tcPr>
            <w:tcW w:w="1340" w:type="dxa"/>
            <w:vAlign w:val="bottom"/>
          </w:tcPr>
          <w:p>
            <w:pPr>
              <w:jc w:val="right"/>
              <w:ind w:right="120"/>
              <w:spacing w:after="0" w:line="164" w:lineRule="exact"/>
              <w:rPr>
                <w:sz w:val="20"/>
                <w:szCs w:val="20"/>
                <w:color w:val="auto"/>
              </w:rPr>
            </w:pPr>
            <w:r>
              <w:rPr>
                <w:rFonts w:ascii="Arial" w:cs="Arial" w:eastAsia="Arial" w:hAnsi="Arial"/>
                <w:sz w:val="16"/>
                <w:szCs w:val="16"/>
                <w:color w:val="auto"/>
              </w:rPr>
              <w:t>1,718</w:t>
            </w:r>
          </w:p>
        </w:tc>
        <w:tc>
          <w:tcPr>
            <w:tcW w:w="1120" w:type="dxa"/>
            <w:vAlign w:val="bottom"/>
          </w:tcPr>
          <w:p>
            <w:pPr>
              <w:jc w:val="right"/>
              <w:spacing w:after="0" w:line="164" w:lineRule="exact"/>
              <w:rPr>
                <w:sz w:val="20"/>
                <w:szCs w:val="20"/>
                <w:color w:val="auto"/>
              </w:rPr>
            </w:pPr>
            <w:r>
              <w:rPr>
                <w:rFonts w:ascii="Arial" w:cs="Arial" w:eastAsia="Arial" w:hAnsi="Arial"/>
                <w:sz w:val="16"/>
                <w:szCs w:val="16"/>
                <w:color w:val="auto"/>
              </w:rPr>
              <w:t>277</w:t>
            </w:r>
          </w:p>
        </w:tc>
        <w:tc>
          <w:tcPr>
            <w:tcW w:w="1100" w:type="dxa"/>
            <w:vAlign w:val="bottom"/>
          </w:tcPr>
          <w:p>
            <w:pPr>
              <w:jc w:val="center"/>
              <w:ind w:right="881"/>
              <w:spacing w:after="0" w:line="164" w:lineRule="exact"/>
              <w:rPr>
                <w:sz w:val="20"/>
                <w:szCs w:val="20"/>
                <w:color w:val="auto"/>
              </w:rPr>
            </w:pPr>
            <w:r>
              <w:rPr>
                <w:rFonts w:ascii="Arial" w:cs="Arial" w:eastAsia="Arial" w:hAnsi="Arial"/>
                <w:sz w:val="16"/>
                <w:szCs w:val="16"/>
                <w:color w:val="auto"/>
              </w:rPr>
              <w:t>$</w:t>
            </w:r>
          </w:p>
        </w:tc>
        <w:tc>
          <w:tcPr>
            <w:tcW w:w="540" w:type="dxa"/>
            <w:vAlign w:val="bottom"/>
          </w:tcPr>
          <w:p>
            <w:pPr>
              <w:jc w:val="right"/>
              <w:ind w:right="139"/>
              <w:spacing w:after="0" w:line="164" w:lineRule="exact"/>
              <w:rPr>
                <w:sz w:val="20"/>
                <w:szCs w:val="20"/>
                <w:color w:val="auto"/>
              </w:rPr>
            </w:pPr>
            <w:r>
              <w:rPr>
                <w:rFonts w:ascii="Arial" w:cs="Arial" w:eastAsia="Arial" w:hAnsi="Arial"/>
                <w:sz w:val="16"/>
                <w:szCs w:val="16"/>
                <w:color w:val="auto"/>
              </w:rPr>
              <w:t>143</w:t>
            </w:r>
          </w:p>
        </w:tc>
        <w:tc>
          <w:tcPr>
            <w:tcW w:w="1140" w:type="dxa"/>
            <w:vAlign w:val="bottom"/>
          </w:tcPr>
          <w:p>
            <w:pPr>
              <w:jc w:val="right"/>
              <w:spacing w:after="0" w:line="164" w:lineRule="exact"/>
              <w:rPr>
                <w:sz w:val="20"/>
                <w:szCs w:val="20"/>
                <w:color w:val="auto"/>
              </w:rPr>
            </w:pPr>
            <w:r>
              <w:rPr>
                <w:rFonts w:ascii="Arial" w:cs="Arial" w:eastAsia="Arial" w:hAnsi="Arial"/>
                <w:sz w:val="16"/>
                <w:szCs w:val="16"/>
                <w:color w:val="auto"/>
              </w:rPr>
              <w:t>472</w:t>
            </w:r>
          </w:p>
        </w:tc>
        <w:tc>
          <w:tcPr>
            <w:tcW w:w="340" w:type="dxa"/>
            <w:vAlign w:val="bottom"/>
          </w:tcPr>
          <w:p>
            <w:pPr>
              <w:spacing w:after="0"/>
              <w:rPr>
                <w:sz w:val="14"/>
                <w:szCs w:val="14"/>
                <w:color w:val="auto"/>
              </w:rPr>
            </w:pPr>
          </w:p>
        </w:tc>
        <w:tc>
          <w:tcPr>
            <w:tcW w:w="1120" w:type="dxa"/>
            <w:vAlign w:val="bottom"/>
          </w:tcPr>
          <w:p>
            <w:pPr>
              <w:jc w:val="right"/>
              <w:spacing w:after="0" w:line="164" w:lineRule="exact"/>
              <w:rPr>
                <w:sz w:val="20"/>
                <w:szCs w:val="20"/>
                <w:color w:val="auto"/>
              </w:rPr>
            </w:pPr>
            <w:r>
              <w:rPr>
                <w:rFonts w:ascii="Arial" w:cs="Arial" w:eastAsia="Arial" w:hAnsi="Arial"/>
                <w:sz w:val="16"/>
                <w:szCs w:val="16"/>
                <w:color w:val="auto"/>
              </w:rPr>
              <w:t>1,861</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140" w:type="dxa"/>
            <w:vAlign w:val="bottom"/>
          </w:tcPr>
          <w:p>
            <w:pPr>
              <w:ind w:left="160"/>
              <w:spacing w:after="0" w:line="176" w:lineRule="exact"/>
              <w:rPr>
                <w:sz w:val="20"/>
                <w:szCs w:val="20"/>
                <w:color w:val="auto"/>
              </w:rPr>
            </w:pPr>
            <w:r>
              <w:rPr>
                <w:rFonts w:ascii="Arial" w:cs="Arial" w:eastAsia="Arial" w:hAnsi="Arial"/>
                <w:sz w:val="16"/>
                <w:szCs w:val="16"/>
                <w:color w:val="auto"/>
              </w:rPr>
              <w:t>Other revenues</w:t>
            </w:r>
          </w:p>
        </w:tc>
        <w:tc>
          <w:tcPr>
            <w:tcW w:w="12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20" w:type="dxa"/>
            <w:vAlign w:val="bottom"/>
          </w:tcPr>
          <w:p>
            <w:pPr>
              <w:jc w:val="right"/>
              <w:spacing w:after="0" w:line="176" w:lineRule="exact"/>
              <w:rPr>
                <w:sz w:val="20"/>
                <w:szCs w:val="20"/>
                <w:color w:val="auto"/>
              </w:rPr>
            </w:pPr>
            <w:r>
              <w:rPr>
                <w:rFonts w:ascii="Arial" w:cs="Arial" w:eastAsia="Arial" w:hAnsi="Arial"/>
                <w:sz w:val="16"/>
                <w:szCs w:val="16"/>
                <w:color w:val="auto"/>
              </w:rPr>
              <w:t>45</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3140" w:type="dxa"/>
            <w:vAlign w:val="bottom"/>
          </w:tcPr>
          <w:p>
            <w:pPr>
              <w:ind w:left="160"/>
              <w:spacing w:after="0"/>
              <w:rPr>
                <w:sz w:val="20"/>
                <w:szCs w:val="20"/>
                <w:color w:val="auto"/>
              </w:rPr>
            </w:pPr>
            <w:r>
              <w:rPr>
                <w:rFonts w:ascii="Arial" w:cs="Arial" w:eastAsia="Arial" w:hAnsi="Arial"/>
                <w:sz w:val="16"/>
                <w:szCs w:val="16"/>
                <w:color w:val="auto"/>
              </w:rPr>
              <w:t>Balancing accounts</w:t>
            </w:r>
          </w:p>
        </w:tc>
        <w:tc>
          <w:tcPr>
            <w:tcW w:w="12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3140" w:type="dxa"/>
            <w:vAlign w:val="bottom"/>
            <w:tcBorders>
              <w:bottom w:val="single" w:sz="8" w:color="auto"/>
            </w:tcBorders>
          </w:tcPr>
          <w:p>
            <w:pPr>
              <w:ind w:left="340"/>
              <w:spacing w:after="0" w:line="176" w:lineRule="exact"/>
              <w:rPr>
                <w:sz w:val="20"/>
                <w:szCs w:val="20"/>
                <w:color w:val="auto"/>
              </w:rPr>
            </w:pPr>
            <w:r>
              <w:rPr>
                <w:rFonts w:ascii="Arial" w:cs="Arial" w:eastAsia="Arial" w:hAnsi="Arial"/>
                <w:sz w:val="16"/>
                <w:szCs w:val="16"/>
                <w:color w:val="auto"/>
              </w:rPr>
              <w:t>Total(1)</w:t>
            </w:r>
          </w:p>
        </w:tc>
        <w:tc>
          <w:tcPr>
            <w:tcW w:w="128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jc w:val="right"/>
              <w:ind w:right="159"/>
              <w:spacing w:after="0" w:line="176" w:lineRule="exact"/>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6"/>
                <w:szCs w:val="16"/>
                <w:color w:val="auto"/>
              </w:rPr>
              <w:t>1,932</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3140" w:type="dxa"/>
            <w:vAlign w:val="bottom"/>
          </w:tcPr>
          <w:p>
            <w:pPr>
              <w:spacing w:after="0" w:line="164" w:lineRule="exact"/>
              <w:rPr>
                <w:sz w:val="20"/>
                <w:szCs w:val="20"/>
                <w:color w:val="auto"/>
              </w:rPr>
            </w:pPr>
            <w:r>
              <w:rPr>
                <w:rFonts w:ascii="Arial" w:cs="Arial" w:eastAsia="Arial" w:hAnsi="Arial"/>
                <w:sz w:val="16"/>
                <w:szCs w:val="16"/>
                <w:color w:val="auto"/>
              </w:rPr>
              <w:t>Six months ended June 30, 2010:</w:t>
            </w:r>
          </w:p>
        </w:tc>
        <w:tc>
          <w:tcPr>
            <w:tcW w:w="1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140" w:type="dxa"/>
            <w:vAlign w:val="bottom"/>
          </w:tcPr>
          <w:p>
            <w:pPr>
              <w:ind w:left="160"/>
              <w:spacing w:after="0" w:line="176" w:lineRule="exact"/>
              <w:rPr>
                <w:sz w:val="20"/>
                <w:szCs w:val="20"/>
                <w:color w:val="auto"/>
              </w:rPr>
            </w:pPr>
            <w:r>
              <w:rPr>
                <w:rFonts w:ascii="Arial" w:cs="Arial" w:eastAsia="Arial" w:hAnsi="Arial"/>
                <w:sz w:val="16"/>
                <w:szCs w:val="16"/>
                <w:color w:val="auto"/>
              </w:rPr>
              <w:t>Residential</w:t>
            </w:r>
          </w:p>
        </w:tc>
        <w:tc>
          <w:tcPr>
            <w:tcW w:w="1280" w:type="dxa"/>
            <w:vAlign w:val="bottom"/>
          </w:tcPr>
          <w:p>
            <w:pPr>
              <w:jc w:val="right"/>
              <w:spacing w:after="0" w:line="176" w:lineRule="exact"/>
              <w:rPr>
                <w:sz w:val="20"/>
                <w:szCs w:val="20"/>
                <w:color w:val="auto"/>
              </w:rPr>
            </w:pPr>
            <w:r>
              <w:rPr>
                <w:rFonts w:ascii="Arial" w:cs="Arial" w:eastAsia="Arial" w:hAnsi="Arial"/>
                <w:sz w:val="16"/>
                <w:szCs w:val="16"/>
                <w:color w:val="auto"/>
              </w:rPr>
              <w:t>136</w:t>
            </w:r>
          </w:p>
        </w:tc>
        <w:tc>
          <w:tcPr>
            <w:tcW w:w="280" w:type="dxa"/>
            <w:vAlign w:val="bottom"/>
          </w:tcPr>
          <w:p>
            <w:pPr>
              <w:jc w:val="center"/>
              <w:ind w:right="59"/>
              <w:spacing w:after="0" w:line="176" w:lineRule="exact"/>
              <w:rPr>
                <w:sz w:val="20"/>
                <w:szCs w:val="20"/>
                <w:color w:val="auto"/>
              </w:rPr>
            </w:pPr>
            <w:r>
              <w:rPr>
                <w:rFonts w:ascii="Arial" w:cs="Arial" w:eastAsia="Arial" w:hAnsi="Arial"/>
                <w:sz w:val="16"/>
                <w:szCs w:val="16"/>
                <w:color w:val="auto"/>
              </w:rPr>
              <w:t>$</w:t>
            </w:r>
          </w:p>
        </w:tc>
        <w:tc>
          <w:tcPr>
            <w:tcW w:w="1340" w:type="dxa"/>
            <w:vAlign w:val="bottom"/>
          </w:tcPr>
          <w:p>
            <w:pPr>
              <w:jc w:val="right"/>
              <w:ind w:right="120"/>
              <w:spacing w:after="0" w:line="176" w:lineRule="exact"/>
              <w:rPr>
                <w:sz w:val="20"/>
                <w:szCs w:val="20"/>
                <w:color w:val="auto"/>
              </w:rPr>
            </w:pPr>
            <w:r>
              <w:rPr>
                <w:rFonts w:ascii="Arial" w:cs="Arial" w:eastAsia="Arial" w:hAnsi="Arial"/>
                <w:sz w:val="16"/>
                <w:szCs w:val="16"/>
                <w:color w:val="auto"/>
              </w:rPr>
              <w:t>1,315</w:t>
            </w:r>
          </w:p>
        </w:tc>
        <w:tc>
          <w:tcPr>
            <w:tcW w:w="1120" w:type="dxa"/>
            <w:vAlign w:val="bottom"/>
          </w:tcPr>
          <w:p>
            <w:pPr>
              <w:jc w:val="right"/>
              <w:spacing w:after="0" w:line="176" w:lineRule="exact"/>
              <w:rPr>
                <w:sz w:val="20"/>
                <w:szCs w:val="20"/>
                <w:color w:val="auto"/>
              </w:rPr>
            </w:pPr>
            <w:r>
              <w:rPr>
                <w:rFonts w:ascii="Arial" w:cs="Arial" w:eastAsia="Arial" w:hAnsi="Arial"/>
                <w:sz w:val="16"/>
                <w:szCs w:val="16"/>
                <w:color w:val="auto"/>
              </w:rPr>
              <w:t>1</w:t>
            </w:r>
          </w:p>
        </w:tc>
        <w:tc>
          <w:tcPr>
            <w:tcW w:w="1100" w:type="dxa"/>
            <w:vAlign w:val="bottom"/>
          </w:tcPr>
          <w:p>
            <w:pPr>
              <w:jc w:val="center"/>
              <w:ind w:right="881"/>
              <w:spacing w:after="0" w:line="176" w:lineRule="exact"/>
              <w:rPr>
                <w:sz w:val="20"/>
                <w:szCs w:val="20"/>
                <w:color w:val="auto"/>
              </w:rPr>
            </w:pPr>
            <w:r>
              <w:rPr>
                <w:rFonts w:ascii="Arial" w:cs="Arial" w:eastAsia="Arial" w:hAnsi="Arial"/>
                <w:sz w:val="16"/>
                <w:szCs w:val="16"/>
                <w:color w:val="auto"/>
              </w:rPr>
              <w:t>$</w:t>
            </w:r>
          </w:p>
        </w:tc>
        <w:tc>
          <w:tcPr>
            <w:tcW w:w="540" w:type="dxa"/>
            <w:vAlign w:val="bottom"/>
          </w:tcPr>
          <w:p>
            <w:pPr>
              <w:jc w:val="right"/>
              <w:ind w:right="139"/>
              <w:spacing w:after="0" w:line="176" w:lineRule="exact"/>
              <w:rPr>
                <w:sz w:val="20"/>
                <w:szCs w:val="20"/>
                <w:color w:val="auto"/>
              </w:rPr>
            </w:pPr>
            <w:r>
              <w:rPr>
                <w:rFonts w:ascii="Arial" w:cs="Arial" w:eastAsia="Arial" w:hAnsi="Arial"/>
                <w:sz w:val="16"/>
                <w:szCs w:val="16"/>
                <w:color w:val="auto"/>
              </w:rPr>
              <w:t>2</w:t>
            </w:r>
          </w:p>
        </w:tc>
        <w:tc>
          <w:tcPr>
            <w:tcW w:w="1140" w:type="dxa"/>
            <w:vAlign w:val="bottom"/>
          </w:tcPr>
          <w:p>
            <w:pPr>
              <w:jc w:val="right"/>
              <w:spacing w:after="0" w:line="176" w:lineRule="exact"/>
              <w:rPr>
                <w:sz w:val="20"/>
                <w:szCs w:val="20"/>
                <w:color w:val="auto"/>
              </w:rPr>
            </w:pPr>
            <w:r>
              <w:rPr>
                <w:rFonts w:ascii="Arial" w:cs="Arial" w:eastAsia="Arial" w:hAnsi="Arial"/>
                <w:sz w:val="16"/>
                <w:szCs w:val="16"/>
                <w:color w:val="auto"/>
              </w:rPr>
              <w:t>137</w:t>
            </w:r>
          </w:p>
        </w:tc>
        <w:tc>
          <w:tcPr>
            <w:tcW w:w="340" w:type="dxa"/>
            <w:vAlign w:val="bottom"/>
          </w:tcPr>
          <w:p>
            <w:pPr>
              <w:jc w:val="right"/>
              <w:ind w:right="159"/>
              <w:spacing w:after="0" w:line="176" w:lineRule="exact"/>
              <w:rPr>
                <w:sz w:val="20"/>
                <w:szCs w:val="20"/>
                <w:color w:val="auto"/>
              </w:rPr>
            </w:pPr>
            <w:r>
              <w:rPr>
                <w:rFonts w:ascii="Arial" w:cs="Arial" w:eastAsia="Arial" w:hAnsi="Arial"/>
                <w:sz w:val="16"/>
                <w:szCs w:val="16"/>
                <w:color w:val="auto"/>
                <w:w w:val="89"/>
              </w:rPr>
              <w:t>$</w:t>
            </w:r>
          </w:p>
        </w:tc>
        <w:tc>
          <w:tcPr>
            <w:tcW w:w="1120" w:type="dxa"/>
            <w:vAlign w:val="bottom"/>
          </w:tcPr>
          <w:p>
            <w:pPr>
              <w:jc w:val="right"/>
              <w:spacing w:after="0" w:line="176" w:lineRule="exact"/>
              <w:rPr>
                <w:sz w:val="20"/>
                <w:szCs w:val="20"/>
                <w:color w:val="auto"/>
              </w:rPr>
            </w:pPr>
            <w:r>
              <w:rPr>
                <w:rFonts w:ascii="Arial" w:cs="Arial" w:eastAsia="Arial" w:hAnsi="Arial"/>
                <w:sz w:val="16"/>
                <w:szCs w:val="16"/>
                <w:color w:val="auto"/>
              </w:rPr>
              <w:t>1,317</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140" w:type="dxa"/>
            <w:vAlign w:val="bottom"/>
          </w:tcPr>
          <w:p>
            <w:pPr>
              <w:ind w:left="160"/>
              <w:spacing w:after="0" w:line="176" w:lineRule="exact"/>
              <w:rPr>
                <w:sz w:val="20"/>
                <w:szCs w:val="20"/>
                <w:color w:val="auto"/>
              </w:rPr>
            </w:pPr>
            <w:r>
              <w:rPr>
                <w:rFonts w:ascii="Arial" w:cs="Arial" w:eastAsia="Arial" w:hAnsi="Arial"/>
                <w:sz w:val="16"/>
                <w:szCs w:val="16"/>
                <w:color w:val="auto"/>
              </w:rPr>
              <w:t>Commercial and industrial</w:t>
            </w:r>
          </w:p>
        </w:tc>
        <w:tc>
          <w:tcPr>
            <w:tcW w:w="1280" w:type="dxa"/>
            <w:vAlign w:val="bottom"/>
          </w:tcPr>
          <w:p>
            <w:pPr>
              <w:jc w:val="right"/>
              <w:spacing w:after="0" w:line="176" w:lineRule="exact"/>
              <w:rPr>
                <w:sz w:val="20"/>
                <w:szCs w:val="20"/>
                <w:color w:val="auto"/>
              </w:rPr>
            </w:pPr>
            <w:r>
              <w:rPr>
                <w:rFonts w:ascii="Arial" w:cs="Arial" w:eastAsia="Arial" w:hAnsi="Arial"/>
                <w:sz w:val="16"/>
                <w:szCs w:val="16"/>
                <w:color w:val="auto"/>
              </w:rPr>
              <w:t>54</w:t>
            </w:r>
          </w:p>
        </w:tc>
        <w:tc>
          <w:tcPr>
            <w:tcW w:w="280" w:type="dxa"/>
            <w:vAlign w:val="bottom"/>
          </w:tcPr>
          <w:p>
            <w:pPr>
              <w:spacing w:after="0"/>
              <w:rPr>
                <w:sz w:val="15"/>
                <w:szCs w:val="15"/>
                <w:color w:val="auto"/>
              </w:rPr>
            </w:pPr>
          </w:p>
        </w:tc>
        <w:tc>
          <w:tcPr>
            <w:tcW w:w="1340" w:type="dxa"/>
            <w:vAlign w:val="bottom"/>
          </w:tcPr>
          <w:p>
            <w:pPr>
              <w:jc w:val="right"/>
              <w:ind w:right="120"/>
              <w:spacing w:after="0" w:line="176" w:lineRule="exact"/>
              <w:rPr>
                <w:sz w:val="20"/>
                <w:szCs w:val="20"/>
                <w:color w:val="auto"/>
              </w:rPr>
            </w:pPr>
            <w:r>
              <w:rPr>
                <w:rFonts w:ascii="Arial" w:cs="Arial" w:eastAsia="Arial" w:hAnsi="Arial"/>
                <w:sz w:val="16"/>
                <w:szCs w:val="16"/>
                <w:color w:val="auto"/>
              </w:rPr>
              <w:t>424</w:t>
            </w:r>
          </w:p>
        </w:tc>
        <w:tc>
          <w:tcPr>
            <w:tcW w:w="1120" w:type="dxa"/>
            <w:vAlign w:val="bottom"/>
          </w:tcPr>
          <w:p>
            <w:pPr>
              <w:jc w:val="right"/>
              <w:spacing w:after="0" w:line="176" w:lineRule="exact"/>
              <w:rPr>
                <w:sz w:val="20"/>
                <w:szCs w:val="20"/>
                <w:color w:val="auto"/>
              </w:rPr>
            </w:pPr>
            <w:r>
              <w:rPr>
                <w:rFonts w:ascii="Arial" w:cs="Arial" w:eastAsia="Arial" w:hAnsi="Arial"/>
                <w:sz w:val="16"/>
                <w:szCs w:val="16"/>
                <w:color w:val="auto"/>
              </w:rPr>
              <w:t>130</w:t>
            </w:r>
          </w:p>
        </w:tc>
        <w:tc>
          <w:tcPr>
            <w:tcW w:w="1100" w:type="dxa"/>
            <w:vAlign w:val="bottom"/>
          </w:tcPr>
          <w:p>
            <w:pPr>
              <w:spacing w:after="0"/>
              <w:rPr>
                <w:sz w:val="15"/>
                <w:szCs w:val="15"/>
                <w:color w:val="auto"/>
              </w:rPr>
            </w:pPr>
          </w:p>
        </w:tc>
        <w:tc>
          <w:tcPr>
            <w:tcW w:w="540" w:type="dxa"/>
            <w:vAlign w:val="bottom"/>
          </w:tcPr>
          <w:p>
            <w:pPr>
              <w:jc w:val="right"/>
              <w:ind w:right="139"/>
              <w:spacing w:after="0" w:line="176" w:lineRule="exact"/>
              <w:rPr>
                <w:sz w:val="20"/>
                <w:szCs w:val="20"/>
                <w:color w:val="auto"/>
              </w:rPr>
            </w:pPr>
            <w:r>
              <w:rPr>
                <w:rFonts w:ascii="Arial" w:cs="Arial" w:eastAsia="Arial" w:hAnsi="Arial"/>
                <w:sz w:val="16"/>
                <w:szCs w:val="16"/>
                <w:color w:val="auto"/>
              </w:rPr>
              <w:t>113</w:t>
            </w:r>
          </w:p>
        </w:tc>
        <w:tc>
          <w:tcPr>
            <w:tcW w:w="1140" w:type="dxa"/>
            <w:vAlign w:val="bottom"/>
          </w:tcPr>
          <w:p>
            <w:pPr>
              <w:jc w:val="right"/>
              <w:spacing w:after="0" w:line="176" w:lineRule="exact"/>
              <w:rPr>
                <w:sz w:val="20"/>
                <w:szCs w:val="20"/>
                <w:color w:val="auto"/>
              </w:rPr>
            </w:pPr>
            <w:r>
              <w:rPr>
                <w:rFonts w:ascii="Arial" w:cs="Arial" w:eastAsia="Arial" w:hAnsi="Arial"/>
                <w:sz w:val="16"/>
                <w:szCs w:val="16"/>
                <w:color w:val="auto"/>
              </w:rPr>
              <w:t>184</w:t>
            </w:r>
          </w:p>
        </w:tc>
        <w:tc>
          <w:tcPr>
            <w:tcW w:w="340" w:type="dxa"/>
            <w:vAlign w:val="bottom"/>
          </w:tcPr>
          <w:p>
            <w:pPr>
              <w:spacing w:after="0"/>
              <w:rPr>
                <w:sz w:val="15"/>
                <w:szCs w:val="15"/>
                <w:color w:val="auto"/>
              </w:rPr>
            </w:pPr>
          </w:p>
        </w:tc>
        <w:tc>
          <w:tcPr>
            <w:tcW w:w="1120" w:type="dxa"/>
            <w:vAlign w:val="bottom"/>
          </w:tcPr>
          <w:p>
            <w:pPr>
              <w:jc w:val="right"/>
              <w:spacing w:after="0" w:line="176" w:lineRule="exact"/>
              <w:rPr>
                <w:sz w:val="20"/>
                <w:szCs w:val="20"/>
                <w:color w:val="auto"/>
              </w:rPr>
            </w:pPr>
            <w:r>
              <w:rPr>
                <w:rFonts w:ascii="Arial" w:cs="Arial" w:eastAsia="Arial" w:hAnsi="Arial"/>
                <w:sz w:val="16"/>
                <w:szCs w:val="16"/>
                <w:color w:val="auto"/>
              </w:rPr>
              <w:t>537</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140" w:type="dxa"/>
            <w:vAlign w:val="bottom"/>
          </w:tcPr>
          <w:p>
            <w:pPr>
              <w:ind w:left="160"/>
              <w:spacing w:after="0" w:line="176" w:lineRule="exact"/>
              <w:rPr>
                <w:sz w:val="20"/>
                <w:szCs w:val="20"/>
                <w:color w:val="auto"/>
              </w:rPr>
            </w:pPr>
            <w:r>
              <w:rPr>
                <w:rFonts w:ascii="Arial" w:cs="Arial" w:eastAsia="Arial" w:hAnsi="Arial"/>
                <w:sz w:val="16"/>
                <w:szCs w:val="16"/>
                <w:color w:val="auto"/>
              </w:rPr>
              <w:t>Electric generation plants</w:t>
            </w:r>
          </w:p>
        </w:tc>
        <w:tc>
          <w:tcPr>
            <w:tcW w:w="1280" w:type="dxa"/>
            <w:vAlign w:val="bottom"/>
          </w:tcPr>
          <w:p>
            <w:pPr>
              <w:jc w:val="right"/>
              <w:spacing w:after="0" w:line="176" w:lineRule="exact"/>
              <w:rPr>
                <w:sz w:val="20"/>
                <w:szCs w:val="20"/>
                <w:color w:val="auto"/>
              </w:rPr>
            </w:pPr>
            <w:r>
              <w:rPr>
                <w:rFonts w:ascii="Arial" w:cs="Arial" w:eastAsia="Arial" w:hAnsi="Arial"/>
                <w:sz w:val="16"/>
                <w:szCs w:val="16"/>
                <w:color w:val="auto"/>
              </w:rPr>
              <w:t>―</w:t>
            </w:r>
          </w:p>
        </w:tc>
        <w:tc>
          <w:tcPr>
            <w:tcW w:w="280" w:type="dxa"/>
            <w:vAlign w:val="bottom"/>
          </w:tcPr>
          <w:p>
            <w:pPr>
              <w:spacing w:after="0"/>
              <w:rPr>
                <w:sz w:val="15"/>
                <w:szCs w:val="15"/>
                <w:color w:val="auto"/>
              </w:rPr>
            </w:pPr>
          </w:p>
        </w:tc>
        <w:tc>
          <w:tcPr>
            <w:tcW w:w="1340" w:type="dxa"/>
            <w:vAlign w:val="bottom"/>
          </w:tcPr>
          <w:p>
            <w:pPr>
              <w:jc w:val="right"/>
              <w:ind w:right="120"/>
              <w:spacing w:after="0" w:line="176" w:lineRule="exact"/>
              <w:rPr>
                <w:sz w:val="20"/>
                <w:szCs w:val="20"/>
                <w:color w:val="auto"/>
              </w:rPr>
            </w:pPr>
            <w:r>
              <w:rPr>
                <w:rFonts w:ascii="Arial" w:cs="Arial" w:eastAsia="Arial" w:hAnsi="Arial"/>
                <w:sz w:val="16"/>
                <w:szCs w:val="16"/>
                <w:color w:val="auto"/>
              </w:rPr>
              <w:t>―</w:t>
            </w:r>
          </w:p>
        </w:tc>
        <w:tc>
          <w:tcPr>
            <w:tcW w:w="1120" w:type="dxa"/>
            <w:vAlign w:val="bottom"/>
          </w:tcPr>
          <w:p>
            <w:pPr>
              <w:jc w:val="right"/>
              <w:spacing w:after="0" w:line="176" w:lineRule="exact"/>
              <w:rPr>
                <w:sz w:val="20"/>
                <w:szCs w:val="20"/>
                <w:color w:val="auto"/>
              </w:rPr>
            </w:pPr>
            <w:r>
              <w:rPr>
                <w:rFonts w:ascii="Arial" w:cs="Arial" w:eastAsia="Arial" w:hAnsi="Arial"/>
                <w:sz w:val="16"/>
                <w:szCs w:val="16"/>
                <w:color w:val="auto"/>
              </w:rPr>
              <w:t>69</w:t>
            </w:r>
          </w:p>
        </w:tc>
        <w:tc>
          <w:tcPr>
            <w:tcW w:w="1100" w:type="dxa"/>
            <w:vAlign w:val="bottom"/>
          </w:tcPr>
          <w:p>
            <w:pPr>
              <w:spacing w:after="0"/>
              <w:rPr>
                <w:sz w:val="15"/>
                <w:szCs w:val="15"/>
                <w:color w:val="auto"/>
              </w:rPr>
            </w:pPr>
          </w:p>
        </w:tc>
        <w:tc>
          <w:tcPr>
            <w:tcW w:w="540" w:type="dxa"/>
            <w:vAlign w:val="bottom"/>
          </w:tcPr>
          <w:p>
            <w:pPr>
              <w:jc w:val="right"/>
              <w:ind w:right="139"/>
              <w:spacing w:after="0" w:line="176" w:lineRule="exact"/>
              <w:rPr>
                <w:sz w:val="20"/>
                <w:szCs w:val="20"/>
                <w:color w:val="auto"/>
              </w:rPr>
            </w:pPr>
            <w:r>
              <w:rPr>
                <w:rFonts w:ascii="Arial" w:cs="Arial" w:eastAsia="Arial" w:hAnsi="Arial"/>
                <w:sz w:val="16"/>
                <w:szCs w:val="16"/>
                <w:color w:val="auto"/>
              </w:rPr>
              <w:t>16</w:t>
            </w:r>
          </w:p>
        </w:tc>
        <w:tc>
          <w:tcPr>
            <w:tcW w:w="1140" w:type="dxa"/>
            <w:vAlign w:val="bottom"/>
          </w:tcPr>
          <w:p>
            <w:pPr>
              <w:jc w:val="right"/>
              <w:spacing w:after="0" w:line="176" w:lineRule="exact"/>
              <w:rPr>
                <w:sz w:val="20"/>
                <w:szCs w:val="20"/>
                <w:color w:val="auto"/>
              </w:rPr>
            </w:pPr>
            <w:r>
              <w:rPr>
                <w:rFonts w:ascii="Arial" w:cs="Arial" w:eastAsia="Arial" w:hAnsi="Arial"/>
                <w:sz w:val="16"/>
                <w:szCs w:val="16"/>
                <w:color w:val="auto"/>
              </w:rPr>
              <w:t>69</w:t>
            </w:r>
          </w:p>
        </w:tc>
        <w:tc>
          <w:tcPr>
            <w:tcW w:w="340" w:type="dxa"/>
            <w:vAlign w:val="bottom"/>
          </w:tcPr>
          <w:p>
            <w:pPr>
              <w:spacing w:after="0"/>
              <w:rPr>
                <w:sz w:val="15"/>
                <w:szCs w:val="15"/>
                <w:color w:val="auto"/>
              </w:rPr>
            </w:pPr>
          </w:p>
        </w:tc>
        <w:tc>
          <w:tcPr>
            <w:tcW w:w="1120" w:type="dxa"/>
            <w:vAlign w:val="bottom"/>
          </w:tcPr>
          <w:p>
            <w:pPr>
              <w:jc w:val="right"/>
              <w:spacing w:after="0" w:line="176" w:lineRule="exact"/>
              <w:rPr>
                <w:sz w:val="20"/>
                <w:szCs w:val="20"/>
                <w:color w:val="auto"/>
              </w:rPr>
            </w:pPr>
            <w:r>
              <w:rPr>
                <w:rFonts w:ascii="Arial" w:cs="Arial" w:eastAsia="Arial" w:hAnsi="Arial"/>
                <w:sz w:val="16"/>
                <w:szCs w:val="16"/>
                <w:color w:val="auto"/>
              </w:rPr>
              <w:t>16</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3140" w:type="dxa"/>
            <w:vAlign w:val="bottom"/>
          </w:tcPr>
          <w:p>
            <w:pPr>
              <w:ind w:left="160"/>
              <w:spacing w:after="0"/>
              <w:rPr>
                <w:sz w:val="20"/>
                <w:szCs w:val="20"/>
                <w:color w:val="auto"/>
              </w:rPr>
            </w:pPr>
            <w:r>
              <w:rPr>
                <w:rFonts w:ascii="Arial" w:cs="Arial" w:eastAsia="Arial" w:hAnsi="Arial"/>
                <w:sz w:val="16"/>
                <w:szCs w:val="16"/>
                <w:color w:val="auto"/>
              </w:rPr>
              <w:t>Wholesale</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120"/>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76</w:t>
            </w:r>
          </w:p>
        </w:tc>
        <w:tc>
          <w:tcPr>
            <w:tcW w:w="110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8</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76</w:t>
            </w: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3140" w:type="dxa"/>
            <w:vAlign w:val="bottom"/>
          </w:tcPr>
          <w:p>
            <w:pPr>
              <w:spacing w:after="0"/>
              <w:rPr>
                <w:sz w:val="14"/>
                <w:szCs w:val="14"/>
                <w:color w:val="auto"/>
              </w:rPr>
            </w:pPr>
          </w:p>
        </w:tc>
        <w:tc>
          <w:tcPr>
            <w:tcW w:w="1280" w:type="dxa"/>
            <w:vAlign w:val="bottom"/>
          </w:tcPr>
          <w:p>
            <w:pPr>
              <w:jc w:val="right"/>
              <w:spacing w:after="0" w:line="164" w:lineRule="exact"/>
              <w:rPr>
                <w:sz w:val="20"/>
                <w:szCs w:val="20"/>
                <w:color w:val="auto"/>
              </w:rPr>
            </w:pPr>
            <w:r>
              <w:rPr>
                <w:rFonts w:ascii="Arial" w:cs="Arial" w:eastAsia="Arial" w:hAnsi="Arial"/>
                <w:sz w:val="16"/>
                <w:szCs w:val="16"/>
                <w:color w:val="auto"/>
              </w:rPr>
              <w:t>190</w:t>
            </w:r>
          </w:p>
        </w:tc>
        <w:tc>
          <w:tcPr>
            <w:tcW w:w="280" w:type="dxa"/>
            <w:vAlign w:val="bottom"/>
          </w:tcPr>
          <w:p>
            <w:pPr>
              <w:jc w:val="center"/>
              <w:ind w:right="59"/>
              <w:spacing w:after="0" w:line="164" w:lineRule="exact"/>
              <w:rPr>
                <w:sz w:val="20"/>
                <w:szCs w:val="20"/>
                <w:color w:val="auto"/>
              </w:rPr>
            </w:pPr>
            <w:r>
              <w:rPr>
                <w:rFonts w:ascii="Arial" w:cs="Arial" w:eastAsia="Arial" w:hAnsi="Arial"/>
                <w:sz w:val="16"/>
                <w:szCs w:val="16"/>
                <w:color w:val="auto"/>
              </w:rPr>
              <w:t>$</w:t>
            </w:r>
          </w:p>
        </w:tc>
        <w:tc>
          <w:tcPr>
            <w:tcW w:w="1340" w:type="dxa"/>
            <w:vAlign w:val="bottom"/>
          </w:tcPr>
          <w:p>
            <w:pPr>
              <w:jc w:val="right"/>
              <w:ind w:right="120"/>
              <w:spacing w:after="0" w:line="164" w:lineRule="exact"/>
              <w:rPr>
                <w:sz w:val="20"/>
                <w:szCs w:val="20"/>
                <w:color w:val="auto"/>
              </w:rPr>
            </w:pPr>
            <w:r>
              <w:rPr>
                <w:rFonts w:ascii="Arial" w:cs="Arial" w:eastAsia="Arial" w:hAnsi="Arial"/>
                <w:sz w:val="16"/>
                <w:szCs w:val="16"/>
                <w:color w:val="auto"/>
              </w:rPr>
              <w:t>1,739</w:t>
            </w:r>
          </w:p>
        </w:tc>
        <w:tc>
          <w:tcPr>
            <w:tcW w:w="1120" w:type="dxa"/>
            <w:vAlign w:val="bottom"/>
          </w:tcPr>
          <w:p>
            <w:pPr>
              <w:jc w:val="right"/>
              <w:spacing w:after="0" w:line="164" w:lineRule="exact"/>
              <w:rPr>
                <w:sz w:val="20"/>
                <w:szCs w:val="20"/>
                <w:color w:val="auto"/>
              </w:rPr>
            </w:pPr>
            <w:r>
              <w:rPr>
                <w:rFonts w:ascii="Arial" w:cs="Arial" w:eastAsia="Arial" w:hAnsi="Arial"/>
                <w:sz w:val="16"/>
                <w:szCs w:val="16"/>
                <w:color w:val="auto"/>
              </w:rPr>
              <w:t>276</w:t>
            </w:r>
          </w:p>
        </w:tc>
        <w:tc>
          <w:tcPr>
            <w:tcW w:w="1100" w:type="dxa"/>
            <w:vAlign w:val="bottom"/>
          </w:tcPr>
          <w:p>
            <w:pPr>
              <w:jc w:val="center"/>
              <w:ind w:right="881"/>
              <w:spacing w:after="0" w:line="164" w:lineRule="exact"/>
              <w:rPr>
                <w:sz w:val="20"/>
                <w:szCs w:val="20"/>
                <w:color w:val="auto"/>
              </w:rPr>
            </w:pPr>
            <w:r>
              <w:rPr>
                <w:rFonts w:ascii="Arial" w:cs="Arial" w:eastAsia="Arial" w:hAnsi="Arial"/>
                <w:sz w:val="16"/>
                <w:szCs w:val="16"/>
                <w:color w:val="auto"/>
              </w:rPr>
              <w:t>$</w:t>
            </w:r>
          </w:p>
        </w:tc>
        <w:tc>
          <w:tcPr>
            <w:tcW w:w="540" w:type="dxa"/>
            <w:vAlign w:val="bottom"/>
          </w:tcPr>
          <w:p>
            <w:pPr>
              <w:jc w:val="right"/>
              <w:ind w:right="139"/>
              <w:spacing w:after="0" w:line="164" w:lineRule="exact"/>
              <w:rPr>
                <w:sz w:val="20"/>
                <w:szCs w:val="20"/>
                <w:color w:val="auto"/>
              </w:rPr>
            </w:pPr>
            <w:r>
              <w:rPr>
                <w:rFonts w:ascii="Arial" w:cs="Arial" w:eastAsia="Arial" w:hAnsi="Arial"/>
                <w:sz w:val="16"/>
                <w:szCs w:val="16"/>
                <w:color w:val="auto"/>
              </w:rPr>
              <w:t>139</w:t>
            </w:r>
          </w:p>
        </w:tc>
        <w:tc>
          <w:tcPr>
            <w:tcW w:w="1140" w:type="dxa"/>
            <w:vAlign w:val="bottom"/>
          </w:tcPr>
          <w:p>
            <w:pPr>
              <w:jc w:val="right"/>
              <w:spacing w:after="0" w:line="164" w:lineRule="exact"/>
              <w:rPr>
                <w:sz w:val="20"/>
                <w:szCs w:val="20"/>
                <w:color w:val="auto"/>
              </w:rPr>
            </w:pPr>
            <w:r>
              <w:rPr>
                <w:rFonts w:ascii="Arial" w:cs="Arial" w:eastAsia="Arial" w:hAnsi="Arial"/>
                <w:sz w:val="16"/>
                <w:szCs w:val="16"/>
                <w:color w:val="auto"/>
              </w:rPr>
              <w:t>466</w:t>
            </w:r>
          </w:p>
        </w:tc>
        <w:tc>
          <w:tcPr>
            <w:tcW w:w="340" w:type="dxa"/>
            <w:vAlign w:val="bottom"/>
          </w:tcPr>
          <w:p>
            <w:pPr>
              <w:spacing w:after="0"/>
              <w:rPr>
                <w:sz w:val="14"/>
                <w:szCs w:val="14"/>
                <w:color w:val="auto"/>
              </w:rPr>
            </w:pPr>
          </w:p>
        </w:tc>
        <w:tc>
          <w:tcPr>
            <w:tcW w:w="1120" w:type="dxa"/>
            <w:vAlign w:val="bottom"/>
          </w:tcPr>
          <w:p>
            <w:pPr>
              <w:jc w:val="right"/>
              <w:spacing w:after="0" w:line="164" w:lineRule="exact"/>
              <w:rPr>
                <w:sz w:val="20"/>
                <w:szCs w:val="20"/>
                <w:color w:val="auto"/>
              </w:rPr>
            </w:pPr>
            <w:r>
              <w:rPr>
                <w:rFonts w:ascii="Arial" w:cs="Arial" w:eastAsia="Arial" w:hAnsi="Arial"/>
                <w:sz w:val="16"/>
                <w:szCs w:val="16"/>
                <w:color w:val="auto"/>
              </w:rPr>
              <w:t>1,878</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140" w:type="dxa"/>
            <w:vAlign w:val="bottom"/>
          </w:tcPr>
          <w:p>
            <w:pPr>
              <w:ind w:left="160"/>
              <w:spacing w:after="0" w:line="176" w:lineRule="exact"/>
              <w:rPr>
                <w:sz w:val="20"/>
                <w:szCs w:val="20"/>
                <w:color w:val="auto"/>
              </w:rPr>
            </w:pPr>
            <w:r>
              <w:rPr>
                <w:rFonts w:ascii="Arial" w:cs="Arial" w:eastAsia="Arial" w:hAnsi="Arial"/>
                <w:sz w:val="16"/>
                <w:szCs w:val="16"/>
                <w:color w:val="auto"/>
              </w:rPr>
              <w:t>Other revenues</w:t>
            </w:r>
          </w:p>
        </w:tc>
        <w:tc>
          <w:tcPr>
            <w:tcW w:w="12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20" w:type="dxa"/>
            <w:vAlign w:val="bottom"/>
          </w:tcPr>
          <w:p>
            <w:pPr>
              <w:jc w:val="right"/>
              <w:spacing w:after="0" w:line="176" w:lineRule="exact"/>
              <w:rPr>
                <w:sz w:val="20"/>
                <w:szCs w:val="20"/>
                <w:color w:val="auto"/>
              </w:rPr>
            </w:pPr>
            <w:r>
              <w:rPr>
                <w:rFonts w:ascii="Arial" w:cs="Arial" w:eastAsia="Arial" w:hAnsi="Arial"/>
                <w:sz w:val="16"/>
                <w:szCs w:val="16"/>
                <w:color w:val="auto"/>
              </w:rPr>
              <w:t>46</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3140" w:type="dxa"/>
            <w:vAlign w:val="bottom"/>
          </w:tcPr>
          <w:p>
            <w:pPr>
              <w:ind w:left="160"/>
              <w:spacing w:after="0"/>
              <w:rPr>
                <w:sz w:val="20"/>
                <w:szCs w:val="20"/>
                <w:color w:val="auto"/>
              </w:rPr>
            </w:pPr>
            <w:r>
              <w:rPr>
                <w:rFonts w:ascii="Arial" w:cs="Arial" w:eastAsia="Arial" w:hAnsi="Arial"/>
                <w:sz w:val="16"/>
                <w:szCs w:val="16"/>
                <w:color w:val="auto"/>
              </w:rPr>
              <w:t>Balancing accounts</w:t>
            </w:r>
          </w:p>
        </w:tc>
        <w:tc>
          <w:tcPr>
            <w:tcW w:w="12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92</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3140" w:type="dxa"/>
            <w:vAlign w:val="bottom"/>
          </w:tcPr>
          <w:p>
            <w:pPr>
              <w:ind w:left="340"/>
              <w:spacing w:after="0"/>
              <w:rPr>
                <w:sz w:val="20"/>
                <w:szCs w:val="20"/>
                <w:color w:val="auto"/>
              </w:rPr>
            </w:pPr>
            <w:r>
              <w:rPr>
                <w:rFonts w:ascii="Arial" w:cs="Arial" w:eastAsia="Arial" w:hAnsi="Arial"/>
                <w:sz w:val="16"/>
                <w:szCs w:val="16"/>
                <w:color w:val="auto"/>
              </w:rPr>
              <w:t>Total(1)</w:t>
            </w:r>
          </w:p>
        </w:tc>
        <w:tc>
          <w:tcPr>
            <w:tcW w:w="12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2,016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246620" cy="171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rPr>
          <w:sz w:val="20"/>
          <w:szCs w:val="20"/>
          <w:color w:val="auto"/>
        </w:rPr>
      </w:pPr>
      <w:r>
        <w:rPr>
          <w:rFonts w:ascii="Arial" w:cs="Arial" w:eastAsia="Arial" w:hAnsi="Arial"/>
          <w:sz w:val="14"/>
          <w:szCs w:val="14"/>
          <w:i w:val="1"/>
          <w:iCs w:val="1"/>
          <w:color w:val="auto"/>
        </w:rPr>
        <w:t>(1) Includes sales to affiliates of $25 million in 2011 and $21 million in 2010.</w:t>
      </w:r>
    </w:p>
    <w:p>
      <w:pPr>
        <w:spacing w:after="0" w:line="238"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During the three months ended June 30, 2011, SoCalGas’ natural gas revenues increased by $42 million (5%) to $876 million, and the cost of natural gas increased by $17 million (5%) to $335 million. The increase in revenues was primarily due to:</w:t>
      </w:r>
    </w:p>
    <w:p>
      <w:pPr>
        <w:spacing w:after="0" w:line="170" w:lineRule="exact"/>
        <w:rPr>
          <w:sz w:val="20"/>
          <w:szCs w:val="20"/>
          <w:color w:val="auto"/>
        </w:rPr>
      </w:pPr>
    </w:p>
    <w:p>
      <w:pPr>
        <w:ind w:left="340" w:hanging="188"/>
        <w:spacing w:after="0"/>
        <w:tabs>
          <w:tab w:leader="none" w:pos="340"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the increase in cost of natural gas, which was caused primarily by higher natural gas prices, as we discuss below;</w:t>
      </w:r>
    </w:p>
    <w:p>
      <w:pPr>
        <w:spacing w:after="0" w:line="252" w:lineRule="exact"/>
        <w:rPr>
          <w:rFonts w:ascii="Arial" w:cs="Arial" w:eastAsia="Arial" w:hAnsi="Arial"/>
          <w:sz w:val="18"/>
          <w:szCs w:val="18"/>
          <w:color w:val="auto"/>
        </w:rPr>
      </w:pPr>
    </w:p>
    <w:p>
      <w:pPr>
        <w:ind w:left="340" w:hanging="188"/>
        <w:spacing w:after="0"/>
        <w:tabs>
          <w:tab w:leader="none" w:pos="340" w:val="left"/>
        </w:tabs>
        <w:numPr>
          <w:ilvl w:val="0"/>
          <w:numId w:val="69"/>
        </w:numPr>
        <w:rPr>
          <w:rFonts w:ascii="Arial" w:cs="Arial" w:eastAsia="Arial" w:hAnsi="Arial"/>
          <w:sz w:val="18"/>
          <w:szCs w:val="18"/>
          <w:color w:val="auto"/>
        </w:rPr>
      </w:pPr>
      <w:r>
        <w:rPr>
          <w:rFonts w:ascii="Arial" w:cs="Arial" w:eastAsia="Arial" w:hAnsi="Arial"/>
          <w:sz w:val="18"/>
          <w:szCs w:val="18"/>
          <w:color w:val="auto"/>
        </w:rPr>
        <w:t>$16 million higher recovery of CPUC-authorized costs, which revenues are fully offset in operation and maintenance expenses; and</w:t>
      </w:r>
    </w:p>
    <w:p>
      <w:pPr>
        <w:spacing w:after="0" w:line="252" w:lineRule="exact"/>
        <w:rPr>
          <w:rFonts w:ascii="Arial" w:cs="Arial" w:eastAsia="Arial" w:hAnsi="Arial"/>
          <w:sz w:val="18"/>
          <w:szCs w:val="18"/>
          <w:color w:val="auto"/>
        </w:rPr>
      </w:pPr>
    </w:p>
    <w:p>
      <w:pPr>
        <w:ind w:left="340" w:hanging="188"/>
        <w:spacing w:after="0"/>
        <w:tabs>
          <w:tab w:leader="none" w:pos="340" w:val="left"/>
        </w:tabs>
        <w:numPr>
          <w:ilvl w:val="0"/>
          <w:numId w:val="69"/>
        </w:numPr>
        <w:rPr>
          <w:rFonts w:ascii="Arial" w:cs="Arial" w:eastAsia="Arial" w:hAnsi="Arial"/>
          <w:sz w:val="18"/>
          <w:szCs w:val="18"/>
          <w:color w:val="auto"/>
        </w:rPr>
      </w:pPr>
      <w:r>
        <w:rPr>
          <w:rFonts w:ascii="Arial" w:cs="Arial" w:eastAsia="Arial" w:hAnsi="Arial"/>
          <w:sz w:val="18"/>
          <w:szCs w:val="18"/>
          <w:color w:val="auto"/>
        </w:rPr>
        <w:t>$14 million higher authorized base margin.</w:t>
      </w:r>
    </w:p>
    <w:p>
      <w:pPr>
        <w:spacing w:after="0" w:line="252"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color w:val="auto"/>
        </w:rPr>
        <w:t>During the six months ended June 30, 2011, SoCalGas’ natural gas revenues decreased by $84 million (4%) to $1.9 billion, and the cost of natural gas decreased by $126 million (13%) to $866 million. The decrease in revenues was primarily due to:</w:t>
      </w:r>
    </w:p>
    <w:p>
      <w:pPr>
        <w:spacing w:after="0" w:line="170" w:lineRule="exact"/>
        <w:rPr>
          <w:sz w:val="20"/>
          <w:szCs w:val="20"/>
          <w:color w:val="auto"/>
        </w:rPr>
      </w:pPr>
    </w:p>
    <w:p>
      <w:pPr>
        <w:ind w:left="340" w:hanging="188"/>
        <w:spacing w:after="0"/>
        <w:tabs>
          <w:tab w:leader="none" w:pos="340" w:val="left"/>
        </w:tabs>
        <w:numPr>
          <w:ilvl w:val="0"/>
          <w:numId w:val="70"/>
        </w:numPr>
        <w:rPr>
          <w:rFonts w:ascii="Arial" w:cs="Arial" w:eastAsia="Arial" w:hAnsi="Arial"/>
          <w:sz w:val="18"/>
          <w:szCs w:val="18"/>
          <w:color w:val="auto"/>
        </w:rPr>
      </w:pPr>
      <w:r>
        <w:rPr>
          <w:rFonts w:ascii="Arial" w:cs="Arial" w:eastAsia="Arial" w:hAnsi="Arial"/>
          <w:sz w:val="18"/>
          <w:szCs w:val="18"/>
          <w:color w:val="auto"/>
        </w:rPr>
        <w:t>the decrease in cost of natural gas, which was caused primarily by lower natural gas prices, as we discuss below; and</w:t>
      </w:r>
    </w:p>
    <w:p>
      <w:pPr>
        <w:spacing w:after="0" w:line="248" w:lineRule="exact"/>
        <w:rPr>
          <w:rFonts w:ascii="Arial" w:cs="Arial" w:eastAsia="Arial" w:hAnsi="Arial"/>
          <w:sz w:val="18"/>
          <w:szCs w:val="18"/>
          <w:color w:val="auto"/>
        </w:rPr>
      </w:pPr>
    </w:p>
    <w:p>
      <w:pPr>
        <w:ind w:left="340" w:hanging="188"/>
        <w:spacing w:after="0"/>
        <w:tabs>
          <w:tab w:leader="none" w:pos="340" w:val="left"/>
        </w:tabs>
        <w:numPr>
          <w:ilvl w:val="0"/>
          <w:numId w:val="70"/>
        </w:numPr>
        <w:rPr>
          <w:rFonts w:ascii="Arial" w:cs="Arial" w:eastAsia="Arial" w:hAnsi="Arial"/>
          <w:sz w:val="18"/>
          <w:szCs w:val="18"/>
          <w:color w:val="auto"/>
        </w:rPr>
      </w:pPr>
      <w:r>
        <w:rPr>
          <w:rFonts w:ascii="Arial" w:cs="Arial" w:eastAsia="Arial" w:hAnsi="Arial"/>
          <w:sz w:val="18"/>
          <w:szCs w:val="18"/>
          <w:color w:val="auto"/>
        </w:rPr>
        <w:t xml:space="preserve">$10 million lower regulatory awards; </w:t>
      </w:r>
      <w:r>
        <w:rPr>
          <w:rFonts w:ascii="Arial" w:cs="Arial" w:eastAsia="Arial" w:hAnsi="Arial"/>
          <w:sz w:val="18"/>
          <w:szCs w:val="18"/>
          <w:b w:val="1"/>
          <w:bCs w:val="1"/>
          <w:color w:val="auto"/>
        </w:rPr>
        <w:t>offset by</w:t>
      </w:r>
    </w:p>
    <w:p>
      <w:pPr>
        <w:spacing w:after="0" w:line="256" w:lineRule="exact"/>
        <w:rPr>
          <w:rFonts w:ascii="Arial" w:cs="Arial" w:eastAsia="Arial" w:hAnsi="Arial"/>
          <w:sz w:val="18"/>
          <w:szCs w:val="18"/>
          <w:color w:val="auto"/>
        </w:rPr>
      </w:pPr>
    </w:p>
    <w:p>
      <w:pPr>
        <w:ind w:left="340" w:hanging="188"/>
        <w:spacing w:after="0"/>
        <w:tabs>
          <w:tab w:leader="none" w:pos="340" w:val="left"/>
        </w:tabs>
        <w:numPr>
          <w:ilvl w:val="0"/>
          <w:numId w:val="70"/>
        </w:numPr>
        <w:rPr>
          <w:rFonts w:ascii="Arial" w:cs="Arial" w:eastAsia="Arial" w:hAnsi="Arial"/>
          <w:sz w:val="18"/>
          <w:szCs w:val="18"/>
          <w:color w:val="auto"/>
        </w:rPr>
      </w:pPr>
      <w:r>
        <w:rPr>
          <w:rFonts w:ascii="Arial" w:cs="Arial" w:eastAsia="Arial" w:hAnsi="Arial"/>
          <w:sz w:val="18"/>
          <w:szCs w:val="18"/>
          <w:color w:val="auto"/>
        </w:rPr>
        <w:t>$35 million higher recovery of CPUC-authorized costs, which revenues are fully offset in operation and maintenance expenses; and</w:t>
      </w:r>
    </w:p>
    <w:p>
      <w:pPr>
        <w:spacing w:after="0" w:line="252" w:lineRule="exact"/>
        <w:rPr>
          <w:rFonts w:ascii="Arial" w:cs="Arial" w:eastAsia="Arial" w:hAnsi="Arial"/>
          <w:sz w:val="18"/>
          <w:szCs w:val="18"/>
          <w:color w:val="auto"/>
        </w:rPr>
      </w:pPr>
    </w:p>
    <w:p>
      <w:pPr>
        <w:ind w:left="340" w:hanging="188"/>
        <w:spacing w:after="0"/>
        <w:tabs>
          <w:tab w:leader="none" w:pos="340" w:val="left"/>
        </w:tabs>
        <w:numPr>
          <w:ilvl w:val="0"/>
          <w:numId w:val="70"/>
        </w:numPr>
        <w:rPr>
          <w:rFonts w:ascii="Arial" w:cs="Arial" w:eastAsia="Arial" w:hAnsi="Arial"/>
          <w:sz w:val="18"/>
          <w:szCs w:val="18"/>
          <w:color w:val="auto"/>
        </w:rPr>
      </w:pPr>
      <w:r>
        <w:rPr>
          <w:rFonts w:ascii="Arial" w:cs="Arial" w:eastAsia="Arial" w:hAnsi="Arial"/>
          <w:sz w:val="18"/>
          <w:szCs w:val="18"/>
          <w:color w:val="auto"/>
        </w:rPr>
        <w:t>$27 million higher authorized base margin.</w:t>
      </w:r>
    </w:p>
    <w:p>
      <w:pPr>
        <w:spacing w:after="0" w:line="252"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SoCalGas’ average cost of natural gas for the three months ended June 30, 2011 was $4.60 per Mcf compared to $4.32 per Mcf for the corresponding period in 2010, a 6-percent increase of $0.28 per Mcf, resulting in higher revenues and cost of $21 million.</w:t>
      </w:r>
    </w:p>
    <w:p>
      <w:pPr>
        <w:spacing w:after="0" w:line="170" w:lineRule="exact"/>
        <w:rPr>
          <w:sz w:val="20"/>
          <w:szCs w:val="20"/>
          <w:color w:val="auto"/>
        </w:rPr>
      </w:pPr>
    </w:p>
    <w:p>
      <w:pPr>
        <w:ind w:right="40"/>
        <w:spacing w:after="0" w:line="286" w:lineRule="auto"/>
        <w:rPr>
          <w:sz w:val="20"/>
          <w:szCs w:val="20"/>
          <w:color w:val="auto"/>
        </w:rPr>
      </w:pPr>
      <w:r>
        <w:rPr>
          <w:rFonts w:ascii="Arial" w:cs="Arial" w:eastAsia="Arial" w:hAnsi="Arial"/>
          <w:sz w:val="17"/>
          <w:szCs w:val="17"/>
          <w:color w:val="auto"/>
        </w:rPr>
        <w:t>For the first six months of 2011, SoCalGas’ average cost of natural gas was $4.45 per Mcf compared to $5.23 per Mcf for the corresponding period in 2010, a 15-percent decrease of $0.78 per Mcf, resulting in lower revenues and cost of $151 million. The decrease due to the lower average cost of natural gas delivered was partially offset by higher demand for natural gas, which resulted in higher revenues and cost of $25 million in 2011.</w:t>
      </w:r>
    </w:p>
    <w:p>
      <w:pPr>
        <w:sectPr>
          <w:pgSz w:w="11900" w:h="16838" w:orient="portrait"/>
          <w:cols w:equalWidth="0" w:num="1">
            <w:col w:w="11420"/>
          </w:cols>
          <w:pgMar w:left="240" w:top="128" w:right="239" w:bottom="0" w:gutter="0" w:footer="0" w:header="0"/>
        </w:sectPr>
      </w:pPr>
    </w:p>
    <w:bookmarkStart w:id="59" w:name="page60"/>
    <w:bookmarkEnd w:id="59"/>
    <w:p>
      <w:pPr>
        <w:spacing w:after="0" w:line="77"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Sempra Pipelines &amp; Storage Utilities: Revenues and Cost of Sales</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Sempra Pipelines &amp; Storage’s utilities are Chilquinta Energía, Luz del Sur, Mobile Gas and Ecogas.</w:t>
      </w:r>
    </w:p>
    <w:p>
      <w:pPr>
        <w:spacing w:after="0" w:line="225" w:lineRule="exact"/>
        <w:rPr>
          <w:sz w:val="20"/>
          <w:szCs w:val="20"/>
          <w:color w:val="auto"/>
        </w:rPr>
      </w:pPr>
    </w:p>
    <w:p>
      <w:pPr>
        <w:ind w:right="120"/>
        <w:spacing w:after="0" w:line="271" w:lineRule="auto"/>
        <w:rPr>
          <w:sz w:val="20"/>
          <w:szCs w:val="20"/>
          <w:color w:val="auto"/>
        </w:rPr>
      </w:pPr>
      <w:r>
        <w:rPr>
          <w:rFonts w:ascii="Arial" w:cs="Arial" w:eastAsia="Arial" w:hAnsi="Arial"/>
          <w:sz w:val="17"/>
          <w:szCs w:val="17"/>
          <w:color w:val="auto"/>
        </w:rPr>
        <w:t>Revenues generated by Chilquinta Energía and Luz del Sur are based on tariffs that are set by government agencies in their respective countries based on an efficient model distribution company defined by those agencies. The tariffs include operation and maintenance costs, an internal rate of return on the new replacement value (VNR) of depreciable assets, charges for the use of transmission systems, and a component for the value added by the distributor. Tariffs are designed to provide for a pass-through to customers of the main noncontrollable cost items (mainly power purchases and transmission charges), recovery of reasonable operating and administrative costs, incentives to reduce costs and make needed capital investments and a regulated rate of return on the distributor’s regulated asset base. Because the tariffs are based on a model and are intended to cover the costs of the model, but are not based on the costs of the specific utility and may not result in full cost recovery, they do not meet the requirement necessary for treatment under applicable accounting principles generally accepted in the United States of America (GAAP) for regulatory accounting.</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color w:val="auto"/>
        </w:rPr>
        <w:t>Operations of Mobile Gas and Ecogas qualify for regulatory accounting treatment under applicable GAAP, similar to the Sempra Utilities.</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The table below summarizes natural gas and electric revenue for Sempra Pipelines &amp; Storage’s utilities for the six months ended June 30, 2011 and 2010:</w:t>
      </w: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SEMPRA PIPELINES &amp; STORAGE UTILITIES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-104775</wp:posOffset>
            </wp:positionV>
            <wp:extent cx="7246620" cy="3346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46620" cy="334645"/>
                    </a:xfrm>
                    <a:prstGeom prst="rect">
                      <a:avLst/>
                    </a:prstGeom>
                    <a:noFill/>
                  </pic:spPr>
                </pic:pic>
              </a:graphicData>
            </a:graphic>
          </wp:anchor>
        </w:drawing>
      </w:r>
    </w:p>
    <w:p>
      <w:pPr>
        <w:spacing w:after="0"/>
        <w:rPr>
          <w:sz w:val="20"/>
          <w:szCs w:val="20"/>
          <w:color w:val="auto"/>
        </w:rPr>
      </w:pPr>
      <w:r>
        <w:rPr>
          <w:rFonts w:ascii="Arial" w:cs="Arial" w:eastAsia="Arial" w:hAnsi="Arial"/>
          <w:sz w:val="16"/>
          <w:szCs w:val="16"/>
          <w:b w:val="1"/>
          <w:bCs w:val="1"/>
          <w:color w:val="auto"/>
        </w:rPr>
        <w:t>NATURAL GAS AND ELECTRIC REVENUE</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280" w:type="dxa"/>
            <w:vAlign w:val="bottom"/>
          </w:tcPr>
          <w:p>
            <w:pPr>
              <w:spacing w:after="0"/>
              <w:rPr>
                <w:sz w:val="20"/>
                <w:szCs w:val="20"/>
                <w:color w:val="auto"/>
              </w:rPr>
            </w:pPr>
            <w:r>
              <w:rPr>
                <w:rFonts w:ascii="Arial" w:cs="Arial" w:eastAsia="Arial" w:hAnsi="Arial"/>
                <w:sz w:val="14"/>
                <w:szCs w:val="14"/>
                <w:i w:val="1"/>
                <w:iCs w:val="1"/>
                <w:color w:val="auto"/>
              </w:rPr>
              <w:t>(Dollars in millions)</w:t>
            </w:r>
          </w:p>
        </w:tc>
        <w:tc>
          <w:tcPr>
            <w:tcW w:w="2640" w:type="dxa"/>
            <w:vAlign w:val="bottom"/>
            <w:gridSpan w:val="2"/>
            <w:vMerge w:val="restart"/>
          </w:tcPr>
          <w:p>
            <w:pPr>
              <w:jc w:val="center"/>
              <w:ind w:left="362"/>
              <w:spacing w:after="0"/>
              <w:rPr>
                <w:sz w:val="20"/>
                <w:szCs w:val="20"/>
                <w:color w:val="auto"/>
              </w:rPr>
            </w:pPr>
            <w:r>
              <w:rPr>
                <w:rFonts w:ascii="Arial" w:cs="Arial" w:eastAsia="Arial" w:hAnsi="Arial"/>
                <w:sz w:val="14"/>
                <w:szCs w:val="14"/>
                <w:color w:val="auto"/>
              </w:rPr>
              <w:t>Six months ended</w:t>
            </w:r>
          </w:p>
        </w:tc>
        <w:tc>
          <w:tcPr>
            <w:tcW w:w="3080" w:type="dxa"/>
            <w:vAlign w:val="bottom"/>
            <w:gridSpan w:val="3"/>
            <w:vMerge w:val="restart"/>
          </w:tcPr>
          <w:p>
            <w:pPr>
              <w:jc w:val="right"/>
              <w:ind w:right="461"/>
              <w:spacing w:after="0"/>
              <w:rPr>
                <w:sz w:val="20"/>
                <w:szCs w:val="20"/>
                <w:color w:val="auto"/>
              </w:rPr>
            </w:pPr>
            <w:r>
              <w:rPr>
                <w:rFonts w:ascii="Arial" w:cs="Arial" w:eastAsia="Arial" w:hAnsi="Arial"/>
                <w:sz w:val="14"/>
                <w:szCs w:val="14"/>
                <w:color w:val="auto"/>
              </w:rPr>
              <w:t>Six months ended</w:t>
            </w:r>
          </w:p>
        </w:tc>
        <w:tc>
          <w:tcPr>
            <w:tcW w:w="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8"/>
        </w:trPr>
        <w:tc>
          <w:tcPr>
            <w:tcW w:w="5280" w:type="dxa"/>
            <w:vAlign w:val="bottom"/>
          </w:tcPr>
          <w:p>
            <w:pPr>
              <w:spacing w:after="0"/>
              <w:rPr>
                <w:sz w:val="11"/>
                <w:szCs w:val="11"/>
                <w:color w:val="auto"/>
              </w:rPr>
            </w:pPr>
          </w:p>
        </w:tc>
        <w:tc>
          <w:tcPr>
            <w:tcW w:w="2640" w:type="dxa"/>
            <w:vAlign w:val="bottom"/>
            <w:gridSpan w:val="2"/>
            <w:vMerge w:val="continue"/>
          </w:tcPr>
          <w:p>
            <w:pPr>
              <w:spacing w:after="0"/>
              <w:rPr>
                <w:sz w:val="11"/>
                <w:szCs w:val="11"/>
                <w:color w:val="auto"/>
              </w:rPr>
            </w:pPr>
          </w:p>
        </w:tc>
        <w:tc>
          <w:tcPr>
            <w:tcW w:w="3080" w:type="dxa"/>
            <w:vAlign w:val="bottom"/>
            <w:gridSpan w:val="3"/>
            <w:vMerge w:val="continue"/>
          </w:tcPr>
          <w:p>
            <w:pPr>
              <w:spacing w:after="0"/>
              <w:rPr>
                <w:sz w:val="11"/>
                <w:szCs w:val="11"/>
                <w:color w:val="auto"/>
              </w:rPr>
            </w:pPr>
          </w:p>
        </w:tc>
        <w:tc>
          <w:tcPr>
            <w:tcW w:w="4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4"/>
        </w:trPr>
        <w:tc>
          <w:tcPr>
            <w:tcW w:w="5280" w:type="dxa"/>
            <w:vAlign w:val="bottom"/>
          </w:tcPr>
          <w:p>
            <w:pPr>
              <w:spacing w:after="0"/>
              <w:rPr>
                <w:sz w:val="14"/>
                <w:szCs w:val="14"/>
                <w:color w:val="auto"/>
              </w:rPr>
            </w:pPr>
          </w:p>
        </w:tc>
        <w:tc>
          <w:tcPr>
            <w:tcW w:w="2640" w:type="dxa"/>
            <w:vAlign w:val="bottom"/>
            <w:tcBorders>
              <w:bottom w:val="single" w:sz="8" w:color="auto"/>
            </w:tcBorders>
            <w:gridSpan w:val="2"/>
          </w:tcPr>
          <w:p>
            <w:pPr>
              <w:jc w:val="center"/>
              <w:ind w:left="362"/>
              <w:spacing w:after="0" w:line="157" w:lineRule="exact"/>
              <w:rPr>
                <w:sz w:val="20"/>
                <w:szCs w:val="20"/>
                <w:color w:val="auto"/>
              </w:rPr>
            </w:pPr>
            <w:r>
              <w:rPr>
                <w:rFonts w:ascii="Arial" w:cs="Arial" w:eastAsia="Arial" w:hAnsi="Arial"/>
                <w:sz w:val="14"/>
                <w:szCs w:val="14"/>
                <w:color w:val="auto"/>
              </w:rPr>
              <w:t>June 30, 2011</w:t>
            </w:r>
          </w:p>
        </w:tc>
        <w:tc>
          <w:tcPr>
            <w:tcW w:w="1460" w:type="dxa"/>
            <w:vAlign w:val="bottom"/>
            <w:tcBorders>
              <w:bottom w:val="single" w:sz="8" w:color="auto"/>
            </w:tcBorders>
          </w:tcPr>
          <w:p>
            <w:pPr>
              <w:spacing w:after="0"/>
              <w:rPr>
                <w:sz w:val="14"/>
                <w:szCs w:val="14"/>
                <w:color w:val="auto"/>
              </w:rPr>
            </w:pPr>
          </w:p>
        </w:tc>
        <w:tc>
          <w:tcPr>
            <w:tcW w:w="1620" w:type="dxa"/>
            <w:vAlign w:val="bottom"/>
            <w:tcBorders>
              <w:bottom w:val="single" w:sz="8" w:color="auto"/>
            </w:tcBorders>
            <w:gridSpan w:val="2"/>
          </w:tcPr>
          <w:p>
            <w:pPr>
              <w:jc w:val="right"/>
              <w:ind w:right="581"/>
              <w:spacing w:after="0" w:line="157" w:lineRule="exact"/>
              <w:rPr>
                <w:sz w:val="20"/>
                <w:szCs w:val="20"/>
                <w:color w:val="auto"/>
              </w:rPr>
            </w:pPr>
            <w:r>
              <w:rPr>
                <w:rFonts w:ascii="Arial" w:cs="Arial" w:eastAsia="Arial" w:hAnsi="Arial"/>
                <w:sz w:val="14"/>
                <w:szCs w:val="14"/>
                <w:color w:val="auto"/>
              </w:rPr>
              <w:t>June 30, 2010</w:t>
            </w:r>
          </w:p>
        </w:tc>
        <w:tc>
          <w:tcPr>
            <w:tcW w:w="4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528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Customer class</w:t>
            </w:r>
          </w:p>
        </w:tc>
        <w:tc>
          <w:tcPr>
            <w:tcW w:w="1440" w:type="dxa"/>
            <w:vAlign w:val="bottom"/>
            <w:tcBorders>
              <w:bottom w:val="single" w:sz="8" w:color="auto"/>
            </w:tcBorders>
          </w:tcPr>
          <w:p>
            <w:pPr>
              <w:jc w:val="right"/>
              <w:ind w:right="342"/>
              <w:spacing w:after="0"/>
              <w:rPr>
                <w:sz w:val="20"/>
                <w:szCs w:val="20"/>
                <w:color w:val="auto"/>
              </w:rPr>
            </w:pPr>
            <w:r>
              <w:rPr>
                <w:rFonts w:ascii="Arial" w:cs="Arial" w:eastAsia="Arial" w:hAnsi="Arial"/>
                <w:sz w:val="14"/>
                <w:szCs w:val="14"/>
                <w:color w:val="auto"/>
              </w:rPr>
              <w:t>Volumes</w:t>
            </w:r>
          </w:p>
        </w:tc>
        <w:tc>
          <w:tcPr>
            <w:tcW w:w="1200" w:type="dxa"/>
            <w:vAlign w:val="bottom"/>
            <w:tcBorders>
              <w:bottom w:val="single" w:sz="8" w:color="auto"/>
            </w:tcBorders>
          </w:tcPr>
          <w:p>
            <w:pPr>
              <w:ind w:left="540"/>
              <w:spacing w:after="0"/>
              <w:rPr>
                <w:sz w:val="20"/>
                <w:szCs w:val="20"/>
                <w:color w:val="auto"/>
              </w:rPr>
            </w:pPr>
            <w:r>
              <w:rPr>
                <w:rFonts w:ascii="Arial" w:cs="Arial" w:eastAsia="Arial" w:hAnsi="Arial"/>
                <w:sz w:val="14"/>
                <w:szCs w:val="14"/>
                <w:color w:val="auto"/>
              </w:rPr>
              <w:t>Revenue</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Volumes</w:t>
            </w:r>
          </w:p>
        </w:tc>
        <w:tc>
          <w:tcPr>
            <w:tcW w:w="40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ind w:right="21"/>
              <w:spacing w:after="0"/>
              <w:rPr>
                <w:sz w:val="20"/>
                <w:szCs w:val="20"/>
                <w:color w:val="auto"/>
              </w:rPr>
            </w:pPr>
            <w:r>
              <w:rPr>
                <w:rFonts w:ascii="Arial" w:cs="Arial" w:eastAsia="Arial" w:hAnsi="Arial"/>
                <w:sz w:val="14"/>
                <w:szCs w:val="14"/>
                <w:color w:val="auto"/>
              </w:rPr>
              <w:t>Revenue</w:t>
            </w:r>
          </w:p>
        </w:tc>
        <w:tc>
          <w:tcPr>
            <w:tcW w:w="4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5280" w:type="dxa"/>
            <w:vAlign w:val="bottom"/>
          </w:tcPr>
          <w:p>
            <w:pPr>
              <w:spacing w:after="0" w:line="164" w:lineRule="exact"/>
              <w:rPr>
                <w:sz w:val="20"/>
                <w:szCs w:val="20"/>
                <w:color w:val="auto"/>
              </w:rPr>
            </w:pPr>
            <w:r>
              <w:rPr>
                <w:rFonts w:ascii="Arial" w:cs="Arial" w:eastAsia="Arial" w:hAnsi="Arial"/>
                <w:sz w:val="16"/>
                <w:szCs w:val="16"/>
                <w:b w:val="1"/>
                <w:bCs w:val="1"/>
                <w:color w:val="auto"/>
              </w:rPr>
              <w:t>Natural Gas Sales (billion cubic feet):</w:t>
            </w:r>
          </w:p>
        </w:tc>
        <w:tc>
          <w:tcPr>
            <w:tcW w:w="14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5280" w:type="dxa"/>
            <w:vAlign w:val="bottom"/>
          </w:tcPr>
          <w:p>
            <w:pPr>
              <w:spacing w:after="0" w:line="176" w:lineRule="exact"/>
              <w:rPr>
                <w:sz w:val="20"/>
                <w:szCs w:val="20"/>
                <w:color w:val="auto"/>
              </w:rPr>
            </w:pPr>
            <w:r>
              <w:rPr>
                <w:rFonts w:ascii="Arial" w:cs="Arial" w:eastAsia="Arial" w:hAnsi="Arial"/>
                <w:sz w:val="16"/>
                <w:szCs w:val="16"/>
                <w:color w:val="auto"/>
              </w:rPr>
              <w:t>Mobile Gas</w:t>
            </w:r>
          </w:p>
        </w:tc>
        <w:tc>
          <w:tcPr>
            <w:tcW w:w="1440" w:type="dxa"/>
            <w:vAlign w:val="bottom"/>
          </w:tcPr>
          <w:p>
            <w:pPr>
              <w:jc w:val="right"/>
              <w:spacing w:after="0" w:line="176" w:lineRule="exact"/>
              <w:rPr>
                <w:sz w:val="20"/>
                <w:szCs w:val="20"/>
                <w:color w:val="auto"/>
              </w:rPr>
            </w:pPr>
            <w:r>
              <w:rPr>
                <w:rFonts w:ascii="Arial" w:cs="Arial" w:eastAsia="Arial" w:hAnsi="Arial"/>
                <w:sz w:val="16"/>
                <w:szCs w:val="16"/>
                <w:color w:val="auto"/>
              </w:rPr>
              <w:t>19</w:t>
            </w:r>
          </w:p>
        </w:tc>
        <w:tc>
          <w:tcPr>
            <w:tcW w:w="1200" w:type="dxa"/>
            <w:vAlign w:val="bottom"/>
          </w:tcPr>
          <w:p>
            <w:pPr>
              <w:jc w:val="center"/>
              <w:ind w:right="981"/>
              <w:spacing w:after="0" w:line="176" w:lineRule="exact"/>
              <w:rPr>
                <w:sz w:val="20"/>
                <w:szCs w:val="20"/>
                <w:color w:val="auto"/>
              </w:rPr>
            </w:pPr>
            <w:r>
              <w:rPr>
                <w:rFonts w:ascii="Arial" w:cs="Arial" w:eastAsia="Arial" w:hAnsi="Arial"/>
                <w:sz w:val="16"/>
                <w:szCs w:val="16"/>
                <w:color w:val="auto"/>
              </w:rPr>
              <w:t>$</w:t>
            </w:r>
          </w:p>
        </w:tc>
        <w:tc>
          <w:tcPr>
            <w:tcW w:w="1460" w:type="dxa"/>
            <w:vAlign w:val="bottom"/>
          </w:tcPr>
          <w:p>
            <w:pPr>
              <w:jc w:val="right"/>
              <w:ind w:right="1001"/>
              <w:spacing w:after="0" w:line="176" w:lineRule="exact"/>
              <w:rPr>
                <w:sz w:val="20"/>
                <w:szCs w:val="20"/>
                <w:color w:val="auto"/>
              </w:rPr>
            </w:pPr>
            <w:r>
              <w:rPr>
                <w:rFonts w:ascii="Arial" w:cs="Arial" w:eastAsia="Arial" w:hAnsi="Arial"/>
                <w:sz w:val="16"/>
                <w:szCs w:val="16"/>
                <w:color w:val="auto"/>
              </w:rPr>
              <w:t>53</w:t>
            </w:r>
          </w:p>
        </w:tc>
        <w:tc>
          <w:tcPr>
            <w:tcW w:w="400" w:type="dxa"/>
            <w:vAlign w:val="bottom"/>
          </w:tcPr>
          <w:p>
            <w:pPr>
              <w:jc w:val="right"/>
              <w:spacing w:after="0" w:line="176" w:lineRule="exact"/>
              <w:rPr>
                <w:sz w:val="20"/>
                <w:szCs w:val="20"/>
                <w:color w:val="auto"/>
              </w:rPr>
            </w:pPr>
            <w:r>
              <w:rPr>
                <w:rFonts w:ascii="Arial" w:cs="Arial" w:eastAsia="Arial" w:hAnsi="Arial"/>
                <w:sz w:val="16"/>
                <w:szCs w:val="16"/>
                <w:color w:val="auto"/>
              </w:rPr>
              <w:t>18</w:t>
            </w:r>
          </w:p>
        </w:tc>
        <w:tc>
          <w:tcPr>
            <w:tcW w:w="1220" w:type="dxa"/>
            <w:vAlign w:val="bottom"/>
          </w:tcPr>
          <w:p>
            <w:pPr>
              <w:jc w:val="right"/>
              <w:ind w:right="1041"/>
              <w:spacing w:after="0" w:line="176" w:lineRule="exact"/>
              <w:rPr>
                <w:sz w:val="20"/>
                <w:szCs w:val="20"/>
                <w:color w:val="auto"/>
              </w:rPr>
            </w:pPr>
            <w:r>
              <w:rPr>
                <w:rFonts w:ascii="Arial" w:cs="Arial" w:eastAsia="Arial" w:hAnsi="Arial"/>
                <w:sz w:val="16"/>
                <w:szCs w:val="16"/>
                <w:color w:val="auto"/>
                <w:w w:val="89"/>
              </w:rPr>
              <w:t>$</w:t>
            </w:r>
          </w:p>
        </w:tc>
        <w:tc>
          <w:tcPr>
            <w:tcW w:w="420" w:type="dxa"/>
            <w:vAlign w:val="bottom"/>
          </w:tcPr>
          <w:p>
            <w:pPr>
              <w:jc w:val="right"/>
              <w:spacing w:after="0" w:line="176" w:lineRule="exact"/>
              <w:rPr>
                <w:sz w:val="20"/>
                <w:szCs w:val="20"/>
                <w:color w:val="auto"/>
              </w:rPr>
            </w:pPr>
            <w:r>
              <w:rPr>
                <w:rFonts w:ascii="Arial" w:cs="Arial" w:eastAsia="Arial" w:hAnsi="Arial"/>
                <w:sz w:val="16"/>
                <w:szCs w:val="16"/>
                <w:color w:val="auto"/>
              </w:rPr>
              <w:t>62</w:t>
            </w:r>
          </w:p>
        </w:tc>
        <w:tc>
          <w:tcPr>
            <w:tcW w:w="0" w:type="dxa"/>
            <w:vAlign w:val="bottom"/>
          </w:tcPr>
          <w:p>
            <w:pPr>
              <w:spacing w:after="0"/>
              <w:rPr>
                <w:sz w:val="1"/>
                <w:szCs w:val="1"/>
                <w:color w:val="auto"/>
              </w:rPr>
            </w:pPr>
          </w:p>
        </w:tc>
      </w:tr>
      <w:tr>
        <w:trPr>
          <w:trHeight w:val="194"/>
        </w:trPr>
        <w:tc>
          <w:tcPr>
            <w:tcW w:w="5280" w:type="dxa"/>
            <w:vAlign w:val="bottom"/>
          </w:tcPr>
          <w:p>
            <w:pPr>
              <w:spacing w:after="0"/>
              <w:rPr>
                <w:sz w:val="20"/>
                <w:szCs w:val="20"/>
                <w:color w:val="auto"/>
              </w:rPr>
            </w:pPr>
            <w:r>
              <w:rPr>
                <w:rFonts w:ascii="Arial" w:cs="Arial" w:eastAsia="Arial" w:hAnsi="Arial"/>
                <w:sz w:val="16"/>
                <w:szCs w:val="16"/>
                <w:color w:val="auto"/>
              </w:rPr>
              <w:t>Ecogas</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w:t>
            </w:r>
          </w:p>
        </w:tc>
        <w:tc>
          <w:tcPr>
            <w:tcW w:w="120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right"/>
              <w:ind w:right="1001"/>
              <w:spacing w:after="0"/>
              <w:rPr>
                <w:sz w:val="20"/>
                <w:szCs w:val="20"/>
                <w:color w:val="auto"/>
              </w:rPr>
            </w:pPr>
            <w:r>
              <w:rPr>
                <w:rFonts w:ascii="Arial" w:cs="Arial" w:eastAsia="Arial" w:hAnsi="Arial"/>
                <w:sz w:val="16"/>
                <w:szCs w:val="16"/>
                <w:color w:val="auto"/>
              </w:rPr>
              <w:t>50</w:t>
            </w: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w:t>
            </w:r>
          </w:p>
        </w:tc>
        <w:tc>
          <w:tcPr>
            <w:tcW w:w="122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55</w:t>
            </w:r>
          </w:p>
        </w:tc>
        <w:tc>
          <w:tcPr>
            <w:tcW w:w="0" w:type="dxa"/>
            <w:vAlign w:val="bottom"/>
          </w:tcPr>
          <w:p>
            <w:pPr>
              <w:spacing w:after="0"/>
              <w:rPr>
                <w:sz w:val="1"/>
                <w:szCs w:val="1"/>
                <w:color w:val="auto"/>
              </w:rPr>
            </w:pPr>
          </w:p>
        </w:tc>
      </w:tr>
      <w:tr>
        <w:trPr>
          <w:trHeight w:val="183"/>
        </w:trPr>
        <w:tc>
          <w:tcPr>
            <w:tcW w:w="5280" w:type="dxa"/>
            <w:vAlign w:val="bottom"/>
          </w:tcPr>
          <w:p>
            <w:pPr>
              <w:ind w:left="180"/>
              <w:spacing w:after="0" w:line="176" w:lineRule="exact"/>
              <w:rPr>
                <w:sz w:val="20"/>
                <w:szCs w:val="20"/>
                <w:color w:val="auto"/>
              </w:rPr>
            </w:pPr>
            <w:r>
              <w:rPr>
                <w:rFonts w:ascii="Arial" w:cs="Arial" w:eastAsia="Arial" w:hAnsi="Arial"/>
                <w:sz w:val="16"/>
                <w:szCs w:val="16"/>
                <w:color w:val="auto"/>
              </w:rPr>
              <w:t>Total</w:t>
            </w:r>
          </w:p>
        </w:tc>
        <w:tc>
          <w:tcPr>
            <w:tcW w:w="144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6"/>
                <w:szCs w:val="16"/>
                <w:color w:val="auto"/>
              </w:rPr>
              <w:t>30</w:t>
            </w:r>
          </w:p>
        </w:tc>
        <w:tc>
          <w:tcPr>
            <w:tcW w:w="1200" w:type="dxa"/>
            <w:vAlign w:val="bottom"/>
            <w:tcBorders>
              <w:bottom w:val="single" w:sz="8" w:color="auto"/>
            </w:tcBorders>
          </w:tcPr>
          <w:p>
            <w:pPr>
              <w:jc w:val="center"/>
              <w:ind w:right="981"/>
              <w:spacing w:after="0" w:line="176" w:lineRule="exact"/>
              <w:rPr>
                <w:sz w:val="20"/>
                <w:szCs w:val="20"/>
                <w:color w:val="auto"/>
              </w:rPr>
            </w:pPr>
            <w:r>
              <w:rPr>
                <w:rFonts w:ascii="Arial" w:cs="Arial" w:eastAsia="Arial" w:hAnsi="Arial"/>
                <w:sz w:val="16"/>
                <w:szCs w:val="16"/>
                <w:color w:val="auto"/>
              </w:rPr>
              <w:t>$</w:t>
            </w:r>
          </w:p>
        </w:tc>
        <w:tc>
          <w:tcPr>
            <w:tcW w:w="1460" w:type="dxa"/>
            <w:vAlign w:val="bottom"/>
            <w:tcBorders>
              <w:bottom w:val="single" w:sz="8" w:color="auto"/>
            </w:tcBorders>
          </w:tcPr>
          <w:p>
            <w:pPr>
              <w:jc w:val="right"/>
              <w:ind w:right="1001"/>
              <w:spacing w:after="0" w:line="176" w:lineRule="exact"/>
              <w:rPr>
                <w:sz w:val="20"/>
                <w:szCs w:val="20"/>
                <w:color w:val="auto"/>
              </w:rPr>
            </w:pPr>
            <w:r>
              <w:rPr>
                <w:rFonts w:ascii="Arial" w:cs="Arial" w:eastAsia="Arial" w:hAnsi="Arial"/>
                <w:sz w:val="16"/>
                <w:szCs w:val="16"/>
                <w:color w:val="auto"/>
              </w:rPr>
              <w:t>103</w:t>
            </w:r>
          </w:p>
        </w:tc>
        <w:tc>
          <w:tcPr>
            <w:tcW w:w="40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6"/>
                <w:szCs w:val="16"/>
                <w:color w:val="auto"/>
              </w:rPr>
              <w:t>29</w:t>
            </w:r>
          </w:p>
        </w:tc>
        <w:tc>
          <w:tcPr>
            <w:tcW w:w="1220" w:type="dxa"/>
            <w:vAlign w:val="bottom"/>
            <w:tcBorders>
              <w:bottom w:val="single" w:sz="8" w:color="auto"/>
            </w:tcBorders>
          </w:tcPr>
          <w:p>
            <w:pPr>
              <w:jc w:val="right"/>
              <w:ind w:right="1041"/>
              <w:spacing w:after="0" w:line="176" w:lineRule="exact"/>
              <w:rPr>
                <w:sz w:val="20"/>
                <w:szCs w:val="20"/>
                <w:color w:val="auto"/>
              </w:rPr>
            </w:pPr>
            <w:r>
              <w:rPr>
                <w:rFonts w:ascii="Arial" w:cs="Arial" w:eastAsia="Arial" w:hAnsi="Arial"/>
                <w:sz w:val="16"/>
                <w:szCs w:val="16"/>
                <w:color w:val="auto"/>
                <w:w w:val="89"/>
              </w:rPr>
              <w:t>$</w:t>
            </w:r>
          </w:p>
        </w:tc>
        <w:tc>
          <w:tcPr>
            <w:tcW w:w="42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6"/>
                <w:szCs w:val="16"/>
                <w:color w:val="auto"/>
              </w:rPr>
              <w:t>117</w:t>
            </w:r>
          </w:p>
        </w:tc>
        <w:tc>
          <w:tcPr>
            <w:tcW w:w="0" w:type="dxa"/>
            <w:vAlign w:val="bottom"/>
          </w:tcPr>
          <w:p>
            <w:pPr>
              <w:spacing w:after="0"/>
              <w:rPr>
                <w:sz w:val="1"/>
                <w:szCs w:val="1"/>
                <w:color w:val="auto"/>
              </w:rPr>
            </w:pPr>
          </w:p>
        </w:tc>
      </w:tr>
      <w:tr>
        <w:trPr>
          <w:trHeight w:val="326"/>
        </w:trPr>
        <w:tc>
          <w:tcPr>
            <w:tcW w:w="5280" w:type="dxa"/>
            <w:vAlign w:val="bottom"/>
          </w:tcPr>
          <w:p>
            <w:pPr>
              <w:spacing w:after="0"/>
              <w:rPr>
                <w:sz w:val="20"/>
                <w:szCs w:val="20"/>
                <w:color w:val="auto"/>
              </w:rPr>
            </w:pPr>
            <w:r>
              <w:rPr>
                <w:rFonts w:ascii="Arial" w:cs="Arial" w:eastAsia="Arial" w:hAnsi="Arial"/>
                <w:sz w:val="16"/>
                <w:szCs w:val="16"/>
                <w:b w:val="1"/>
                <w:bCs w:val="1"/>
                <w:color w:val="auto"/>
              </w:rPr>
              <w:t>Electric Sales (million kilowatt hours)(1):</w:t>
            </w:r>
          </w:p>
        </w:tc>
        <w:tc>
          <w:tcPr>
            <w:tcW w:w="14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5280" w:type="dxa"/>
            <w:vAlign w:val="bottom"/>
          </w:tcPr>
          <w:p>
            <w:pPr>
              <w:spacing w:after="0" w:line="176" w:lineRule="exact"/>
              <w:rPr>
                <w:sz w:val="20"/>
                <w:szCs w:val="20"/>
                <w:color w:val="auto"/>
              </w:rPr>
            </w:pPr>
            <w:r>
              <w:rPr>
                <w:rFonts w:ascii="Arial" w:cs="Arial" w:eastAsia="Arial" w:hAnsi="Arial"/>
                <w:sz w:val="16"/>
                <w:szCs w:val="16"/>
                <w:color w:val="auto"/>
              </w:rPr>
              <w:t>Luz del Sur</w:t>
            </w:r>
          </w:p>
        </w:tc>
        <w:tc>
          <w:tcPr>
            <w:tcW w:w="1440" w:type="dxa"/>
            <w:vAlign w:val="bottom"/>
          </w:tcPr>
          <w:p>
            <w:pPr>
              <w:jc w:val="right"/>
              <w:spacing w:after="0" w:line="176" w:lineRule="exact"/>
              <w:rPr>
                <w:sz w:val="20"/>
                <w:szCs w:val="20"/>
                <w:color w:val="auto"/>
              </w:rPr>
            </w:pPr>
            <w:r>
              <w:rPr>
                <w:rFonts w:ascii="Arial" w:cs="Arial" w:eastAsia="Arial" w:hAnsi="Arial"/>
                <w:sz w:val="16"/>
                <w:szCs w:val="16"/>
                <w:color w:val="auto"/>
              </w:rPr>
              <w:t>1,570</w:t>
            </w:r>
          </w:p>
        </w:tc>
        <w:tc>
          <w:tcPr>
            <w:tcW w:w="1200" w:type="dxa"/>
            <w:vAlign w:val="bottom"/>
          </w:tcPr>
          <w:p>
            <w:pPr>
              <w:jc w:val="center"/>
              <w:ind w:right="981"/>
              <w:spacing w:after="0" w:line="176" w:lineRule="exact"/>
              <w:rPr>
                <w:sz w:val="20"/>
                <w:szCs w:val="20"/>
                <w:color w:val="auto"/>
              </w:rPr>
            </w:pPr>
            <w:r>
              <w:rPr>
                <w:rFonts w:ascii="Arial" w:cs="Arial" w:eastAsia="Arial" w:hAnsi="Arial"/>
                <w:sz w:val="16"/>
                <w:szCs w:val="16"/>
                <w:color w:val="auto"/>
              </w:rPr>
              <w:t>$</w:t>
            </w:r>
          </w:p>
        </w:tc>
        <w:tc>
          <w:tcPr>
            <w:tcW w:w="1460" w:type="dxa"/>
            <w:vAlign w:val="bottom"/>
          </w:tcPr>
          <w:p>
            <w:pPr>
              <w:jc w:val="right"/>
              <w:ind w:right="1001"/>
              <w:spacing w:after="0" w:line="176" w:lineRule="exact"/>
              <w:rPr>
                <w:sz w:val="20"/>
                <w:szCs w:val="20"/>
                <w:color w:val="auto"/>
              </w:rPr>
            </w:pPr>
            <w:r>
              <w:rPr>
                <w:rFonts w:ascii="Arial" w:cs="Arial" w:eastAsia="Arial" w:hAnsi="Arial"/>
                <w:sz w:val="16"/>
                <w:szCs w:val="16"/>
                <w:color w:val="auto"/>
              </w:rPr>
              <w:t>156</w:t>
            </w:r>
          </w:p>
        </w:tc>
        <w:tc>
          <w:tcPr>
            <w:tcW w:w="1620" w:type="dxa"/>
            <w:vAlign w:val="bottom"/>
            <w:gridSpan w:val="2"/>
          </w:tcPr>
          <w:p>
            <w:pPr>
              <w:jc w:val="right"/>
              <w:ind w:right="1041"/>
              <w:spacing w:after="0" w:line="176" w:lineRule="exact"/>
              <w:rPr>
                <w:sz w:val="20"/>
                <w:szCs w:val="20"/>
                <w:color w:val="auto"/>
              </w:rPr>
            </w:pPr>
            <w:r>
              <w:rPr>
                <w:rFonts w:ascii="Arial" w:cs="Arial" w:eastAsia="Arial" w:hAnsi="Arial"/>
                <w:sz w:val="16"/>
                <w:szCs w:val="16"/>
                <w:color w:val="auto"/>
              </w:rPr>
              <w:t>― $</w:t>
            </w:r>
          </w:p>
        </w:tc>
        <w:tc>
          <w:tcPr>
            <w:tcW w:w="420" w:type="dxa"/>
            <w:vAlign w:val="bottom"/>
          </w:tcPr>
          <w:p>
            <w:pPr>
              <w:jc w:val="right"/>
              <w:spacing w:after="0" w:line="176" w:lineRule="exact"/>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4"/>
        </w:trPr>
        <w:tc>
          <w:tcPr>
            <w:tcW w:w="5280" w:type="dxa"/>
            <w:vAlign w:val="bottom"/>
          </w:tcPr>
          <w:p>
            <w:pPr>
              <w:spacing w:after="0"/>
              <w:rPr>
                <w:sz w:val="20"/>
                <w:szCs w:val="20"/>
                <w:color w:val="auto"/>
              </w:rPr>
            </w:pPr>
            <w:r>
              <w:rPr>
                <w:rFonts w:ascii="Arial" w:cs="Arial" w:eastAsia="Arial" w:hAnsi="Arial"/>
                <w:sz w:val="16"/>
                <w:szCs w:val="16"/>
                <w:color w:val="auto"/>
              </w:rPr>
              <w:t>Chilquinta Energía</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604</w:t>
            </w:r>
          </w:p>
        </w:tc>
        <w:tc>
          <w:tcPr>
            <w:tcW w:w="120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right"/>
              <w:ind w:right="1001"/>
              <w:spacing w:after="0"/>
              <w:rPr>
                <w:sz w:val="20"/>
                <w:szCs w:val="20"/>
                <w:color w:val="auto"/>
              </w:rPr>
            </w:pPr>
            <w:r>
              <w:rPr>
                <w:rFonts w:ascii="Arial" w:cs="Arial" w:eastAsia="Arial" w:hAnsi="Arial"/>
                <w:sz w:val="16"/>
                <w:szCs w:val="16"/>
                <w:color w:val="auto"/>
              </w:rPr>
              <w:t>154</w:t>
            </w: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64"/>
        </w:trPr>
        <w:tc>
          <w:tcPr>
            <w:tcW w:w="5280" w:type="dxa"/>
            <w:vAlign w:val="bottom"/>
          </w:tcPr>
          <w:p>
            <w:pPr>
              <w:spacing w:after="0"/>
              <w:rPr>
                <w:sz w:val="14"/>
                <w:szCs w:val="14"/>
                <w:color w:val="auto"/>
              </w:rPr>
            </w:pPr>
          </w:p>
        </w:tc>
        <w:tc>
          <w:tcPr>
            <w:tcW w:w="1440" w:type="dxa"/>
            <w:vAlign w:val="bottom"/>
          </w:tcPr>
          <w:p>
            <w:pPr>
              <w:jc w:val="right"/>
              <w:spacing w:after="0" w:line="164" w:lineRule="exact"/>
              <w:rPr>
                <w:sz w:val="20"/>
                <w:szCs w:val="20"/>
                <w:color w:val="auto"/>
              </w:rPr>
            </w:pPr>
            <w:r>
              <w:rPr>
                <w:rFonts w:ascii="Arial" w:cs="Arial" w:eastAsia="Arial" w:hAnsi="Arial"/>
                <w:sz w:val="16"/>
                <w:szCs w:val="16"/>
                <w:color w:val="auto"/>
              </w:rPr>
              <w:t>2,174</w:t>
            </w:r>
          </w:p>
        </w:tc>
        <w:tc>
          <w:tcPr>
            <w:tcW w:w="1200" w:type="dxa"/>
            <w:vAlign w:val="bottom"/>
          </w:tcPr>
          <w:p>
            <w:pPr>
              <w:spacing w:after="0"/>
              <w:rPr>
                <w:sz w:val="14"/>
                <w:szCs w:val="14"/>
                <w:color w:val="auto"/>
              </w:rPr>
            </w:pPr>
          </w:p>
        </w:tc>
        <w:tc>
          <w:tcPr>
            <w:tcW w:w="1460" w:type="dxa"/>
            <w:vAlign w:val="bottom"/>
          </w:tcPr>
          <w:p>
            <w:pPr>
              <w:jc w:val="right"/>
              <w:ind w:right="1001"/>
              <w:spacing w:after="0" w:line="164" w:lineRule="exact"/>
              <w:rPr>
                <w:sz w:val="20"/>
                <w:szCs w:val="20"/>
                <w:color w:val="auto"/>
              </w:rPr>
            </w:pPr>
            <w:r>
              <w:rPr>
                <w:rFonts w:ascii="Arial" w:cs="Arial" w:eastAsia="Arial" w:hAnsi="Arial"/>
                <w:sz w:val="16"/>
                <w:szCs w:val="16"/>
                <w:color w:val="auto"/>
              </w:rPr>
              <w:t>310</w:t>
            </w:r>
          </w:p>
        </w:tc>
        <w:tc>
          <w:tcPr>
            <w:tcW w:w="400" w:type="dxa"/>
            <w:vAlign w:val="bottom"/>
          </w:tcPr>
          <w:p>
            <w:pPr>
              <w:jc w:val="right"/>
              <w:spacing w:after="0" w:line="164" w:lineRule="exact"/>
              <w:rPr>
                <w:sz w:val="20"/>
                <w:szCs w:val="20"/>
                <w:color w:val="auto"/>
              </w:rPr>
            </w:pPr>
            <w:r>
              <w:rPr>
                <w:rFonts w:ascii="Arial" w:cs="Arial" w:eastAsia="Arial" w:hAnsi="Arial"/>
                <w:sz w:val="16"/>
                <w:szCs w:val="16"/>
                <w:color w:val="auto"/>
              </w:rPr>
              <w:t>―</w:t>
            </w:r>
          </w:p>
        </w:tc>
        <w:tc>
          <w:tcPr>
            <w:tcW w:w="1220" w:type="dxa"/>
            <w:vAlign w:val="bottom"/>
          </w:tcPr>
          <w:p>
            <w:pPr>
              <w:spacing w:after="0"/>
              <w:rPr>
                <w:sz w:val="14"/>
                <w:szCs w:val="14"/>
                <w:color w:val="auto"/>
              </w:rPr>
            </w:pPr>
          </w:p>
        </w:tc>
        <w:tc>
          <w:tcPr>
            <w:tcW w:w="420" w:type="dxa"/>
            <w:vAlign w:val="bottom"/>
          </w:tcPr>
          <w:p>
            <w:pPr>
              <w:jc w:val="right"/>
              <w:spacing w:after="0" w:line="164" w:lineRule="exact"/>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4"/>
        </w:trPr>
        <w:tc>
          <w:tcPr>
            <w:tcW w:w="5280" w:type="dxa"/>
            <w:vAlign w:val="bottom"/>
          </w:tcPr>
          <w:p>
            <w:pPr>
              <w:spacing w:after="0"/>
              <w:rPr>
                <w:sz w:val="20"/>
                <w:szCs w:val="20"/>
                <w:color w:val="auto"/>
              </w:rPr>
            </w:pPr>
            <w:r>
              <w:rPr>
                <w:rFonts w:ascii="Arial" w:cs="Arial" w:eastAsia="Arial" w:hAnsi="Arial"/>
                <w:sz w:val="16"/>
                <w:szCs w:val="16"/>
                <w:color w:val="auto"/>
              </w:rPr>
              <w:t>Other service revenues</w:t>
            </w:r>
          </w:p>
        </w:tc>
        <w:tc>
          <w:tcPr>
            <w:tcW w:w="14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right"/>
              <w:ind w:right="1001"/>
              <w:spacing w:after="0"/>
              <w:rPr>
                <w:sz w:val="20"/>
                <w:szCs w:val="20"/>
                <w:color w:val="auto"/>
              </w:rPr>
            </w:pPr>
            <w:r>
              <w:rPr>
                <w:rFonts w:ascii="Arial" w:cs="Arial" w:eastAsia="Arial" w:hAnsi="Arial"/>
                <w:sz w:val="16"/>
                <w:szCs w:val="16"/>
                <w:color w:val="auto"/>
              </w:rPr>
              <w:t>14</w:t>
            </w:r>
          </w:p>
        </w:tc>
        <w:tc>
          <w:tcPr>
            <w:tcW w:w="4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5"/>
        </w:trPr>
        <w:tc>
          <w:tcPr>
            <w:tcW w:w="5280" w:type="dxa"/>
            <w:vAlign w:val="bottom"/>
          </w:tcPr>
          <w:p>
            <w:pPr>
              <w:ind w:left="180"/>
              <w:spacing w:after="0"/>
              <w:rPr>
                <w:sz w:val="20"/>
                <w:szCs w:val="20"/>
                <w:color w:val="auto"/>
              </w:rPr>
            </w:pPr>
            <w:r>
              <w:rPr>
                <w:rFonts w:ascii="Arial" w:cs="Arial" w:eastAsia="Arial" w:hAnsi="Arial"/>
                <w:sz w:val="16"/>
                <w:szCs w:val="16"/>
                <w:color w:val="auto"/>
              </w:rPr>
              <w:t>Total</w:t>
            </w:r>
          </w:p>
        </w:tc>
        <w:tc>
          <w:tcPr>
            <w:tcW w:w="1440" w:type="dxa"/>
            <w:vAlign w:val="bottom"/>
          </w:tcPr>
          <w:p>
            <w:pPr>
              <w:spacing w:after="0"/>
              <w:rPr>
                <w:sz w:val="16"/>
                <w:szCs w:val="16"/>
                <w:color w:val="auto"/>
              </w:rPr>
            </w:pPr>
          </w:p>
        </w:tc>
        <w:tc>
          <w:tcPr>
            <w:tcW w:w="1200" w:type="dxa"/>
            <w:vAlign w:val="bottom"/>
          </w:tcPr>
          <w:p>
            <w:pPr>
              <w:jc w:val="center"/>
              <w:ind w:right="981"/>
              <w:spacing w:after="0"/>
              <w:rPr>
                <w:sz w:val="20"/>
                <w:szCs w:val="20"/>
                <w:color w:val="auto"/>
              </w:rPr>
            </w:pPr>
            <w:r>
              <w:rPr>
                <w:rFonts w:ascii="Arial" w:cs="Arial" w:eastAsia="Arial" w:hAnsi="Arial"/>
                <w:sz w:val="16"/>
                <w:szCs w:val="16"/>
                <w:color w:val="auto"/>
              </w:rPr>
              <w:t>$</w:t>
            </w:r>
          </w:p>
        </w:tc>
        <w:tc>
          <w:tcPr>
            <w:tcW w:w="1460" w:type="dxa"/>
            <w:vAlign w:val="bottom"/>
          </w:tcPr>
          <w:p>
            <w:pPr>
              <w:jc w:val="right"/>
              <w:ind w:right="1001"/>
              <w:spacing w:after="0"/>
              <w:rPr>
                <w:sz w:val="20"/>
                <w:szCs w:val="20"/>
                <w:color w:val="auto"/>
              </w:rPr>
            </w:pPr>
            <w:r>
              <w:rPr>
                <w:rFonts w:ascii="Arial" w:cs="Arial" w:eastAsia="Arial" w:hAnsi="Arial"/>
                <w:sz w:val="16"/>
                <w:szCs w:val="16"/>
                <w:color w:val="auto"/>
              </w:rPr>
              <w:t>324</w:t>
            </w:r>
          </w:p>
        </w:tc>
        <w:tc>
          <w:tcPr>
            <w:tcW w:w="400" w:type="dxa"/>
            <w:vAlign w:val="bottom"/>
          </w:tcPr>
          <w:p>
            <w:pPr>
              <w:spacing w:after="0"/>
              <w:rPr>
                <w:sz w:val="16"/>
                <w:szCs w:val="16"/>
                <w:color w:val="auto"/>
              </w:rPr>
            </w:pPr>
          </w:p>
        </w:tc>
        <w:tc>
          <w:tcPr>
            <w:tcW w:w="1220" w:type="dxa"/>
            <w:vAlign w:val="bottom"/>
          </w:tcPr>
          <w:p>
            <w:pPr>
              <w:jc w:val="right"/>
              <w:ind w:right="1041"/>
              <w:spacing w:after="0"/>
              <w:rPr>
                <w:sz w:val="20"/>
                <w:szCs w:val="20"/>
                <w:color w:val="auto"/>
              </w:rPr>
            </w:pPr>
            <w:r>
              <w:rPr>
                <w:rFonts w:ascii="Arial" w:cs="Arial" w:eastAsia="Arial" w:hAnsi="Arial"/>
                <w:sz w:val="16"/>
                <w:szCs w:val="16"/>
                <w:color w:val="auto"/>
                <w:w w:val="89"/>
              </w:rPr>
              <w:t>$</w:t>
            </w:r>
          </w:p>
        </w:tc>
        <w:tc>
          <w:tcPr>
            <w:tcW w:w="42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246620" cy="171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ind w:right="180" w:firstLine="8"/>
        <w:spacing w:after="0" w:line="277" w:lineRule="auto"/>
        <w:tabs>
          <w:tab w:leader="none" w:pos="216" w:val="left"/>
        </w:tabs>
        <w:numPr>
          <w:ilvl w:val="0"/>
          <w:numId w:val="71"/>
        </w:numPr>
        <w:rPr>
          <w:rFonts w:ascii="Arial" w:cs="Arial" w:eastAsia="Arial" w:hAnsi="Arial"/>
          <w:sz w:val="14"/>
          <w:szCs w:val="14"/>
          <w:i w:val="1"/>
          <w:iCs w:val="1"/>
          <w:color w:val="auto"/>
        </w:rPr>
      </w:pPr>
      <w:r>
        <w:rPr>
          <w:rFonts w:ascii="Arial" w:cs="Arial" w:eastAsia="Arial" w:hAnsi="Arial"/>
          <w:sz w:val="14"/>
          <w:szCs w:val="14"/>
          <w:i w:val="1"/>
          <w:iCs w:val="1"/>
          <w:color w:val="auto"/>
        </w:rPr>
        <w:t>Luz del Sur and Chilquinta Energía were accounted for under the equity method until April 6, 2011, when they became consolidated entities upon our acquisition of additional ownership interests.</w:t>
      </w:r>
    </w:p>
    <w:p>
      <w:pPr>
        <w:spacing w:after="0" w:line="160"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Energy-Related Businesses: Revenues and Cost of Sales</w:t>
      </w:r>
    </w:p>
    <w:p>
      <w:pPr>
        <w:spacing w:after="0" w:line="205" w:lineRule="exact"/>
        <w:rPr>
          <w:sz w:val="20"/>
          <w:szCs w:val="20"/>
          <w:color w:val="auto"/>
        </w:rPr>
      </w:pPr>
    </w:p>
    <w:p>
      <w:pPr>
        <w:ind w:right="80"/>
        <w:spacing w:after="0" w:line="302" w:lineRule="auto"/>
        <w:rPr>
          <w:sz w:val="20"/>
          <w:szCs w:val="20"/>
          <w:color w:val="auto"/>
        </w:rPr>
      </w:pPr>
      <w:r>
        <w:rPr>
          <w:rFonts w:ascii="Arial" w:cs="Arial" w:eastAsia="Arial" w:hAnsi="Arial"/>
          <w:sz w:val="16"/>
          <w:szCs w:val="16"/>
          <w:color w:val="auto"/>
        </w:rPr>
        <w:t>During the three months ended June 30, 2011, revenues from our energy-related businesses increased by $42 million (9%) to $500 million. The increase included $46 million higher revenues at Sempra Pipelines &amp; Storage, including $37 million primarily from the consolidation of non-utility revenues from the acquisition of the controlling interests in two energy-services companies, Tecnored and Tecsur, in April 2011. This increase was partially offset by $7 million lower revenues at Sempra LNG due to lower natural gas revenues, offset by an increase in contractual counterparty obligations for non-delivery of cargoes.</w:t>
      </w:r>
    </w:p>
    <w:p>
      <w:pPr>
        <w:spacing w:after="0" w:line="154" w:lineRule="exact"/>
        <w:rPr>
          <w:sz w:val="20"/>
          <w:szCs w:val="20"/>
          <w:color w:val="auto"/>
        </w:rPr>
      </w:pPr>
    </w:p>
    <w:p>
      <w:pPr>
        <w:ind w:right="100"/>
        <w:spacing w:after="0" w:line="342" w:lineRule="auto"/>
        <w:rPr>
          <w:sz w:val="20"/>
          <w:szCs w:val="20"/>
          <w:color w:val="auto"/>
        </w:rPr>
      </w:pPr>
      <w:r>
        <w:rPr>
          <w:rFonts w:ascii="Arial" w:cs="Arial" w:eastAsia="Arial" w:hAnsi="Arial"/>
          <w:sz w:val="16"/>
          <w:szCs w:val="16"/>
          <w:color w:val="auto"/>
        </w:rPr>
        <w:t>During the three months ended June 30, 2011, the cost of natural gas, electric fuel and purchased power from our energy-related businesses decreased by $23 million (10%) to $212 million. The decrease included $21 million at Sempra LNG, primarily associated with its lower natural gas revenues.</w:t>
      </w:r>
    </w:p>
    <w:p>
      <w:pPr>
        <w:spacing w:after="0" w:line="124"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During the six months ended June 30, 2011, revenues from our energy-related businesses decreased by $13 million (1%) to $988 million. The decrease was primarily due to:</w:t>
      </w:r>
    </w:p>
    <w:p>
      <w:pPr>
        <w:spacing w:after="0" w:line="170" w:lineRule="exact"/>
        <w:rPr>
          <w:sz w:val="20"/>
          <w:szCs w:val="20"/>
          <w:color w:val="auto"/>
        </w:rPr>
      </w:pPr>
    </w:p>
    <w:p>
      <w:pPr>
        <w:ind w:left="340" w:hanging="188"/>
        <w:spacing w:after="0"/>
        <w:tabs>
          <w:tab w:leader="none" w:pos="340" w:val="left"/>
        </w:tabs>
        <w:numPr>
          <w:ilvl w:val="0"/>
          <w:numId w:val="72"/>
        </w:numPr>
        <w:rPr>
          <w:rFonts w:ascii="Arial" w:cs="Arial" w:eastAsia="Arial" w:hAnsi="Arial"/>
          <w:sz w:val="18"/>
          <w:szCs w:val="18"/>
          <w:color w:val="auto"/>
        </w:rPr>
      </w:pPr>
      <w:r>
        <w:rPr>
          <w:rFonts w:ascii="Arial" w:cs="Arial" w:eastAsia="Arial" w:hAnsi="Arial"/>
          <w:sz w:val="18"/>
          <w:szCs w:val="18"/>
          <w:color w:val="auto"/>
        </w:rPr>
        <w:t>$49 million lower revenues at Sempra Generation due to decreased power sales and lower power prices; and</w:t>
      </w:r>
    </w:p>
    <w:p>
      <w:pPr>
        <w:spacing w:after="0" w:line="252" w:lineRule="exact"/>
        <w:rPr>
          <w:rFonts w:ascii="Arial" w:cs="Arial" w:eastAsia="Arial" w:hAnsi="Arial"/>
          <w:sz w:val="18"/>
          <w:szCs w:val="18"/>
          <w:color w:val="auto"/>
        </w:rPr>
      </w:pPr>
    </w:p>
    <w:p>
      <w:pPr>
        <w:ind w:left="340" w:hanging="188"/>
        <w:spacing w:after="0" w:line="277" w:lineRule="auto"/>
        <w:tabs>
          <w:tab w:leader="none" w:pos="340" w:val="left"/>
        </w:tabs>
        <w:numPr>
          <w:ilvl w:val="0"/>
          <w:numId w:val="72"/>
        </w:numPr>
        <w:rPr>
          <w:rFonts w:ascii="Arial" w:cs="Arial" w:eastAsia="Arial" w:hAnsi="Arial"/>
          <w:sz w:val="18"/>
          <w:szCs w:val="18"/>
          <w:b w:val="1"/>
          <w:bCs w:val="1"/>
          <w:color w:val="auto"/>
        </w:rPr>
      </w:pPr>
      <w:r>
        <w:rPr>
          <w:rFonts w:ascii="Arial" w:cs="Arial" w:eastAsia="Arial" w:hAnsi="Arial"/>
          <w:sz w:val="18"/>
          <w:szCs w:val="18"/>
          <w:color w:val="auto"/>
        </w:rPr>
        <w:t xml:space="preserve">$26 million lower revenues at Sempra LNG primarily due to decreased natural gas sales and lower natural gas prices in 2011, partially offset by an increase in contractual counterparty obligations for non-delivery of cargoes; </w:t>
      </w:r>
      <w:r>
        <w:rPr>
          <w:rFonts w:ascii="Arial" w:cs="Arial" w:eastAsia="Arial" w:hAnsi="Arial"/>
          <w:sz w:val="18"/>
          <w:szCs w:val="18"/>
          <w:b w:val="1"/>
          <w:bCs w:val="1"/>
          <w:color w:val="auto"/>
        </w:rPr>
        <w:t>offset by</w:t>
      </w:r>
    </w:p>
    <w:p>
      <w:pPr>
        <w:spacing w:after="0" w:line="197" w:lineRule="exact"/>
        <w:rPr>
          <w:rFonts w:ascii="Arial" w:cs="Arial" w:eastAsia="Arial" w:hAnsi="Arial"/>
          <w:sz w:val="18"/>
          <w:szCs w:val="18"/>
          <w:b w:val="1"/>
          <w:bCs w:val="1"/>
          <w:color w:val="auto"/>
        </w:rPr>
      </w:pPr>
    </w:p>
    <w:p>
      <w:pPr>
        <w:ind w:left="340" w:hanging="188"/>
        <w:spacing w:after="0" w:line="277" w:lineRule="auto"/>
        <w:tabs>
          <w:tab w:leader="none" w:pos="340" w:val="left"/>
        </w:tabs>
        <w:numPr>
          <w:ilvl w:val="0"/>
          <w:numId w:val="72"/>
        </w:numPr>
        <w:rPr>
          <w:rFonts w:ascii="Arial" w:cs="Arial" w:eastAsia="Arial" w:hAnsi="Arial"/>
          <w:sz w:val="18"/>
          <w:szCs w:val="18"/>
          <w:color w:val="auto"/>
        </w:rPr>
      </w:pPr>
      <w:r>
        <w:rPr>
          <w:rFonts w:ascii="Arial" w:cs="Arial" w:eastAsia="Arial" w:hAnsi="Arial"/>
          <w:sz w:val="18"/>
          <w:szCs w:val="18"/>
          <w:color w:val="auto"/>
        </w:rPr>
        <w:t>$59 million higher revenues at Sempra Pipelines &amp; Storage, including $37 million primarily from the consolidation of non-utility revenues of Tecnored and Tecsur, and $17 million from natural gas storage and marketing operations.</w:t>
      </w:r>
    </w:p>
    <w:p>
      <w:pPr>
        <w:spacing w:after="0" w:line="197" w:lineRule="exact"/>
        <w:rPr>
          <w:sz w:val="20"/>
          <w:szCs w:val="20"/>
          <w:color w:val="auto"/>
        </w:rPr>
      </w:pPr>
    </w:p>
    <w:p>
      <w:pPr>
        <w:ind w:right="240"/>
        <w:spacing w:after="0" w:line="264" w:lineRule="auto"/>
        <w:rPr>
          <w:sz w:val="20"/>
          <w:szCs w:val="20"/>
          <w:color w:val="auto"/>
        </w:rPr>
      </w:pPr>
      <w:r>
        <w:rPr>
          <w:rFonts w:ascii="Arial" w:cs="Arial" w:eastAsia="Arial" w:hAnsi="Arial"/>
          <w:sz w:val="18"/>
          <w:szCs w:val="18"/>
          <w:color w:val="auto"/>
        </w:rPr>
        <w:t>During the six months ended June 30, 2011, the cost of natural gas, electric fuel and purchased power from our energy-related businesses decreased by $86 million (16%) to $442 million. The decrease included $58 million at Sempra Generation and $34 million at Sempra LNG, primarily associated with their lower revenues.</w:t>
      </w:r>
    </w:p>
    <w:p>
      <w:pPr>
        <w:spacing w:after="0" w:line="395"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Litigation Expense</w:t>
      </w:r>
    </w:p>
    <w:p>
      <w:pPr>
        <w:spacing w:after="0" w:line="202"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Sempra Energy Consolidated</w:t>
      </w:r>
    </w:p>
    <w:p>
      <w:pPr>
        <w:spacing w:after="0" w:line="205"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In the six months ended June 30, 2010, we recorded litigation expense of $167 million, which included $161 million related to the agreement to settle certain energy crisis litigation.</w:t>
      </w:r>
    </w:p>
    <w:p>
      <w:pPr>
        <w:spacing w:after="0" w:line="384"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Other Operation and Maintenance</w:t>
      </w:r>
    </w:p>
    <w:p>
      <w:pPr>
        <w:spacing w:after="0" w:line="202"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Sempra Energy Consolidated</w:t>
      </w:r>
    </w:p>
    <w:p>
      <w:pPr>
        <w:sectPr>
          <w:pgSz w:w="11900" w:h="16915" w:orient="portrait"/>
          <w:cols w:equalWidth="0" w:num="1">
            <w:col w:w="11420"/>
          </w:cols>
          <w:pgMar w:left="240" w:top="366" w:right="239" w:bottom="0" w:gutter="0" w:footer="0" w:header="0"/>
        </w:sectPr>
      </w:pPr>
    </w:p>
    <w:p>
      <w:pPr>
        <w:spacing w:after="0" w:line="205"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color w:val="auto"/>
        </w:rPr>
        <w:t>For the three months ended June 30, 2011, our other operation and maintenance expenses increased by $51 million (8%) to $667 million. The increase included</w:t>
      </w:r>
    </w:p>
    <w:p>
      <w:pPr>
        <w:sectPr>
          <w:pgSz w:w="11900" w:h="16915" w:orient="portrait"/>
          <w:cols w:equalWidth="0" w:num="1">
            <w:col w:w="11420"/>
          </w:cols>
          <w:pgMar w:left="240" w:top="366" w:right="239" w:bottom="0" w:gutter="0" w:footer="0" w:header="0"/>
          <w:type w:val="continuous"/>
        </w:sectPr>
      </w:pPr>
    </w:p>
    <w:bookmarkStart w:id="60" w:name="page61"/>
    <w:bookmarkEnd w:id="60"/>
    <w:p>
      <w:pPr>
        <w:ind w:left="340" w:hanging="188"/>
        <w:spacing w:after="0"/>
        <w:tabs>
          <w:tab w:leader="none" w:pos="340" w:val="left"/>
        </w:tabs>
        <w:numPr>
          <w:ilvl w:val="0"/>
          <w:numId w:val="73"/>
        </w:numPr>
        <w:rPr>
          <w:rFonts w:ascii="Arial" w:cs="Arial" w:eastAsia="Arial" w:hAnsi="Arial"/>
          <w:sz w:val="18"/>
          <w:szCs w:val="18"/>
          <w:color w:val="auto"/>
        </w:rPr>
      </w:pPr>
      <w:r>
        <w:rPr>
          <w:rFonts w:ascii="Arial" w:cs="Arial" w:eastAsia="Arial" w:hAnsi="Arial"/>
          <w:sz w:val="18"/>
          <w:szCs w:val="18"/>
          <w:color w:val="auto"/>
        </w:rPr>
        <w:t>$34 million higher operation and maintenance expenses at SoCalGas, including $16 million higher recoverable expenses; and</w:t>
      </w:r>
    </w:p>
    <w:p>
      <w:pPr>
        <w:spacing w:after="0" w:line="248" w:lineRule="exact"/>
        <w:rPr>
          <w:rFonts w:ascii="Arial" w:cs="Arial" w:eastAsia="Arial" w:hAnsi="Arial"/>
          <w:sz w:val="18"/>
          <w:szCs w:val="18"/>
          <w:color w:val="auto"/>
        </w:rPr>
      </w:pPr>
    </w:p>
    <w:p>
      <w:pPr>
        <w:ind w:left="340" w:hanging="188"/>
        <w:spacing w:after="0"/>
        <w:tabs>
          <w:tab w:leader="none" w:pos="340" w:val="left"/>
        </w:tabs>
        <w:numPr>
          <w:ilvl w:val="0"/>
          <w:numId w:val="73"/>
        </w:numPr>
        <w:rPr>
          <w:rFonts w:ascii="Arial" w:cs="Arial" w:eastAsia="Arial" w:hAnsi="Arial"/>
          <w:sz w:val="18"/>
          <w:szCs w:val="18"/>
          <w:b w:val="1"/>
          <w:bCs w:val="1"/>
          <w:color w:val="auto"/>
        </w:rPr>
      </w:pPr>
      <w:r>
        <w:rPr>
          <w:rFonts w:ascii="Arial" w:cs="Arial" w:eastAsia="Arial" w:hAnsi="Arial"/>
          <w:sz w:val="18"/>
          <w:szCs w:val="18"/>
          <w:color w:val="auto"/>
        </w:rPr>
        <w:t xml:space="preserve">$28 million at Sempra Pipelines &amp; Storage from the consolidation of expenses related to Chilquinta Energía and Luz del Sur; </w:t>
      </w:r>
      <w:r>
        <w:rPr>
          <w:rFonts w:ascii="Arial" w:cs="Arial" w:eastAsia="Arial" w:hAnsi="Arial"/>
          <w:sz w:val="18"/>
          <w:szCs w:val="18"/>
          <w:b w:val="1"/>
          <w:bCs w:val="1"/>
          <w:color w:val="auto"/>
        </w:rPr>
        <w:t>offset by</w:t>
      </w:r>
    </w:p>
    <w:p>
      <w:pPr>
        <w:spacing w:after="0" w:line="256" w:lineRule="exact"/>
        <w:rPr>
          <w:rFonts w:ascii="Arial" w:cs="Arial" w:eastAsia="Arial" w:hAnsi="Arial"/>
          <w:sz w:val="18"/>
          <w:szCs w:val="18"/>
          <w:b w:val="1"/>
          <w:bCs w:val="1"/>
          <w:color w:val="auto"/>
        </w:rPr>
      </w:pPr>
    </w:p>
    <w:p>
      <w:pPr>
        <w:ind w:left="340" w:right="20" w:hanging="188"/>
        <w:spacing w:after="0" w:line="277" w:lineRule="auto"/>
        <w:tabs>
          <w:tab w:leader="none" w:pos="340" w:val="left"/>
        </w:tabs>
        <w:numPr>
          <w:ilvl w:val="0"/>
          <w:numId w:val="73"/>
        </w:numPr>
        <w:rPr>
          <w:rFonts w:ascii="Arial" w:cs="Arial" w:eastAsia="Arial" w:hAnsi="Arial"/>
          <w:sz w:val="18"/>
          <w:szCs w:val="18"/>
          <w:color w:val="auto"/>
        </w:rPr>
      </w:pPr>
      <w:r>
        <w:rPr>
          <w:rFonts w:ascii="Arial" w:cs="Arial" w:eastAsia="Arial" w:hAnsi="Arial"/>
          <w:sz w:val="18"/>
          <w:szCs w:val="18"/>
          <w:color w:val="auto"/>
        </w:rPr>
        <w:t>$18 million lower operation and maintenance expenses at SDG&amp;E (which excludes $9 million of higher litigation expense separately reported as Litigation Expense on the Sempra Energy Condensed Consolidated Statements of Operations).</w:t>
      </w:r>
    </w:p>
    <w:p>
      <w:pPr>
        <w:spacing w:after="0" w:line="197" w:lineRule="exact"/>
        <w:rPr>
          <w:sz w:val="20"/>
          <w:szCs w:val="20"/>
          <w:color w:val="auto"/>
        </w:rPr>
      </w:pPr>
    </w:p>
    <w:p>
      <w:pPr>
        <w:spacing w:after="0"/>
        <w:rPr>
          <w:sz w:val="20"/>
          <w:szCs w:val="20"/>
          <w:color w:val="auto"/>
        </w:rPr>
      </w:pPr>
      <w:r>
        <w:rPr>
          <w:rFonts w:ascii="Arial" w:cs="Arial" w:eastAsia="Arial" w:hAnsi="Arial"/>
          <w:sz w:val="16"/>
          <w:szCs w:val="16"/>
          <w:color w:val="auto"/>
        </w:rPr>
        <w:t>For the six months ended June 30, 2011, our other operation and maintenance expenses increased by $107 million (9%) to $1.3 billion. The increase included</w:t>
      </w:r>
    </w:p>
    <w:p>
      <w:pPr>
        <w:spacing w:after="0" w:line="248" w:lineRule="exact"/>
        <w:rPr>
          <w:sz w:val="20"/>
          <w:szCs w:val="20"/>
          <w:color w:val="auto"/>
        </w:rPr>
      </w:pPr>
    </w:p>
    <w:p>
      <w:pPr>
        <w:ind w:left="340" w:hanging="188"/>
        <w:spacing w:after="0"/>
        <w:tabs>
          <w:tab w:leader="none" w:pos="340" w:val="left"/>
        </w:tabs>
        <w:numPr>
          <w:ilvl w:val="0"/>
          <w:numId w:val="74"/>
        </w:numPr>
        <w:rPr>
          <w:rFonts w:ascii="Arial" w:cs="Arial" w:eastAsia="Arial" w:hAnsi="Arial"/>
          <w:sz w:val="18"/>
          <w:szCs w:val="18"/>
          <w:color w:val="auto"/>
        </w:rPr>
      </w:pPr>
      <w:r>
        <w:rPr>
          <w:rFonts w:ascii="Arial" w:cs="Arial" w:eastAsia="Arial" w:hAnsi="Arial"/>
          <w:sz w:val="18"/>
          <w:szCs w:val="18"/>
          <w:color w:val="auto"/>
        </w:rPr>
        <w:t>$60 million higher operation and maintenance expenses at SoCalGas, including $35 million higher recoverable expenses;</w:t>
      </w:r>
    </w:p>
    <w:p>
      <w:pPr>
        <w:spacing w:after="0" w:line="252" w:lineRule="exact"/>
        <w:rPr>
          <w:rFonts w:ascii="Arial" w:cs="Arial" w:eastAsia="Arial" w:hAnsi="Arial"/>
          <w:sz w:val="18"/>
          <w:szCs w:val="18"/>
          <w:color w:val="auto"/>
        </w:rPr>
      </w:pPr>
    </w:p>
    <w:p>
      <w:pPr>
        <w:ind w:left="340" w:hanging="188"/>
        <w:spacing w:after="0"/>
        <w:tabs>
          <w:tab w:leader="none" w:pos="340" w:val="left"/>
        </w:tabs>
        <w:numPr>
          <w:ilvl w:val="0"/>
          <w:numId w:val="74"/>
        </w:numPr>
        <w:rPr>
          <w:rFonts w:ascii="Arial" w:cs="Arial" w:eastAsia="Arial" w:hAnsi="Arial"/>
          <w:sz w:val="16"/>
          <w:szCs w:val="16"/>
          <w:b w:val="1"/>
          <w:bCs w:val="1"/>
          <w:color w:val="auto"/>
        </w:rPr>
      </w:pPr>
      <w:r>
        <w:rPr>
          <w:rFonts w:ascii="Arial" w:cs="Arial" w:eastAsia="Arial" w:hAnsi="Arial"/>
          <w:sz w:val="16"/>
          <w:szCs w:val="16"/>
          <w:color w:val="auto"/>
        </w:rPr>
        <w:t>$31 million at Sempra Pipelines &amp; Storage, including $28 million from the consolidation of expenses related to Chilquinta Energía and Luz del Sur; and</w:t>
      </w:r>
    </w:p>
    <w:p>
      <w:pPr>
        <w:spacing w:after="0" w:line="275" w:lineRule="exact"/>
        <w:rPr>
          <w:rFonts w:ascii="Arial" w:cs="Arial" w:eastAsia="Arial" w:hAnsi="Arial"/>
          <w:sz w:val="16"/>
          <w:szCs w:val="16"/>
          <w:b w:val="1"/>
          <w:bCs w:val="1"/>
          <w:color w:val="auto"/>
        </w:rPr>
      </w:pPr>
    </w:p>
    <w:p>
      <w:pPr>
        <w:ind w:left="340" w:hanging="188"/>
        <w:spacing w:after="0" w:line="277" w:lineRule="auto"/>
        <w:tabs>
          <w:tab w:leader="none" w:pos="340" w:val="left"/>
        </w:tabs>
        <w:numPr>
          <w:ilvl w:val="0"/>
          <w:numId w:val="74"/>
        </w:numPr>
        <w:rPr>
          <w:rFonts w:ascii="Arial" w:cs="Arial" w:eastAsia="Arial" w:hAnsi="Arial"/>
          <w:sz w:val="18"/>
          <w:szCs w:val="18"/>
          <w:color w:val="auto"/>
        </w:rPr>
      </w:pPr>
      <w:r>
        <w:rPr>
          <w:rFonts w:ascii="Arial" w:cs="Arial" w:eastAsia="Arial" w:hAnsi="Arial"/>
          <w:sz w:val="18"/>
          <w:szCs w:val="18"/>
          <w:color w:val="auto"/>
        </w:rPr>
        <w:t xml:space="preserve">$27 million higher operation and maintenance expenses at SDG&amp;E (which excludes $5 million of higher litigation expense separately reported as Litigation Expense on the Sempra Energy Condensed Consolidated Statements of Operations); </w:t>
      </w:r>
      <w:r>
        <w:rPr>
          <w:rFonts w:ascii="Arial" w:cs="Arial" w:eastAsia="Arial" w:hAnsi="Arial"/>
          <w:sz w:val="18"/>
          <w:szCs w:val="18"/>
          <w:b w:val="1"/>
          <w:bCs w:val="1"/>
          <w:color w:val="auto"/>
        </w:rPr>
        <w:t>offset by</w:t>
      </w:r>
    </w:p>
    <w:p>
      <w:pPr>
        <w:spacing w:after="0" w:line="197" w:lineRule="exact"/>
        <w:rPr>
          <w:rFonts w:ascii="Arial" w:cs="Arial" w:eastAsia="Arial" w:hAnsi="Arial"/>
          <w:sz w:val="18"/>
          <w:szCs w:val="18"/>
          <w:color w:val="auto"/>
        </w:rPr>
      </w:pPr>
    </w:p>
    <w:p>
      <w:pPr>
        <w:ind w:left="340" w:hanging="188"/>
        <w:spacing w:after="0" w:line="277" w:lineRule="auto"/>
        <w:tabs>
          <w:tab w:leader="none" w:pos="340" w:val="left"/>
        </w:tabs>
        <w:numPr>
          <w:ilvl w:val="0"/>
          <w:numId w:val="74"/>
        </w:numPr>
        <w:rPr>
          <w:rFonts w:ascii="Arial" w:cs="Arial" w:eastAsia="Arial" w:hAnsi="Arial"/>
          <w:sz w:val="18"/>
          <w:szCs w:val="18"/>
          <w:color w:val="auto"/>
        </w:rPr>
      </w:pPr>
      <w:r>
        <w:rPr>
          <w:rFonts w:ascii="Arial" w:cs="Arial" w:eastAsia="Arial" w:hAnsi="Arial"/>
          <w:sz w:val="18"/>
          <w:szCs w:val="18"/>
          <w:color w:val="auto"/>
        </w:rPr>
        <w:t>$21 million lower operation and maintenance expenses at Sempra Generation due to 2010 having major scheduled plant maintenance and earthquake damage to our Mexicali power plant.</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We discuss in more detail the changes in operation and maintenance expenses at SDG&amp;E below.</w:t>
      </w: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Operation and Maintenance</w:t>
      </w:r>
    </w:p>
    <w:p>
      <w:pPr>
        <w:spacing w:after="0" w:line="202"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SDG&amp;E</w:t>
      </w:r>
    </w:p>
    <w:p>
      <w:pPr>
        <w:spacing w:after="0" w:line="205"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For the three months ended June 30, 2011, SDG&amp;E's operation and maintenance expenses decreased by $9 million (4%) to $228 million. The decrease was due to:</w:t>
      </w:r>
    </w:p>
    <w:p>
      <w:pPr>
        <w:spacing w:after="0" w:line="166" w:lineRule="exact"/>
        <w:rPr>
          <w:sz w:val="20"/>
          <w:szCs w:val="20"/>
          <w:color w:val="auto"/>
        </w:rPr>
      </w:pPr>
    </w:p>
    <w:p>
      <w:pPr>
        <w:ind w:left="340" w:hanging="188"/>
        <w:spacing w:after="0"/>
        <w:tabs>
          <w:tab w:leader="none" w:pos="340" w:val="left"/>
        </w:tabs>
        <w:numPr>
          <w:ilvl w:val="0"/>
          <w:numId w:val="75"/>
        </w:numPr>
        <w:rPr>
          <w:rFonts w:ascii="Arial" w:cs="Arial" w:eastAsia="Arial" w:hAnsi="Arial"/>
          <w:sz w:val="18"/>
          <w:szCs w:val="18"/>
          <w:color w:val="auto"/>
        </w:rPr>
      </w:pPr>
      <w:r>
        <w:rPr>
          <w:rFonts w:ascii="Arial" w:cs="Arial" w:eastAsia="Arial" w:hAnsi="Arial"/>
          <w:sz w:val="18"/>
          <w:szCs w:val="18"/>
          <w:color w:val="auto"/>
        </w:rPr>
        <w:t xml:space="preserve">$47 million lower recoverable expenses; </w:t>
      </w:r>
      <w:r>
        <w:rPr>
          <w:rFonts w:ascii="Arial" w:cs="Arial" w:eastAsia="Arial" w:hAnsi="Arial"/>
          <w:sz w:val="18"/>
          <w:szCs w:val="18"/>
          <w:b w:val="1"/>
          <w:bCs w:val="1"/>
          <w:color w:val="auto"/>
        </w:rPr>
        <w:t>offset by</w:t>
      </w:r>
    </w:p>
    <w:p>
      <w:pPr>
        <w:spacing w:after="0" w:line="256" w:lineRule="exact"/>
        <w:rPr>
          <w:rFonts w:ascii="Arial" w:cs="Arial" w:eastAsia="Arial" w:hAnsi="Arial"/>
          <w:sz w:val="18"/>
          <w:szCs w:val="18"/>
          <w:color w:val="auto"/>
        </w:rPr>
      </w:pPr>
    </w:p>
    <w:p>
      <w:pPr>
        <w:ind w:left="340" w:hanging="188"/>
        <w:spacing w:after="0"/>
        <w:tabs>
          <w:tab w:leader="none" w:pos="340" w:val="left"/>
        </w:tabs>
        <w:numPr>
          <w:ilvl w:val="0"/>
          <w:numId w:val="75"/>
        </w:numPr>
        <w:rPr>
          <w:rFonts w:ascii="Arial" w:cs="Arial" w:eastAsia="Arial" w:hAnsi="Arial"/>
          <w:sz w:val="18"/>
          <w:szCs w:val="18"/>
          <w:color w:val="auto"/>
        </w:rPr>
      </w:pPr>
      <w:r>
        <w:rPr>
          <w:rFonts w:ascii="Arial" w:cs="Arial" w:eastAsia="Arial" w:hAnsi="Arial"/>
          <w:sz w:val="18"/>
          <w:szCs w:val="18"/>
          <w:color w:val="auto"/>
        </w:rPr>
        <w:t>$14 million higher expenses at Otay Mesa VIE;</w:t>
      </w:r>
    </w:p>
    <w:p>
      <w:pPr>
        <w:spacing w:after="0" w:line="252" w:lineRule="exact"/>
        <w:rPr>
          <w:rFonts w:ascii="Arial" w:cs="Arial" w:eastAsia="Arial" w:hAnsi="Arial"/>
          <w:sz w:val="18"/>
          <w:szCs w:val="18"/>
          <w:color w:val="auto"/>
        </w:rPr>
      </w:pPr>
    </w:p>
    <w:p>
      <w:pPr>
        <w:ind w:left="340" w:hanging="188"/>
        <w:spacing w:after="0"/>
        <w:tabs>
          <w:tab w:leader="none" w:pos="340" w:val="left"/>
        </w:tabs>
        <w:numPr>
          <w:ilvl w:val="0"/>
          <w:numId w:val="75"/>
        </w:numPr>
        <w:rPr>
          <w:rFonts w:ascii="Arial" w:cs="Arial" w:eastAsia="Arial" w:hAnsi="Arial"/>
          <w:sz w:val="18"/>
          <w:szCs w:val="18"/>
          <w:color w:val="auto"/>
        </w:rPr>
      </w:pPr>
      <w:r>
        <w:rPr>
          <w:rFonts w:ascii="Arial" w:cs="Arial" w:eastAsia="Arial" w:hAnsi="Arial"/>
          <w:sz w:val="18"/>
          <w:szCs w:val="18"/>
          <w:color w:val="auto"/>
        </w:rPr>
        <w:t>$9 million of expenses associated with litigation matters; and</w:t>
      </w:r>
    </w:p>
    <w:p>
      <w:pPr>
        <w:spacing w:after="0" w:line="252" w:lineRule="exact"/>
        <w:rPr>
          <w:rFonts w:ascii="Arial" w:cs="Arial" w:eastAsia="Arial" w:hAnsi="Arial"/>
          <w:sz w:val="18"/>
          <w:szCs w:val="18"/>
          <w:color w:val="auto"/>
        </w:rPr>
      </w:pPr>
    </w:p>
    <w:p>
      <w:pPr>
        <w:ind w:left="340" w:hanging="188"/>
        <w:spacing w:after="0"/>
        <w:tabs>
          <w:tab w:leader="none" w:pos="340" w:val="left"/>
        </w:tabs>
        <w:numPr>
          <w:ilvl w:val="0"/>
          <w:numId w:val="75"/>
        </w:numPr>
        <w:rPr>
          <w:rFonts w:ascii="Arial" w:cs="Arial" w:eastAsia="Arial" w:hAnsi="Arial"/>
          <w:sz w:val="18"/>
          <w:szCs w:val="18"/>
          <w:color w:val="auto"/>
        </w:rPr>
      </w:pPr>
      <w:r>
        <w:rPr>
          <w:rFonts w:ascii="Arial" w:cs="Arial" w:eastAsia="Arial" w:hAnsi="Arial"/>
          <w:sz w:val="18"/>
          <w:szCs w:val="18"/>
          <w:color w:val="auto"/>
        </w:rPr>
        <w:t>$7 million increase in liability insurance premiums for wildfire coverage.</w:t>
      </w:r>
    </w:p>
    <w:p>
      <w:pPr>
        <w:spacing w:after="0" w:line="252" w:lineRule="exact"/>
        <w:rPr>
          <w:sz w:val="20"/>
          <w:szCs w:val="20"/>
          <w:color w:val="auto"/>
        </w:rPr>
      </w:pPr>
    </w:p>
    <w:p>
      <w:pPr>
        <w:spacing w:after="0"/>
        <w:rPr>
          <w:sz w:val="20"/>
          <w:szCs w:val="20"/>
          <w:color w:val="auto"/>
        </w:rPr>
      </w:pPr>
      <w:r>
        <w:rPr>
          <w:rFonts w:ascii="Arial" w:cs="Arial" w:eastAsia="Arial" w:hAnsi="Arial"/>
          <w:sz w:val="17"/>
          <w:szCs w:val="17"/>
          <w:color w:val="auto"/>
        </w:rPr>
        <w:t>For the six months ended June 30, 2011, SDG&amp;E's operation and maintenance expenses increased by $32 million (7%) to $501 million primarily due to:</w:t>
      </w:r>
    </w:p>
    <w:p>
      <w:pPr>
        <w:spacing w:after="0" w:line="237" w:lineRule="exact"/>
        <w:rPr>
          <w:sz w:val="20"/>
          <w:szCs w:val="20"/>
          <w:color w:val="auto"/>
        </w:rPr>
      </w:pPr>
    </w:p>
    <w:p>
      <w:pPr>
        <w:ind w:left="340" w:hanging="188"/>
        <w:spacing w:after="0"/>
        <w:tabs>
          <w:tab w:leader="none" w:pos="340" w:val="left"/>
        </w:tabs>
        <w:numPr>
          <w:ilvl w:val="0"/>
          <w:numId w:val="76"/>
        </w:numPr>
        <w:rPr>
          <w:rFonts w:ascii="Arial" w:cs="Arial" w:eastAsia="Arial" w:hAnsi="Arial"/>
          <w:sz w:val="18"/>
          <w:szCs w:val="18"/>
          <w:color w:val="auto"/>
        </w:rPr>
      </w:pPr>
      <w:r>
        <w:rPr>
          <w:rFonts w:ascii="Arial" w:cs="Arial" w:eastAsia="Arial" w:hAnsi="Arial"/>
          <w:sz w:val="18"/>
          <w:szCs w:val="18"/>
          <w:color w:val="auto"/>
        </w:rPr>
        <w:t>$15 million increase in liability insurance premiums for wildfire coverage;</w:t>
      </w:r>
    </w:p>
    <w:p>
      <w:pPr>
        <w:spacing w:after="0" w:line="252" w:lineRule="exact"/>
        <w:rPr>
          <w:rFonts w:ascii="Arial" w:cs="Arial" w:eastAsia="Arial" w:hAnsi="Arial"/>
          <w:sz w:val="18"/>
          <w:szCs w:val="18"/>
          <w:color w:val="auto"/>
        </w:rPr>
      </w:pPr>
    </w:p>
    <w:p>
      <w:pPr>
        <w:ind w:left="340" w:hanging="188"/>
        <w:spacing w:after="0"/>
        <w:tabs>
          <w:tab w:leader="none" w:pos="340" w:val="left"/>
        </w:tabs>
        <w:numPr>
          <w:ilvl w:val="0"/>
          <w:numId w:val="76"/>
        </w:numPr>
        <w:rPr>
          <w:rFonts w:ascii="Arial" w:cs="Arial" w:eastAsia="Arial" w:hAnsi="Arial"/>
          <w:sz w:val="18"/>
          <w:szCs w:val="18"/>
          <w:color w:val="auto"/>
        </w:rPr>
      </w:pPr>
      <w:r>
        <w:rPr>
          <w:rFonts w:ascii="Arial" w:cs="Arial" w:eastAsia="Arial" w:hAnsi="Arial"/>
          <w:sz w:val="18"/>
          <w:szCs w:val="18"/>
          <w:color w:val="auto"/>
        </w:rPr>
        <w:t>$13 million higher expenses at Otay Mesa VIE; and</w:t>
      </w:r>
    </w:p>
    <w:p>
      <w:pPr>
        <w:spacing w:after="0" w:line="252" w:lineRule="exact"/>
        <w:rPr>
          <w:rFonts w:ascii="Arial" w:cs="Arial" w:eastAsia="Arial" w:hAnsi="Arial"/>
          <w:sz w:val="18"/>
          <w:szCs w:val="18"/>
          <w:color w:val="auto"/>
        </w:rPr>
      </w:pPr>
    </w:p>
    <w:p>
      <w:pPr>
        <w:ind w:left="340" w:hanging="188"/>
        <w:spacing w:after="0"/>
        <w:tabs>
          <w:tab w:leader="none" w:pos="340" w:val="left"/>
        </w:tabs>
        <w:numPr>
          <w:ilvl w:val="0"/>
          <w:numId w:val="76"/>
        </w:numPr>
        <w:rPr>
          <w:rFonts w:ascii="Arial" w:cs="Arial" w:eastAsia="Arial" w:hAnsi="Arial"/>
          <w:sz w:val="18"/>
          <w:szCs w:val="18"/>
          <w:color w:val="auto"/>
        </w:rPr>
      </w:pPr>
      <w:r>
        <w:rPr>
          <w:rFonts w:ascii="Arial" w:cs="Arial" w:eastAsia="Arial" w:hAnsi="Arial"/>
          <w:sz w:val="18"/>
          <w:szCs w:val="18"/>
          <w:color w:val="auto"/>
        </w:rPr>
        <w:t>$5 million higher expenses associated with litigation matters.</w:t>
      </w: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Remeasurement of Equity Method Investments</w:t>
      </w:r>
    </w:p>
    <w:p>
      <w:pPr>
        <w:spacing w:after="0" w:line="205" w:lineRule="exact"/>
        <w:rPr>
          <w:sz w:val="20"/>
          <w:szCs w:val="20"/>
          <w:color w:val="auto"/>
        </w:rPr>
      </w:pPr>
    </w:p>
    <w:p>
      <w:pPr>
        <w:ind w:right="480"/>
        <w:spacing w:after="0" w:line="259" w:lineRule="auto"/>
        <w:rPr>
          <w:sz w:val="20"/>
          <w:szCs w:val="20"/>
          <w:color w:val="auto"/>
        </w:rPr>
      </w:pPr>
      <w:r>
        <w:rPr>
          <w:rFonts w:ascii="Arial" w:cs="Arial" w:eastAsia="Arial" w:hAnsi="Arial"/>
          <w:sz w:val="18"/>
          <w:szCs w:val="18"/>
          <w:color w:val="auto"/>
        </w:rPr>
        <w:t>In the three months and six months ended June 30, 2011, we recorded a $277 million gain from the remeasurement of our equity method investments in Chilquinta Energía in Chile and Luz del Sur in Peru. As we discuss in Note 3 of the Notes to Condensed Consolidated Financial Statements herein, we calculated the gain as the difference between the acquisition-date fair value ($882 million) and the book value ($605 million) of our equity interests in Chilquinta Energía and Luz del Sur immediately prior to the acquisition date.</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Other Income (Expense), Net</w:t>
      </w:r>
    </w:p>
    <w:p>
      <w:pPr>
        <w:spacing w:after="0" w:line="202"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Sempra Energy Consolidated</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In the three months ended June 30, 2011, other income, net, increased by $23 million to $31 million primarily due to:</w:t>
      </w:r>
    </w:p>
    <w:p>
      <w:pPr>
        <w:spacing w:after="0" w:line="225" w:lineRule="exact"/>
        <w:rPr>
          <w:sz w:val="20"/>
          <w:szCs w:val="20"/>
          <w:color w:val="auto"/>
        </w:rPr>
      </w:pPr>
    </w:p>
    <w:p>
      <w:pPr>
        <w:ind w:left="340" w:hanging="188"/>
        <w:spacing w:after="0" w:line="308" w:lineRule="auto"/>
        <w:tabs>
          <w:tab w:leader="none" w:pos="340" w:val="left"/>
        </w:tabs>
        <w:numPr>
          <w:ilvl w:val="0"/>
          <w:numId w:val="77"/>
        </w:numPr>
        <w:rPr>
          <w:rFonts w:ascii="Arial" w:cs="Arial" w:eastAsia="Arial" w:hAnsi="Arial"/>
          <w:sz w:val="17"/>
          <w:szCs w:val="17"/>
          <w:color w:val="auto"/>
        </w:rPr>
      </w:pPr>
      <w:r>
        <w:rPr>
          <w:rFonts w:ascii="Arial" w:cs="Arial" w:eastAsia="Arial" w:hAnsi="Arial"/>
          <w:sz w:val="17"/>
          <w:szCs w:val="17"/>
          <w:color w:val="auto"/>
        </w:rPr>
        <w:t>$2 million of gains on interest rate and foreign exchange instruments in 2011 compared to $14 million of losses in 2010 (including $25 million losses on interest rate instruments at Otay Mesa VIE, offset by $10 million of gain on an interest rate instrument at Parent and Other);</w:t>
      </w:r>
    </w:p>
    <w:p>
      <w:pPr>
        <w:spacing w:after="0" w:line="173" w:lineRule="exact"/>
        <w:rPr>
          <w:rFonts w:ascii="Arial" w:cs="Arial" w:eastAsia="Arial" w:hAnsi="Arial"/>
          <w:sz w:val="17"/>
          <w:szCs w:val="17"/>
          <w:color w:val="auto"/>
        </w:rPr>
      </w:pPr>
    </w:p>
    <w:p>
      <w:pPr>
        <w:ind w:left="340" w:hanging="188"/>
        <w:spacing w:after="0"/>
        <w:tabs>
          <w:tab w:leader="none" w:pos="340" w:val="left"/>
        </w:tabs>
        <w:numPr>
          <w:ilvl w:val="0"/>
          <w:numId w:val="77"/>
        </w:numPr>
        <w:rPr>
          <w:rFonts w:ascii="Arial" w:cs="Arial" w:eastAsia="Arial" w:hAnsi="Arial"/>
          <w:sz w:val="18"/>
          <w:szCs w:val="18"/>
          <w:color w:val="auto"/>
        </w:rPr>
      </w:pPr>
      <w:r>
        <w:rPr>
          <w:rFonts w:ascii="Arial" w:cs="Arial" w:eastAsia="Arial" w:hAnsi="Arial"/>
          <w:sz w:val="18"/>
          <w:szCs w:val="18"/>
          <w:color w:val="auto"/>
        </w:rPr>
        <w:t>$8 million increase in the equity portion of AFUDC attributable to SDG&amp;E; and</w:t>
      </w:r>
    </w:p>
    <w:p>
      <w:pPr>
        <w:spacing w:after="0" w:line="252" w:lineRule="exact"/>
        <w:rPr>
          <w:rFonts w:ascii="Arial" w:cs="Arial" w:eastAsia="Arial" w:hAnsi="Arial"/>
          <w:sz w:val="18"/>
          <w:szCs w:val="18"/>
          <w:color w:val="auto"/>
        </w:rPr>
      </w:pPr>
    </w:p>
    <w:p>
      <w:pPr>
        <w:ind w:left="340" w:hanging="188"/>
        <w:spacing w:after="0"/>
        <w:tabs>
          <w:tab w:leader="none" w:pos="340" w:val="left"/>
        </w:tabs>
        <w:numPr>
          <w:ilvl w:val="0"/>
          <w:numId w:val="77"/>
        </w:numPr>
        <w:rPr>
          <w:rFonts w:ascii="Arial" w:cs="Arial" w:eastAsia="Arial" w:hAnsi="Arial"/>
          <w:sz w:val="18"/>
          <w:szCs w:val="18"/>
          <w:color w:val="auto"/>
        </w:rPr>
      </w:pPr>
      <w:r>
        <w:rPr>
          <w:rFonts w:ascii="Arial" w:cs="Arial" w:eastAsia="Arial" w:hAnsi="Arial"/>
          <w:sz w:val="18"/>
          <w:szCs w:val="18"/>
          <w:color w:val="auto"/>
        </w:rPr>
        <w:t>$9 million higher investment gains on dedicated assets in support of our executive retirement and deferred compensation plans.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In the six months ended June 30, 2011, other income, net, increased by $58 million to $74 million primarily due to:</w:t>
      </w:r>
    </w:p>
    <w:p>
      <w:pPr>
        <w:spacing w:after="0" w:line="225" w:lineRule="exact"/>
        <w:rPr>
          <w:sz w:val="20"/>
          <w:szCs w:val="20"/>
          <w:color w:val="auto"/>
        </w:rPr>
      </w:pPr>
    </w:p>
    <w:p>
      <w:pPr>
        <w:ind w:left="340" w:right="20" w:hanging="188"/>
        <w:spacing w:after="0" w:line="308" w:lineRule="auto"/>
        <w:tabs>
          <w:tab w:leader="none" w:pos="340" w:val="left"/>
        </w:tabs>
        <w:numPr>
          <w:ilvl w:val="0"/>
          <w:numId w:val="78"/>
        </w:numPr>
        <w:rPr>
          <w:rFonts w:ascii="Arial" w:cs="Arial" w:eastAsia="Arial" w:hAnsi="Arial"/>
          <w:sz w:val="17"/>
          <w:szCs w:val="17"/>
          <w:color w:val="auto"/>
        </w:rPr>
      </w:pPr>
      <w:r>
        <w:rPr>
          <w:rFonts w:ascii="Arial" w:cs="Arial" w:eastAsia="Arial" w:hAnsi="Arial"/>
          <w:sz w:val="17"/>
          <w:szCs w:val="17"/>
          <w:color w:val="auto"/>
        </w:rPr>
        <w:t>$12 million of gains on interest rate and foreign exchange instruments in 2011 compared to $23 million of losses in 2010 (including $34 million losses on interest rate instruments at Otay Mesa VIE, offset by $10 million of gain on an interest rate instrument at Parent and Other);</w:t>
      </w:r>
    </w:p>
    <w:p>
      <w:pPr>
        <w:spacing w:after="0" w:line="173" w:lineRule="exact"/>
        <w:rPr>
          <w:rFonts w:ascii="Arial" w:cs="Arial" w:eastAsia="Arial" w:hAnsi="Arial"/>
          <w:sz w:val="17"/>
          <w:szCs w:val="17"/>
          <w:color w:val="auto"/>
        </w:rPr>
      </w:pPr>
    </w:p>
    <w:p>
      <w:pPr>
        <w:ind w:left="340" w:hanging="188"/>
        <w:spacing w:after="0"/>
        <w:tabs>
          <w:tab w:leader="none" w:pos="340" w:val="left"/>
        </w:tabs>
        <w:numPr>
          <w:ilvl w:val="0"/>
          <w:numId w:val="78"/>
        </w:numPr>
        <w:rPr>
          <w:rFonts w:ascii="Arial" w:cs="Arial" w:eastAsia="Arial" w:hAnsi="Arial"/>
          <w:sz w:val="18"/>
          <w:szCs w:val="18"/>
          <w:color w:val="auto"/>
        </w:rPr>
      </w:pPr>
      <w:r>
        <w:rPr>
          <w:rFonts w:ascii="Arial" w:cs="Arial" w:eastAsia="Arial" w:hAnsi="Arial"/>
          <w:sz w:val="18"/>
          <w:szCs w:val="18"/>
          <w:color w:val="auto"/>
        </w:rPr>
        <w:t>$14 million increase in the equity portion of AFUDC attributable to SDG&amp;E; and</w:t>
      </w:r>
    </w:p>
    <w:p>
      <w:pPr>
        <w:sectPr>
          <w:pgSz w:w="11900" w:h="16838" w:orient="portrait"/>
          <w:cols w:equalWidth="0" w:num="1">
            <w:col w:w="11420"/>
          </w:cols>
          <w:pgMar w:left="240" w:top="341" w:right="239" w:bottom="0" w:gutter="0" w:footer="0" w:header="0"/>
        </w:sectPr>
      </w:pPr>
    </w:p>
    <w:bookmarkStart w:id="61" w:name="page62"/>
    <w:bookmarkEnd w:id="61"/>
    <w:p>
      <w:pPr>
        <w:ind w:left="160"/>
        <w:spacing w:after="0"/>
        <w:rPr>
          <w:sz w:val="20"/>
          <w:szCs w:val="20"/>
          <w:color w:val="auto"/>
        </w:rPr>
      </w:pPr>
      <w:r>
        <w:rPr>
          <w:rFonts w:ascii="Arial" w:cs="Arial" w:eastAsia="Arial" w:hAnsi="Arial"/>
          <w:sz w:val="18"/>
          <w:szCs w:val="18"/>
          <w:color w:val="auto"/>
        </w:rPr>
        <w:t>§ $14 million higher investment gains on dedicated assets in support of our executive retirement and deferred compensation plans.</w:t>
      </w:r>
    </w:p>
    <w:p>
      <w:pPr>
        <w:spacing w:after="0" w:line="250"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SDG&amp;E</w:t>
      </w:r>
    </w:p>
    <w:p>
      <w:pPr>
        <w:spacing w:after="0" w:line="205" w:lineRule="exact"/>
        <w:rPr>
          <w:sz w:val="20"/>
          <w:szCs w:val="20"/>
          <w:color w:val="auto"/>
        </w:rPr>
      </w:pPr>
    </w:p>
    <w:p>
      <w:pPr>
        <w:spacing w:after="0"/>
        <w:rPr>
          <w:sz w:val="20"/>
          <w:szCs w:val="20"/>
          <w:color w:val="auto"/>
        </w:rPr>
      </w:pPr>
      <w:r>
        <w:rPr>
          <w:rFonts w:ascii="Arial" w:cs="Arial" w:eastAsia="Arial" w:hAnsi="Arial"/>
          <w:sz w:val="16"/>
          <w:szCs w:val="16"/>
          <w:color w:val="auto"/>
        </w:rPr>
        <w:t>In the three months ended June 30, 2011, other income, net, was $13 million compared to other expense, net, of $16 million in 2010. The change included</w:t>
      </w:r>
    </w:p>
    <w:p>
      <w:pPr>
        <w:spacing w:after="0" w:line="248" w:lineRule="exact"/>
        <w:rPr>
          <w:sz w:val="20"/>
          <w:szCs w:val="20"/>
          <w:color w:val="auto"/>
        </w:rPr>
      </w:pPr>
    </w:p>
    <w:p>
      <w:pPr>
        <w:ind w:left="340" w:hanging="188"/>
        <w:spacing w:after="0"/>
        <w:tabs>
          <w:tab w:leader="none" w:pos="340" w:val="left"/>
        </w:tabs>
        <w:numPr>
          <w:ilvl w:val="0"/>
          <w:numId w:val="79"/>
        </w:numPr>
        <w:rPr>
          <w:rFonts w:ascii="Arial" w:cs="Arial" w:eastAsia="Arial" w:hAnsi="Arial"/>
          <w:sz w:val="18"/>
          <w:szCs w:val="18"/>
          <w:color w:val="auto"/>
        </w:rPr>
      </w:pPr>
      <w:r>
        <w:rPr>
          <w:rFonts w:ascii="Arial" w:cs="Arial" w:eastAsia="Arial" w:hAnsi="Arial"/>
          <w:sz w:val="18"/>
          <w:szCs w:val="18"/>
          <w:color w:val="auto"/>
        </w:rPr>
        <w:t>$25 million of losses on interest rate instruments at Otay Mesa VIE in 2010; and</w:t>
      </w:r>
    </w:p>
    <w:p>
      <w:pPr>
        <w:spacing w:after="0" w:line="252" w:lineRule="exact"/>
        <w:rPr>
          <w:rFonts w:ascii="Arial" w:cs="Arial" w:eastAsia="Arial" w:hAnsi="Arial"/>
          <w:sz w:val="18"/>
          <w:szCs w:val="18"/>
          <w:color w:val="auto"/>
        </w:rPr>
      </w:pPr>
    </w:p>
    <w:p>
      <w:pPr>
        <w:ind w:left="340" w:hanging="188"/>
        <w:spacing w:after="0"/>
        <w:tabs>
          <w:tab w:leader="none" w:pos="340" w:val="left"/>
        </w:tabs>
        <w:numPr>
          <w:ilvl w:val="0"/>
          <w:numId w:val="79"/>
        </w:numPr>
        <w:rPr>
          <w:rFonts w:ascii="Arial" w:cs="Arial" w:eastAsia="Arial" w:hAnsi="Arial"/>
          <w:sz w:val="18"/>
          <w:szCs w:val="18"/>
          <w:color w:val="auto"/>
        </w:rPr>
      </w:pPr>
      <w:r>
        <w:rPr>
          <w:rFonts w:ascii="Arial" w:cs="Arial" w:eastAsia="Arial" w:hAnsi="Arial"/>
          <w:sz w:val="18"/>
          <w:szCs w:val="18"/>
          <w:color w:val="auto"/>
        </w:rPr>
        <w:t>$8 million increase in the equity portion of AFUDC primarily due to construction on the Sunrise Powerlink project.</w:t>
      </w:r>
    </w:p>
    <w:p>
      <w:pPr>
        <w:spacing w:after="0" w:line="252" w:lineRule="exact"/>
        <w:rPr>
          <w:sz w:val="20"/>
          <w:szCs w:val="20"/>
          <w:color w:val="auto"/>
        </w:rPr>
      </w:pPr>
    </w:p>
    <w:p>
      <w:pPr>
        <w:spacing w:after="0"/>
        <w:rPr>
          <w:sz w:val="20"/>
          <w:szCs w:val="20"/>
          <w:color w:val="auto"/>
        </w:rPr>
      </w:pPr>
      <w:r>
        <w:rPr>
          <w:rFonts w:ascii="Arial" w:cs="Arial" w:eastAsia="Arial" w:hAnsi="Arial"/>
          <w:sz w:val="16"/>
          <w:szCs w:val="16"/>
          <w:color w:val="auto"/>
        </w:rPr>
        <w:t>For the six months ended June 30, 2011, other income, net, was $29 million compared to other expense, net, of $16 million in 2010. The change included</w:t>
      </w:r>
    </w:p>
    <w:p>
      <w:pPr>
        <w:spacing w:after="0" w:line="248" w:lineRule="exact"/>
        <w:rPr>
          <w:sz w:val="20"/>
          <w:szCs w:val="20"/>
          <w:color w:val="auto"/>
        </w:rPr>
      </w:pPr>
    </w:p>
    <w:p>
      <w:pPr>
        <w:ind w:left="340" w:hanging="188"/>
        <w:spacing w:after="0"/>
        <w:tabs>
          <w:tab w:leader="none" w:pos="340" w:val="left"/>
        </w:tabs>
        <w:numPr>
          <w:ilvl w:val="0"/>
          <w:numId w:val="80"/>
        </w:numPr>
        <w:rPr>
          <w:rFonts w:ascii="Arial" w:cs="Arial" w:eastAsia="Arial" w:hAnsi="Arial"/>
          <w:sz w:val="18"/>
          <w:szCs w:val="18"/>
          <w:color w:val="auto"/>
        </w:rPr>
      </w:pPr>
      <w:r>
        <w:rPr>
          <w:rFonts w:ascii="Arial" w:cs="Arial" w:eastAsia="Arial" w:hAnsi="Arial"/>
          <w:sz w:val="18"/>
          <w:szCs w:val="18"/>
          <w:color w:val="auto"/>
        </w:rPr>
        <w:t>$34 million of losses on interest rate instruments at Otay Mesa VIE in 2010; and</w:t>
      </w:r>
    </w:p>
    <w:p>
      <w:pPr>
        <w:spacing w:after="0" w:line="252" w:lineRule="exact"/>
        <w:rPr>
          <w:rFonts w:ascii="Arial" w:cs="Arial" w:eastAsia="Arial" w:hAnsi="Arial"/>
          <w:sz w:val="18"/>
          <w:szCs w:val="18"/>
          <w:color w:val="auto"/>
        </w:rPr>
      </w:pPr>
    </w:p>
    <w:p>
      <w:pPr>
        <w:ind w:left="340" w:hanging="188"/>
        <w:spacing w:after="0"/>
        <w:tabs>
          <w:tab w:leader="none" w:pos="340" w:val="left"/>
        </w:tabs>
        <w:numPr>
          <w:ilvl w:val="0"/>
          <w:numId w:val="80"/>
        </w:numPr>
        <w:rPr>
          <w:rFonts w:ascii="Arial" w:cs="Arial" w:eastAsia="Arial" w:hAnsi="Arial"/>
          <w:sz w:val="18"/>
          <w:szCs w:val="18"/>
          <w:color w:val="auto"/>
        </w:rPr>
      </w:pPr>
      <w:r>
        <w:rPr>
          <w:rFonts w:ascii="Arial" w:cs="Arial" w:eastAsia="Arial" w:hAnsi="Arial"/>
          <w:sz w:val="18"/>
          <w:szCs w:val="18"/>
          <w:color w:val="auto"/>
        </w:rPr>
        <w:t>$14 million increase in the equity portion of AFUDC primarily due to construction on the Sunrise Powerlink project.</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Income Taxes</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shows the income tax expense and effective income tax rates for Sempra Energy, SDG&amp;E and SoCalGas.</w:t>
      </w: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INCOME TAX EXPENSE AND EFFECTIVE INCOME TAX RATES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-104775</wp:posOffset>
            </wp:positionV>
            <wp:extent cx="7246620" cy="22288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46620" cy="222885"/>
                    </a:xfrm>
                    <a:prstGeom prst="rect">
                      <a:avLst/>
                    </a:prstGeom>
                    <a:noFill/>
                  </pic:spPr>
                </pic:pic>
              </a:graphicData>
            </a:graphic>
          </wp:anchor>
        </w:drawing>
      </w:r>
    </w:p>
    <w:p>
      <w:pPr>
        <w:spacing w:after="0" w:line="8"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(Dollars in millions)</w:t>
      </w:r>
    </w:p>
    <w:tbl>
      <w:tblPr>
        <w:tblLayout w:type="fixed"/>
        <w:tblInd w:w="0" w:type="dxa"/>
        <w:tblCellMar>
          <w:top w:w="0" w:type="dxa"/>
          <w:left w:w="0" w:type="dxa"/>
          <w:bottom w:w="0" w:type="dxa"/>
          <w:right w:w="0" w:type="dxa"/>
        </w:tblCellMar>
      </w:tblPr>
      <w:tr>
        <w:trPr>
          <w:trHeight w:val="165"/>
        </w:trPr>
        <w:tc>
          <w:tcPr>
            <w:tcW w:w="20" w:type="dxa"/>
            <w:vAlign w:val="bottom"/>
          </w:tcPr>
          <w:p>
            <w:pPr>
              <w:spacing w:after="0"/>
              <w:rPr>
                <w:sz w:val="14"/>
                <w:szCs w:val="14"/>
                <w:color w:val="auto"/>
              </w:rPr>
            </w:pPr>
          </w:p>
        </w:tc>
        <w:tc>
          <w:tcPr>
            <w:tcW w:w="3480" w:type="dxa"/>
            <w:vAlign w:val="bottom"/>
          </w:tcPr>
          <w:p>
            <w:pPr>
              <w:spacing w:after="0"/>
              <w:rPr>
                <w:sz w:val="14"/>
                <w:szCs w:val="14"/>
                <w:color w:val="auto"/>
              </w:rPr>
            </w:pPr>
          </w:p>
        </w:tc>
        <w:tc>
          <w:tcPr>
            <w:tcW w:w="1520" w:type="dxa"/>
            <w:vAlign w:val="bottom"/>
            <w:tcBorders>
              <w:bottom w:val="single" w:sz="8" w:color="auto"/>
            </w:tcBorders>
          </w:tcPr>
          <w:p>
            <w:pPr>
              <w:spacing w:after="0"/>
              <w:rPr>
                <w:sz w:val="14"/>
                <w:szCs w:val="14"/>
                <w:color w:val="auto"/>
              </w:rPr>
            </w:pPr>
          </w:p>
        </w:tc>
        <w:tc>
          <w:tcPr>
            <w:tcW w:w="3940" w:type="dxa"/>
            <w:vAlign w:val="bottom"/>
            <w:tcBorders>
              <w:bottom w:val="single" w:sz="8" w:color="auto"/>
            </w:tcBorders>
            <w:gridSpan w:val="3"/>
          </w:tcPr>
          <w:p>
            <w:pPr>
              <w:jc w:val="right"/>
              <w:ind w:right="305"/>
              <w:spacing w:after="0" w:line="159" w:lineRule="exact"/>
              <w:rPr>
                <w:sz w:val="20"/>
                <w:szCs w:val="20"/>
                <w:color w:val="auto"/>
              </w:rPr>
            </w:pPr>
            <w:r>
              <w:rPr>
                <w:rFonts w:ascii="Arial" w:cs="Arial" w:eastAsia="Arial" w:hAnsi="Arial"/>
                <w:sz w:val="14"/>
                <w:szCs w:val="14"/>
                <w:color w:val="auto"/>
              </w:rPr>
              <w:t>Three months ended June 30,</w:t>
            </w:r>
          </w:p>
        </w:tc>
        <w:tc>
          <w:tcPr>
            <w:tcW w:w="380" w:type="dxa"/>
            <w:vAlign w:val="bottom"/>
            <w:tcBorders>
              <w:bottom w:val="single" w:sz="8" w:color="auto"/>
            </w:tcBorders>
          </w:tcPr>
          <w:p>
            <w:pPr>
              <w:spacing w:after="0"/>
              <w:rPr>
                <w:sz w:val="14"/>
                <w:szCs w:val="14"/>
                <w:color w:val="auto"/>
              </w:rPr>
            </w:pPr>
          </w:p>
        </w:tc>
        <w:tc>
          <w:tcPr>
            <w:tcW w:w="2080" w:type="dxa"/>
            <w:vAlign w:val="bottom"/>
            <w:tcBorders>
              <w:bottom w:val="single" w:sz="8" w:color="auto"/>
            </w:tcBorders>
          </w:tcPr>
          <w:p>
            <w:pPr>
              <w:spacing w:after="0"/>
              <w:rPr>
                <w:sz w:val="14"/>
                <w:szCs w:val="14"/>
                <w:color w:val="auto"/>
              </w:rPr>
            </w:pPr>
          </w:p>
        </w:tc>
      </w:tr>
      <w:tr>
        <w:trPr>
          <w:trHeight w:val="169"/>
        </w:trPr>
        <w:tc>
          <w:tcPr>
            <w:tcW w:w="20" w:type="dxa"/>
            <w:vAlign w:val="bottom"/>
          </w:tcPr>
          <w:p>
            <w:pPr>
              <w:spacing w:after="0"/>
              <w:rPr>
                <w:sz w:val="14"/>
                <w:szCs w:val="14"/>
                <w:color w:val="auto"/>
              </w:rPr>
            </w:pPr>
          </w:p>
        </w:tc>
        <w:tc>
          <w:tcPr>
            <w:tcW w:w="3480" w:type="dxa"/>
            <w:vAlign w:val="bottom"/>
          </w:tcPr>
          <w:p>
            <w:pPr>
              <w:spacing w:after="0"/>
              <w:rPr>
                <w:sz w:val="14"/>
                <w:szCs w:val="14"/>
                <w:color w:val="auto"/>
              </w:rPr>
            </w:pPr>
          </w:p>
        </w:tc>
        <w:tc>
          <w:tcPr>
            <w:tcW w:w="1520" w:type="dxa"/>
            <w:vAlign w:val="bottom"/>
            <w:tcBorders>
              <w:bottom w:val="single" w:sz="8" w:color="auto"/>
            </w:tcBorders>
          </w:tcPr>
          <w:p>
            <w:pPr>
              <w:spacing w:after="0"/>
              <w:rPr>
                <w:sz w:val="14"/>
                <w:szCs w:val="14"/>
                <w:color w:val="auto"/>
              </w:rPr>
            </w:pPr>
          </w:p>
        </w:tc>
        <w:tc>
          <w:tcPr>
            <w:tcW w:w="1700" w:type="dxa"/>
            <w:vAlign w:val="bottom"/>
            <w:tcBorders>
              <w:bottom w:val="single" w:sz="8" w:color="auto"/>
            </w:tcBorders>
          </w:tcPr>
          <w:p>
            <w:pPr>
              <w:jc w:val="right"/>
              <w:ind w:right="884"/>
              <w:spacing w:after="0"/>
              <w:rPr>
                <w:sz w:val="20"/>
                <w:szCs w:val="20"/>
                <w:color w:val="auto"/>
              </w:rPr>
            </w:pPr>
            <w:r>
              <w:rPr>
                <w:rFonts w:ascii="Arial" w:cs="Arial" w:eastAsia="Arial" w:hAnsi="Arial"/>
                <w:sz w:val="14"/>
                <w:szCs w:val="14"/>
                <w:color w:val="auto"/>
              </w:rPr>
              <w:t>2011</w:t>
            </w:r>
          </w:p>
        </w:tc>
        <w:tc>
          <w:tcPr>
            <w:tcW w:w="74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2080" w:type="dxa"/>
            <w:vAlign w:val="bottom"/>
            <w:tcBorders>
              <w:bottom w:val="single" w:sz="8" w:color="auto"/>
            </w:tcBorders>
          </w:tcPr>
          <w:p>
            <w:pPr>
              <w:ind w:left="60"/>
              <w:spacing w:after="0"/>
              <w:rPr>
                <w:sz w:val="20"/>
                <w:szCs w:val="20"/>
                <w:color w:val="auto"/>
              </w:rPr>
            </w:pPr>
            <w:r>
              <w:rPr>
                <w:rFonts w:ascii="Arial" w:cs="Arial" w:eastAsia="Arial" w:hAnsi="Arial"/>
                <w:sz w:val="14"/>
                <w:szCs w:val="14"/>
                <w:color w:val="auto"/>
              </w:rPr>
              <w:t>2010</w:t>
            </w:r>
          </w:p>
        </w:tc>
      </w:tr>
      <w:tr>
        <w:trPr>
          <w:trHeight w:val="191"/>
        </w:trPr>
        <w:tc>
          <w:tcPr>
            <w:tcW w:w="20" w:type="dxa"/>
            <w:vAlign w:val="bottom"/>
          </w:tcPr>
          <w:p>
            <w:pPr>
              <w:spacing w:after="0"/>
              <w:rPr>
                <w:sz w:val="16"/>
                <w:szCs w:val="16"/>
                <w:color w:val="auto"/>
              </w:rPr>
            </w:pPr>
          </w:p>
        </w:tc>
        <w:tc>
          <w:tcPr>
            <w:tcW w:w="3480" w:type="dxa"/>
            <w:vAlign w:val="bottom"/>
          </w:tcPr>
          <w:p>
            <w:pPr>
              <w:spacing w:after="0"/>
              <w:rPr>
                <w:sz w:val="16"/>
                <w:szCs w:val="16"/>
                <w:color w:val="auto"/>
              </w:rPr>
            </w:pPr>
          </w:p>
        </w:tc>
        <w:tc>
          <w:tcPr>
            <w:tcW w:w="1520" w:type="dxa"/>
            <w:vAlign w:val="bottom"/>
          </w:tcPr>
          <w:p>
            <w:pPr>
              <w:jc w:val="center"/>
              <w:ind w:left="605"/>
              <w:spacing w:after="0"/>
              <w:rPr>
                <w:sz w:val="20"/>
                <w:szCs w:val="20"/>
                <w:color w:val="auto"/>
              </w:rPr>
            </w:pPr>
            <w:r>
              <w:rPr>
                <w:rFonts w:ascii="Arial" w:cs="Arial" w:eastAsia="Arial" w:hAnsi="Arial"/>
                <w:sz w:val="14"/>
                <w:szCs w:val="14"/>
                <w:color w:val="auto"/>
                <w:w w:val="98"/>
              </w:rPr>
              <w:t>Income Tax</w:t>
            </w:r>
          </w:p>
        </w:tc>
        <w:tc>
          <w:tcPr>
            <w:tcW w:w="2440" w:type="dxa"/>
            <w:vAlign w:val="bottom"/>
            <w:gridSpan w:val="2"/>
          </w:tcPr>
          <w:p>
            <w:pPr>
              <w:jc w:val="center"/>
              <w:ind w:left="264"/>
              <w:spacing w:after="0"/>
              <w:rPr>
                <w:sz w:val="20"/>
                <w:szCs w:val="20"/>
                <w:color w:val="auto"/>
              </w:rPr>
            </w:pPr>
            <w:r>
              <w:rPr>
                <w:rFonts w:ascii="Arial" w:cs="Arial" w:eastAsia="Arial" w:hAnsi="Arial"/>
                <w:sz w:val="14"/>
                <w:szCs w:val="14"/>
                <w:color w:val="auto"/>
              </w:rPr>
              <w:t>Effective Income</w:t>
            </w:r>
          </w:p>
        </w:tc>
        <w:tc>
          <w:tcPr>
            <w:tcW w:w="1500" w:type="dxa"/>
            <w:vAlign w:val="bottom"/>
          </w:tcPr>
          <w:p>
            <w:pPr>
              <w:jc w:val="center"/>
              <w:ind w:left="565"/>
              <w:spacing w:after="0"/>
              <w:rPr>
                <w:sz w:val="20"/>
                <w:szCs w:val="20"/>
                <w:color w:val="auto"/>
              </w:rPr>
            </w:pPr>
            <w:r>
              <w:rPr>
                <w:rFonts w:ascii="Arial" w:cs="Arial" w:eastAsia="Arial" w:hAnsi="Arial"/>
                <w:sz w:val="14"/>
                <w:szCs w:val="14"/>
                <w:color w:val="auto"/>
              </w:rPr>
              <w:t>Income Tax</w:t>
            </w:r>
          </w:p>
        </w:tc>
        <w:tc>
          <w:tcPr>
            <w:tcW w:w="380" w:type="dxa"/>
            <w:vAlign w:val="bottom"/>
          </w:tcPr>
          <w:p>
            <w:pPr>
              <w:spacing w:after="0"/>
              <w:rPr>
                <w:sz w:val="16"/>
                <w:szCs w:val="16"/>
                <w:color w:val="auto"/>
              </w:rPr>
            </w:pPr>
          </w:p>
        </w:tc>
        <w:tc>
          <w:tcPr>
            <w:tcW w:w="2080" w:type="dxa"/>
            <w:vAlign w:val="bottom"/>
          </w:tcPr>
          <w:p>
            <w:pPr>
              <w:jc w:val="center"/>
              <w:spacing w:after="0"/>
              <w:rPr>
                <w:sz w:val="20"/>
                <w:szCs w:val="20"/>
                <w:color w:val="auto"/>
              </w:rPr>
            </w:pPr>
            <w:r>
              <w:rPr>
                <w:rFonts w:ascii="Arial" w:cs="Arial" w:eastAsia="Arial" w:hAnsi="Arial"/>
                <w:sz w:val="14"/>
                <w:szCs w:val="14"/>
                <w:color w:val="auto"/>
              </w:rPr>
              <w:t>Effective Income</w:t>
            </w:r>
          </w:p>
        </w:tc>
      </w:tr>
      <w:tr>
        <w:trPr>
          <w:trHeight w:val="168"/>
        </w:trPr>
        <w:tc>
          <w:tcPr>
            <w:tcW w:w="20" w:type="dxa"/>
            <w:vAlign w:val="bottom"/>
          </w:tcPr>
          <w:p>
            <w:pPr>
              <w:spacing w:after="0"/>
              <w:rPr>
                <w:sz w:val="14"/>
                <w:szCs w:val="14"/>
                <w:color w:val="auto"/>
              </w:rPr>
            </w:pPr>
          </w:p>
        </w:tc>
        <w:tc>
          <w:tcPr>
            <w:tcW w:w="348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tcPr>
          <w:p>
            <w:pPr>
              <w:jc w:val="center"/>
              <w:ind w:left="605"/>
              <w:spacing w:after="0"/>
              <w:rPr>
                <w:sz w:val="20"/>
                <w:szCs w:val="20"/>
                <w:color w:val="auto"/>
              </w:rPr>
            </w:pPr>
            <w:r>
              <w:rPr>
                <w:rFonts w:ascii="Arial" w:cs="Arial" w:eastAsia="Arial" w:hAnsi="Arial"/>
                <w:sz w:val="14"/>
                <w:szCs w:val="14"/>
                <w:color w:val="auto"/>
              </w:rPr>
              <w:t>Expense</w:t>
            </w:r>
          </w:p>
        </w:tc>
        <w:tc>
          <w:tcPr>
            <w:tcW w:w="1700" w:type="dxa"/>
            <w:vAlign w:val="bottom"/>
            <w:tcBorders>
              <w:bottom w:val="single" w:sz="8" w:color="auto"/>
            </w:tcBorders>
          </w:tcPr>
          <w:p>
            <w:pPr>
              <w:jc w:val="center"/>
              <w:ind w:left="1024"/>
              <w:spacing w:after="0"/>
              <w:rPr>
                <w:sz w:val="20"/>
                <w:szCs w:val="20"/>
                <w:color w:val="auto"/>
              </w:rPr>
            </w:pPr>
            <w:r>
              <w:rPr>
                <w:rFonts w:ascii="Arial" w:cs="Arial" w:eastAsia="Arial" w:hAnsi="Arial"/>
                <w:sz w:val="14"/>
                <w:szCs w:val="14"/>
                <w:color w:val="auto"/>
                <w:w w:val="98"/>
              </w:rPr>
              <w:t>Tax Rate</w:t>
            </w:r>
          </w:p>
        </w:tc>
        <w:tc>
          <w:tcPr>
            <w:tcW w:w="74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tcPr>
          <w:p>
            <w:pPr>
              <w:jc w:val="center"/>
              <w:ind w:left="585"/>
              <w:spacing w:after="0"/>
              <w:rPr>
                <w:sz w:val="20"/>
                <w:szCs w:val="20"/>
                <w:color w:val="auto"/>
              </w:rPr>
            </w:pPr>
            <w:r>
              <w:rPr>
                <w:rFonts w:ascii="Arial" w:cs="Arial" w:eastAsia="Arial" w:hAnsi="Arial"/>
                <w:sz w:val="14"/>
                <w:szCs w:val="14"/>
                <w:color w:val="auto"/>
              </w:rPr>
              <w:t>Expense</w:t>
            </w:r>
          </w:p>
        </w:tc>
        <w:tc>
          <w:tcPr>
            <w:tcW w:w="380" w:type="dxa"/>
            <w:vAlign w:val="bottom"/>
            <w:tcBorders>
              <w:bottom w:val="single" w:sz="8" w:color="auto"/>
            </w:tcBorders>
          </w:tcPr>
          <w:p>
            <w:pPr>
              <w:spacing w:after="0"/>
              <w:rPr>
                <w:sz w:val="14"/>
                <w:szCs w:val="14"/>
                <w:color w:val="auto"/>
              </w:rPr>
            </w:pPr>
          </w:p>
        </w:tc>
        <w:tc>
          <w:tcPr>
            <w:tcW w:w="20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Tax Rate</w:t>
            </w:r>
          </w:p>
        </w:tc>
      </w:tr>
      <w:tr>
        <w:trPr>
          <w:trHeight w:val="164"/>
        </w:trPr>
        <w:tc>
          <w:tcPr>
            <w:tcW w:w="20" w:type="dxa"/>
            <w:vAlign w:val="bottom"/>
          </w:tcPr>
          <w:p>
            <w:pPr>
              <w:spacing w:after="0"/>
              <w:rPr>
                <w:sz w:val="14"/>
                <w:szCs w:val="14"/>
                <w:color w:val="auto"/>
              </w:rPr>
            </w:pPr>
          </w:p>
        </w:tc>
        <w:tc>
          <w:tcPr>
            <w:tcW w:w="3480" w:type="dxa"/>
            <w:vAlign w:val="bottom"/>
          </w:tcPr>
          <w:p>
            <w:pPr>
              <w:spacing w:after="0" w:line="164" w:lineRule="exact"/>
              <w:rPr>
                <w:sz w:val="20"/>
                <w:szCs w:val="20"/>
                <w:color w:val="auto"/>
              </w:rPr>
            </w:pPr>
            <w:r>
              <w:rPr>
                <w:rFonts w:ascii="Arial" w:cs="Arial" w:eastAsia="Arial" w:hAnsi="Arial"/>
                <w:sz w:val="16"/>
                <w:szCs w:val="16"/>
                <w:color w:val="auto"/>
              </w:rPr>
              <w:t>Sempra Energy Consolidated</w:t>
            </w:r>
          </w:p>
        </w:tc>
        <w:tc>
          <w:tcPr>
            <w:tcW w:w="1520" w:type="dxa"/>
            <w:vAlign w:val="bottom"/>
          </w:tcPr>
          <w:p>
            <w:pPr>
              <w:jc w:val="right"/>
              <w:ind w:right="1145"/>
              <w:spacing w:after="0" w:line="164" w:lineRule="exact"/>
              <w:rPr>
                <w:sz w:val="20"/>
                <w:szCs w:val="20"/>
                <w:color w:val="auto"/>
              </w:rPr>
            </w:pPr>
            <w:r>
              <w:rPr>
                <w:rFonts w:ascii="Arial" w:cs="Arial" w:eastAsia="Arial" w:hAnsi="Arial"/>
                <w:sz w:val="16"/>
                <w:szCs w:val="16"/>
                <w:color w:val="auto"/>
              </w:rPr>
              <w:t>$</w:t>
            </w:r>
          </w:p>
        </w:tc>
        <w:tc>
          <w:tcPr>
            <w:tcW w:w="1700" w:type="dxa"/>
            <w:vAlign w:val="bottom"/>
          </w:tcPr>
          <w:p>
            <w:pPr>
              <w:jc w:val="right"/>
              <w:ind w:right="1284"/>
              <w:spacing w:after="0" w:line="164" w:lineRule="exact"/>
              <w:rPr>
                <w:sz w:val="20"/>
                <w:szCs w:val="20"/>
                <w:color w:val="auto"/>
              </w:rPr>
            </w:pPr>
            <w:r>
              <w:rPr>
                <w:rFonts w:ascii="Arial" w:cs="Arial" w:eastAsia="Arial" w:hAnsi="Arial"/>
                <w:sz w:val="16"/>
                <w:szCs w:val="16"/>
                <w:color w:val="auto"/>
              </w:rPr>
              <w:t>92</w:t>
            </w:r>
          </w:p>
        </w:tc>
        <w:tc>
          <w:tcPr>
            <w:tcW w:w="740" w:type="dxa"/>
            <w:vAlign w:val="bottom"/>
          </w:tcPr>
          <w:p>
            <w:pPr>
              <w:ind w:left="200"/>
              <w:spacing w:after="0" w:line="164" w:lineRule="exact"/>
              <w:rPr>
                <w:sz w:val="20"/>
                <w:szCs w:val="20"/>
                <w:color w:val="auto"/>
              </w:rPr>
            </w:pPr>
            <w:r>
              <w:rPr>
                <w:rFonts w:ascii="Arial" w:cs="Arial" w:eastAsia="Arial" w:hAnsi="Arial"/>
                <w:sz w:val="16"/>
                <w:szCs w:val="16"/>
                <w:color w:val="auto"/>
              </w:rPr>
              <w:t>16 %</w:t>
            </w:r>
          </w:p>
        </w:tc>
        <w:tc>
          <w:tcPr>
            <w:tcW w:w="1500" w:type="dxa"/>
            <w:vAlign w:val="bottom"/>
          </w:tcPr>
          <w:p>
            <w:pPr>
              <w:jc w:val="right"/>
              <w:ind w:right="1145"/>
              <w:spacing w:after="0" w:line="164" w:lineRule="exact"/>
              <w:rPr>
                <w:sz w:val="20"/>
                <w:szCs w:val="20"/>
                <w:color w:val="auto"/>
              </w:rPr>
            </w:pPr>
            <w:r>
              <w:rPr>
                <w:rFonts w:ascii="Arial" w:cs="Arial" w:eastAsia="Arial" w:hAnsi="Arial"/>
                <w:sz w:val="16"/>
                <w:szCs w:val="16"/>
                <w:color w:val="auto"/>
              </w:rPr>
              <w:t>$</w:t>
            </w:r>
          </w:p>
        </w:tc>
        <w:tc>
          <w:tcPr>
            <w:tcW w:w="380" w:type="dxa"/>
            <w:vAlign w:val="bottom"/>
          </w:tcPr>
          <w:p>
            <w:pPr>
              <w:jc w:val="right"/>
              <w:spacing w:after="0" w:line="164" w:lineRule="exact"/>
              <w:rPr>
                <w:sz w:val="20"/>
                <w:szCs w:val="20"/>
                <w:color w:val="auto"/>
              </w:rPr>
            </w:pPr>
            <w:r>
              <w:rPr>
                <w:rFonts w:ascii="Arial" w:cs="Arial" w:eastAsia="Arial" w:hAnsi="Arial"/>
                <w:sz w:val="16"/>
                <w:szCs w:val="16"/>
                <w:color w:val="auto"/>
              </w:rPr>
              <w:t>59</w:t>
            </w:r>
          </w:p>
        </w:tc>
        <w:tc>
          <w:tcPr>
            <w:tcW w:w="2080" w:type="dxa"/>
            <w:vAlign w:val="bottom"/>
          </w:tcPr>
          <w:p>
            <w:pPr>
              <w:ind w:left="1540"/>
              <w:spacing w:after="0" w:line="164" w:lineRule="exact"/>
              <w:rPr>
                <w:sz w:val="20"/>
                <w:szCs w:val="20"/>
                <w:color w:val="auto"/>
              </w:rPr>
            </w:pPr>
            <w:r>
              <w:rPr>
                <w:rFonts w:ascii="Arial" w:cs="Arial" w:eastAsia="Arial" w:hAnsi="Arial"/>
                <w:sz w:val="16"/>
                <w:szCs w:val="16"/>
                <w:color w:val="auto"/>
              </w:rPr>
              <w:t>25 %</w:t>
            </w:r>
          </w:p>
        </w:tc>
      </w:tr>
      <w:tr>
        <w:trPr>
          <w:trHeight w:val="176"/>
        </w:trPr>
        <w:tc>
          <w:tcPr>
            <w:tcW w:w="3500" w:type="dxa"/>
            <w:vAlign w:val="bottom"/>
            <w:gridSpan w:val="2"/>
          </w:tcPr>
          <w:p>
            <w:pPr>
              <w:spacing w:after="0" w:line="176" w:lineRule="exact"/>
              <w:rPr>
                <w:sz w:val="20"/>
                <w:szCs w:val="20"/>
                <w:color w:val="auto"/>
              </w:rPr>
            </w:pPr>
            <w:r>
              <w:rPr>
                <w:rFonts w:ascii="Arial" w:cs="Arial" w:eastAsia="Arial" w:hAnsi="Arial"/>
                <w:sz w:val="16"/>
                <w:szCs w:val="16"/>
                <w:color w:val="auto"/>
              </w:rPr>
              <w:t>SDG&amp;E</w:t>
            </w:r>
          </w:p>
        </w:tc>
        <w:tc>
          <w:tcPr>
            <w:tcW w:w="1520" w:type="dxa"/>
            <w:vAlign w:val="bottom"/>
          </w:tcPr>
          <w:p>
            <w:pPr>
              <w:spacing w:after="0"/>
              <w:rPr>
                <w:sz w:val="15"/>
                <w:szCs w:val="15"/>
                <w:color w:val="auto"/>
              </w:rPr>
            </w:pPr>
          </w:p>
        </w:tc>
        <w:tc>
          <w:tcPr>
            <w:tcW w:w="1700" w:type="dxa"/>
            <w:vAlign w:val="bottom"/>
          </w:tcPr>
          <w:p>
            <w:pPr>
              <w:jc w:val="right"/>
              <w:ind w:right="1284"/>
              <w:spacing w:after="0" w:line="176" w:lineRule="exact"/>
              <w:rPr>
                <w:sz w:val="20"/>
                <w:szCs w:val="20"/>
                <w:color w:val="auto"/>
              </w:rPr>
            </w:pPr>
            <w:r>
              <w:rPr>
                <w:rFonts w:ascii="Arial" w:cs="Arial" w:eastAsia="Arial" w:hAnsi="Arial"/>
                <w:sz w:val="16"/>
                <w:szCs w:val="16"/>
                <w:color w:val="auto"/>
              </w:rPr>
              <w:t>42</w:t>
            </w:r>
          </w:p>
        </w:tc>
        <w:tc>
          <w:tcPr>
            <w:tcW w:w="740" w:type="dxa"/>
            <w:vAlign w:val="bottom"/>
          </w:tcPr>
          <w:p>
            <w:pPr>
              <w:ind w:left="200"/>
              <w:spacing w:after="0" w:line="176" w:lineRule="exact"/>
              <w:rPr>
                <w:sz w:val="20"/>
                <w:szCs w:val="20"/>
                <w:color w:val="auto"/>
              </w:rPr>
            </w:pPr>
            <w:r>
              <w:rPr>
                <w:rFonts w:ascii="Arial" w:cs="Arial" w:eastAsia="Arial" w:hAnsi="Arial"/>
                <w:sz w:val="16"/>
                <w:szCs w:val="16"/>
                <w:color w:val="auto"/>
              </w:rPr>
              <w:t>44</w:t>
            </w:r>
          </w:p>
        </w:tc>
        <w:tc>
          <w:tcPr>
            <w:tcW w:w="1500" w:type="dxa"/>
            <w:vAlign w:val="bottom"/>
          </w:tcPr>
          <w:p>
            <w:pPr>
              <w:spacing w:after="0"/>
              <w:rPr>
                <w:sz w:val="15"/>
                <w:szCs w:val="15"/>
                <w:color w:val="auto"/>
              </w:rPr>
            </w:pPr>
          </w:p>
        </w:tc>
        <w:tc>
          <w:tcPr>
            <w:tcW w:w="380" w:type="dxa"/>
            <w:vAlign w:val="bottom"/>
          </w:tcPr>
          <w:p>
            <w:pPr>
              <w:jc w:val="right"/>
              <w:spacing w:after="0" w:line="176" w:lineRule="exact"/>
              <w:rPr>
                <w:sz w:val="20"/>
                <w:szCs w:val="20"/>
                <w:color w:val="auto"/>
              </w:rPr>
            </w:pPr>
            <w:r>
              <w:rPr>
                <w:rFonts w:ascii="Arial" w:cs="Arial" w:eastAsia="Arial" w:hAnsi="Arial"/>
                <w:sz w:val="16"/>
                <w:szCs w:val="16"/>
                <w:color w:val="auto"/>
              </w:rPr>
              <w:t>44</w:t>
            </w:r>
          </w:p>
        </w:tc>
        <w:tc>
          <w:tcPr>
            <w:tcW w:w="2080" w:type="dxa"/>
            <w:vAlign w:val="bottom"/>
          </w:tcPr>
          <w:p>
            <w:pPr>
              <w:ind w:left="1540"/>
              <w:spacing w:after="0" w:line="176" w:lineRule="exact"/>
              <w:rPr>
                <w:sz w:val="20"/>
                <w:szCs w:val="20"/>
                <w:color w:val="auto"/>
              </w:rPr>
            </w:pPr>
            <w:r>
              <w:rPr>
                <w:rFonts w:ascii="Arial" w:cs="Arial" w:eastAsia="Arial" w:hAnsi="Arial"/>
                <w:sz w:val="16"/>
                <w:szCs w:val="16"/>
                <w:color w:val="auto"/>
              </w:rPr>
              <w:t>44</w:t>
            </w:r>
          </w:p>
        </w:tc>
      </w:tr>
      <w:tr>
        <w:trPr>
          <w:trHeight w:val="194"/>
        </w:trPr>
        <w:tc>
          <w:tcPr>
            <w:tcW w:w="3500" w:type="dxa"/>
            <w:vAlign w:val="bottom"/>
            <w:gridSpan w:val="2"/>
          </w:tcPr>
          <w:p>
            <w:pPr>
              <w:spacing w:after="0"/>
              <w:rPr>
                <w:sz w:val="20"/>
                <w:szCs w:val="20"/>
                <w:color w:val="auto"/>
              </w:rPr>
            </w:pPr>
            <w:r>
              <w:rPr>
                <w:rFonts w:ascii="Arial" w:cs="Arial" w:eastAsia="Arial" w:hAnsi="Arial"/>
                <w:sz w:val="16"/>
                <w:szCs w:val="16"/>
                <w:color w:val="auto"/>
              </w:rPr>
              <w:t>SoCalGas</w:t>
            </w:r>
          </w:p>
        </w:tc>
        <w:tc>
          <w:tcPr>
            <w:tcW w:w="1520" w:type="dxa"/>
            <w:vAlign w:val="bottom"/>
          </w:tcPr>
          <w:p>
            <w:pPr>
              <w:spacing w:after="0"/>
              <w:rPr>
                <w:sz w:val="16"/>
                <w:szCs w:val="16"/>
                <w:color w:val="auto"/>
              </w:rPr>
            </w:pPr>
          </w:p>
        </w:tc>
        <w:tc>
          <w:tcPr>
            <w:tcW w:w="1700" w:type="dxa"/>
            <w:vAlign w:val="bottom"/>
          </w:tcPr>
          <w:p>
            <w:pPr>
              <w:jc w:val="right"/>
              <w:ind w:right="1284"/>
              <w:spacing w:after="0"/>
              <w:rPr>
                <w:sz w:val="20"/>
                <w:szCs w:val="20"/>
                <w:color w:val="auto"/>
              </w:rPr>
            </w:pPr>
            <w:r>
              <w:rPr>
                <w:rFonts w:ascii="Arial" w:cs="Arial" w:eastAsia="Arial" w:hAnsi="Arial"/>
                <w:sz w:val="16"/>
                <w:szCs w:val="16"/>
                <w:color w:val="auto"/>
              </w:rPr>
              <w:t>28</w:t>
            </w:r>
          </w:p>
        </w:tc>
        <w:tc>
          <w:tcPr>
            <w:tcW w:w="740" w:type="dxa"/>
            <w:vAlign w:val="bottom"/>
          </w:tcPr>
          <w:p>
            <w:pPr>
              <w:ind w:left="200"/>
              <w:spacing w:after="0"/>
              <w:rPr>
                <w:sz w:val="20"/>
                <w:szCs w:val="20"/>
                <w:color w:val="auto"/>
              </w:rPr>
            </w:pPr>
            <w:r>
              <w:rPr>
                <w:rFonts w:ascii="Arial" w:cs="Arial" w:eastAsia="Arial" w:hAnsi="Arial"/>
                <w:sz w:val="16"/>
                <w:szCs w:val="16"/>
                <w:color w:val="auto"/>
              </w:rPr>
              <w:t>32</w:t>
            </w:r>
          </w:p>
        </w:tc>
        <w:tc>
          <w:tcPr>
            <w:tcW w:w="1500" w:type="dxa"/>
            <w:vAlign w:val="bottom"/>
          </w:tcPr>
          <w:p>
            <w:pPr>
              <w:spacing w:after="0"/>
              <w:rPr>
                <w:sz w:val="16"/>
                <w:szCs w:val="16"/>
                <w:color w:val="auto"/>
              </w:rPr>
            </w:pPr>
          </w:p>
        </w:tc>
        <w:tc>
          <w:tcPr>
            <w:tcW w:w="380" w:type="dxa"/>
            <w:vAlign w:val="bottom"/>
          </w:tcPr>
          <w:p>
            <w:pPr>
              <w:jc w:val="right"/>
              <w:spacing w:after="0"/>
              <w:rPr>
                <w:sz w:val="20"/>
                <w:szCs w:val="20"/>
                <w:color w:val="auto"/>
              </w:rPr>
            </w:pPr>
            <w:r>
              <w:rPr>
                <w:rFonts w:ascii="Arial" w:cs="Arial" w:eastAsia="Arial" w:hAnsi="Arial"/>
                <w:sz w:val="16"/>
                <w:szCs w:val="16"/>
                <w:color w:val="auto"/>
              </w:rPr>
              <w:t>34</w:t>
            </w:r>
          </w:p>
        </w:tc>
        <w:tc>
          <w:tcPr>
            <w:tcW w:w="2080" w:type="dxa"/>
            <w:vAlign w:val="bottom"/>
          </w:tcPr>
          <w:p>
            <w:pPr>
              <w:ind w:left="1540"/>
              <w:spacing w:after="0"/>
              <w:rPr>
                <w:sz w:val="20"/>
                <w:szCs w:val="20"/>
                <w:color w:val="auto"/>
              </w:rPr>
            </w:pPr>
            <w:r>
              <w:rPr>
                <w:rFonts w:ascii="Arial" w:cs="Arial" w:eastAsia="Arial" w:hAnsi="Arial"/>
                <w:sz w:val="16"/>
                <w:szCs w:val="16"/>
                <w:color w:val="auto"/>
              </w:rPr>
              <w:t>33</w:t>
            </w:r>
          </w:p>
        </w:tc>
      </w:tr>
      <w:tr>
        <w:trPr>
          <w:trHeight w:val="169"/>
        </w:trPr>
        <w:tc>
          <w:tcPr>
            <w:tcW w:w="20" w:type="dxa"/>
            <w:vAlign w:val="bottom"/>
          </w:tcPr>
          <w:p>
            <w:pPr>
              <w:spacing w:after="0"/>
              <w:rPr>
                <w:sz w:val="14"/>
                <w:szCs w:val="14"/>
                <w:color w:val="auto"/>
              </w:rPr>
            </w:pPr>
          </w:p>
        </w:tc>
        <w:tc>
          <w:tcPr>
            <w:tcW w:w="3480" w:type="dxa"/>
            <w:vAlign w:val="bottom"/>
            <w:tcBorders>
              <w:top w:val="single" w:sz="8" w:color="auto"/>
            </w:tcBorders>
          </w:tcPr>
          <w:p>
            <w:pPr>
              <w:spacing w:after="0"/>
              <w:rPr>
                <w:sz w:val="14"/>
                <w:szCs w:val="14"/>
                <w:color w:val="auto"/>
              </w:rPr>
            </w:pPr>
          </w:p>
        </w:tc>
        <w:tc>
          <w:tcPr>
            <w:tcW w:w="1520" w:type="dxa"/>
            <w:vAlign w:val="bottom"/>
            <w:tcBorders>
              <w:top w:val="single" w:sz="8" w:color="auto"/>
              <w:bottom w:val="single" w:sz="8" w:color="auto"/>
            </w:tcBorders>
          </w:tcPr>
          <w:p>
            <w:pPr>
              <w:spacing w:after="0"/>
              <w:rPr>
                <w:sz w:val="14"/>
                <w:szCs w:val="14"/>
                <w:color w:val="auto"/>
              </w:rPr>
            </w:pPr>
          </w:p>
        </w:tc>
        <w:tc>
          <w:tcPr>
            <w:tcW w:w="1700" w:type="dxa"/>
            <w:vAlign w:val="bottom"/>
            <w:tcBorders>
              <w:top w:val="single" w:sz="8" w:color="auto"/>
              <w:bottom w:val="single" w:sz="8" w:color="auto"/>
            </w:tcBorders>
          </w:tcPr>
          <w:p>
            <w:pPr>
              <w:spacing w:after="0"/>
              <w:rPr>
                <w:sz w:val="14"/>
                <w:szCs w:val="14"/>
                <w:color w:val="auto"/>
              </w:rPr>
            </w:pPr>
          </w:p>
        </w:tc>
        <w:tc>
          <w:tcPr>
            <w:tcW w:w="2240" w:type="dxa"/>
            <w:vAlign w:val="bottom"/>
            <w:tcBorders>
              <w:top w:val="single" w:sz="8" w:color="auto"/>
              <w:bottom w:val="single" w:sz="8" w:color="auto"/>
            </w:tcBorders>
            <w:gridSpan w:val="2"/>
          </w:tcPr>
          <w:p>
            <w:pPr>
              <w:ind w:left="20"/>
              <w:spacing w:after="0"/>
              <w:rPr>
                <w:sz w:val="20"/>
                <w:szCs w:val="20"/>
                <w:color w:val="auto"/>
              </w:rPr>
            </w:pPr>
            <w:r>
              <w:rPr>
                <w:rFonts w:ascii="Arial" w:cs="Arial" w:eastAsia="Arial" w:hAnsi="Arial"/>
                <w:sz w:val="14"/>
                <w:szCs w:val="14"/>
                <w:color w:val="auto"/>
              </w:rPr>
              <w:t>Six months ended June 30,</w:t>
            </w:r>
          </w:p>
        </w:tc>
        <w:tc>
          <w:tcPr>
            <w:tcW w:w="380" w:type="dxa"/>
            <w:vAlign w:val="bottom"/>
            <w:tcBorders>
              <w:top w:val="single" w:sz="8" w:color="auto"/>
              <w:bottom w:val="single" w:sz="8" w:color="auto"/>
            </w:tcBorders>
          </w:tcPr>
          <w:p>
            <w:pPr>
              <w:spacing w:after="0"/>
              <w:rPr>
                <w:sz w:val="14"/>
                <w:szCs w:val="14"/>
                <w:color w:val="auto"/>
              </w:rPr>
            </w:pPr>
          </w:p>
        </w:tc>
        <w:tc>
          <w:tcPr>
            <w:tcW w:w="2080" w:type="dxa"/>
            <w:vAlign w:val="bottom"/>
            <w:tcBorders>
              <w:top w:val="single" w:sz="8" w:color="auto"/>
              <w:bottom w:val="single" w:sz="8" w:color="auto"/>
            </w:tcBorders>
          </w:tcPr>
          <w:p>
            <w:pPr>
              <w:spacing w:after="0"/>
              <w:rPr>
                <w:sz w:val="14"/>
                <w:szCs w:val="14"/>
                <w:color w:val="auto"/>
              </w:rPr>
            </w:pPr>
          </w:p>
        </w:tc>
      </w:tr>
      <w:tr>
        <w:trPr>
          <w:trHeight w:val="169"/>
        </w:trPr>
        <w:tc>
          <w:tcPr>
            <w:tcW w:w="20" w:type="dxa"/>
            <w:vAlign w:val="bottom"/>
          </w:tcPr>
          <w:p>
            <w:pPr>
              <w:spacing w:after="0"/>
              <w:rPr>
                <w:sz w:val="14"/>
                <w:szCs w:val="14"/>
                <w:color w:val="auto"/>
              </w:rPr>
            </w:pPr>
          </w:p>
        </w:tc>
        <w:tc>
          <w:tcPr>
            <w:tcW w:w="3480" w:type="dxa"/>
            <w:vAlign w:val="bottom"/>
          </w:tcPr>
          <w:p>
            <w:pPr>
              <w:spacing w:after="0"/>
              <w:rPr>
                <w:sz w:val="14"/>
                <w:szCs w:val="14"/>
                <w:color w:val="auto"/>
              </w:rPr>
            </w:pPr>
          </w:p>
        </w:tc>
        <w:tc>
          <w:tcPr>
            <w:tcW w:w="1520" w:type="dxa"/>
            <w:vAlign w:val="bottom"/>
            <w:tcBorders>
              <w:bottom w:val="single" w:sz="8" w:color="auto"/>
            </w:tcBorders>
          </w:tcPr>
          <w:p>
            <w:pPr>
              <w:spacing w:after="0"/>
              <w:rPr>
                <w:sz w:val="14"/>
                <w:szCs w:val="14"/>
                <w:color w:val="auto"/>
              </w:rPr>
            </w:pPr>
          </w:p>
        </w:tc>
        <w:tc>
          <w:tcPr>
            <w:tcW w:w="1700" w:type="dxa"/>
            <w:vAlign w:val="bottom"/>
            <w:tcBorders>
              <w:bottom w:val="single" w:sz="8" w:color="auto"/>
            </w:tcBorders>
          </w:tcPr>
          <w:p>
            <w:pPr>
              <w:jc w:val="right"/>
              <w:ind w:right="884"/>
              <w:spacing w:after="0"/>
              <w:rPr>
                <w:sz w:val="20"/>
                <w:szCs w:val="20"/>
                <w:color w:val="auto"/>
              </w:rPr>
            </w:pPr>
            <w:r>
              <w:rPr>
                <w:rFonts w:ascii="Arial" w:cs="Arial" w:eastAsia="Arial" w:hAnsi="Arial"/>
                <w:sz w:val="14"/>
                <w:szCs w:val="14"/>
                <w:color w:val="auto"/>
              </w:rPr>
              <w:t>2011</w:t>
            </w:r>
          </w:p>
        </w:tc>
        <w:tc>
          <w:tcPr>
            <w:tcW w:w="74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2080" w:type="dxa"/>
            <w:vAlign w:val="bottom"/>
            <w:tcBorders>
              <w:bottom w:val="single" w:sz="8" w:color="auto"/>
            </w:tcBorders>
          </w:tcPr>
          <w:p>
            <w:pPr>
              <w:ind w:left="60"/>
              <w:spacing w:after="0"/>
              <w:rPr>
                <w:sz w:val="20"/>
                <w:szCs w:val="20"/>
                <w:color w:val="auto"/>
              </w:rPr>
            </w:pPr>
            <w:r>
              <w:rPr>
                <w:rFonts w:ascii="Arial" w:cs="Arial" w:eastAsia="Arial" w:hAnsi="Arial"/>
                <w:sz w:val="14"/>
                <w:szCs w:val="14"/>
                <w:color w:val="auto"/>
              </w:rPr>
              <w:t>2010</w:t>
            </w:r>
          </w:p>
        </w:tc>
      </w:tr>
      <w:tr>
        <w:trPr>
          <w:trHeight w:val="191"/>
        </w:trPr>
        <w:tc>
          <w:tcPr>
            <w:tcW w:w="20" w:type="dxa"/>
            <w:vAlign w:val="bottom"/>
          </w:tcPr>
          <w:p>
            <w:pPr>
              <w:spacing w:after="0"/>
              <w:rPr>
                <w:sz w:val="16"/>
                <w:szCs w:val="16"/>
                <w:color w:val="auto"/>
              </w:rPr>
            </w:pPr>
          </w:p>
        </w:tc>
        <w:tc>
          <w:tcPr>
            <w:tcW w:w="3480" w:type="dxa"/>
            <w:vAlign w:val="bottom"/>
          </w:tcPr>
          <w:p>
            <w:pPr>
              <w:spacing w:after="0"/>
              <w:rPr>
                <w:sz w:val="16"/>
                <w:szCs w:val="16"/>
                <w:color w:val="auto"/>
              </w:rPr>
            </w:pPr>
          </w:p>
        </w:tc>
        <w:tc>
          <w:tcPr>
            <w:tcW w:w="1520" w:type="dxa"/>
            <w:vAlign w:val="bottom"/>
          </w:tcPr>
          <w:p>
            <w:pPr>
              <w:jc w:val="center"/>
              <w:ind w:left="605"/>
              <w:spacing w:after="0"/>
              <w:rPr>
                <w:sz w:val="20"/>
                <w:szCs w:val="20"/>
                <w:color w:val="auto"/>
              </w:rPr>
            </w:pPr>
            <w:r>
              <w:rPr>
                <w:rFonts w:ascii="Arial" w:cs="Arial" w:eastAsia="Arial" w:hAnsi="Arial"/>
                <w:sz w:val="14"/>
                <w:szCs w:val="14"/>
                <w:color w:val="auto"/>
                <w:w w:val="98"/>
              </w:rPr>
              <w:t>Income Tax</w:t>
            </w:r>
          </w:p>
        </w:tc>
        <w:tc>
          <w:tcPr>
            <w:tcW w:w="2440" w:type="dxa"/>
            <w:vAlign w:val="bottom"/>
            <w:gridSpan w:val="2"/>
          </w:tcPr>
          <w:p>
            <w:pPr>
              <w:jc w:val="center"/>
              <w:ind w:left="264"/>
              <w:spacing w:after="0"/>
              <w:rPr>
                <w:sz w:val="20"/>
                <w:szCs w:val="20"/>
                <w:color w:val="auto"/>
              </w:rPr>
            </w:pPr>
            <w:r>
              <w:rPr>
                <w:rFonts w:ascii="Arial" w:cs="Arial" w:eastAsia="Arial" w:hAnsi="Arial"/>
                <w:sz w:val="14"/>
                <w:szCs w:val="14"/>
                <w:color w:val="auto"/>
              </w:rPr>
              <w:t>Effective Income</w:t>
            </w:r>
          </w:p>
        </w:tc>
        <w:tc>
          <w:tcPr>
            <w:tcW w:w="1500" w:type="dxa"/>
            <w:vAlign w:val="bottom"/>
          </w:tcPr>
          <w:p>
            <w:pPr>
              <w:jc w:val="center"/>
              <w:ind w:left="565"/>
              <w:spacing w:after="0"/>
              <w:rPr>
                <w:sz w:val="20"/>
                <w:szCs w:val="20"/>
                <w:color w:val="auto"/>
              </w:rPr>
            </w:pPr>
            <w:r>
              <w:rPr>
                <w:rFonts w:ascii="Arial" w:cs="Arial" w:eastAsia="Arial" w:hAnsi="Arial"/>
                <w:sz w:val="14"/>
                <w:szCs w:val="14"/>
                <w:color w:val="auto"/>
              </w:rPr>
              <w:t>Income Tax</w:t>
            </w:r>
          </w:p>
        </w:tc>
        <w:tc>
          <w:tcPr>
            <w:tcW w:w="380" w:type="dxa"/>
            <w:vAlign w:val="bottom"/>
          </w:tcPr>
          <w:p>
            <w:pPr>
              <w:spacing w:after="0"/>
              <w:rPr>
                <w:sz w:val="16"/>
                <w:szCs w:val="16"/>
                <w:color w:val="auto"/>
              </w:rPr>
            </w:pPr>
          </w:p>
        </w:tc>
        <w:tc>
          <w:tcPr>
            <w:tcW w:w="2080" w:type="dxa"/>
            <w:vAlign w:val="bottom"/>
          </w:tcPr>
          <w:p>
            <w:pPr>
              <w:jc w:val="center"/>
              <w:spacing w:after="0"/>
              <w:rPr>
                <w:sz w:val="20"/>
                <w:szCs w:val="20"/>
                <w:color w:val="auto"/>
              </w:rPr>
            </w:pPr>
            <w:r>
              <w:rPr>
                <w:rFonts w:ascii="Arial" w:cs="Arial" w:eastAsia="Arial" w:hAnsi="Arial"/>
                <w:sz w:val="14"/>
                <w:szCs w:val="14"/>
                <w:color w:val="auto"/>
              </w:rPr>
              <w:t>Effective Income</w:t>
            </w:r>
          </w:p>
        </w:tc>
      </w:tr>
      <w:tr>
        <w:trPr>
          <w:trHeight w:val="168"/>
        </w:trPr>
        <w:tc>
          <w:tcPr>
            <w:tcW w:w="20" w:type="dxa"/>
            <w:vAlign w:val="bottom"/>
          </w:tcPr>
          <w:p>
            <w:pPr>
              <w:spacing w:after="0"/>
              <w:rPr>
                <w:sz w:val="14"/>
                <w:szCs w:val="14"/>
                <w:color w:val="auto"/>
              </w:rPr>
            </w:pPr>
          </w:p>
        </w:tc>
        <w:tc>
          <w:tcPr>
            <w:tcW w:w="348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tcPr>
          <w:p>
            <w:pPr>
              <w:jc w:val="center"/>
              <w:ind w:left="605"/>
              <w:spacing w:after="0"/>
              <w:rPr>
                <w:sz w:val="20"/>
                <w:szCs w:val="20"/>
                <w:color w:val="auto"/>
              </w:rPr>
            </w:pPr>
            <w:r>
              <w:rPr>
                <w:rFonts w:ascii="Arial" w:cs="Arial" w:eastAsia="Arial" w:hAnsi="Arial"/>
                <w:sz w:val="14"/>
                <w:szCs w:val="14"/>
                <w:color w:val="auto"/>
              </w:rPr>
              <w:t>Expense</w:t>
            </w:r>
          </w:p>
        </w:tc>
        <w:tc>
          <w:tcPr>
            <w:tcW w:w="1700" w:type="dxa"/>
            <w:vAlign w:val="bottom"/>
            <w:tcBorders>
              <w:bottom w:val="single" w:sz="8" w:color="auto"/>
            </w:tcBorders>
          </w:tcPr>
          <w:p>
            <w:pPr>
              <w:jc w:val="center"/>
              <w:ind w:left="1024"/>
              <w:spacing w:after="0"/>
              <w:rPr>
                <w:sz w:val="20"/>
                <w:szCs w:val="20"/>
                <w:color w:val="auto"/>
              </w:rPr>
            </w:pPr>
            <w:r>
              <w:rPr>
                <w:rFonts w:ascii="Arial" w:cs="Arial" w:eastAsia="Arial" w:hAnsi="Arial"/>
                <w:sz w:val="14"/>
                <w:szCs w:val="14"/>
                <w:color w:val="auto"/>
                <w:w w:val="98"/>
              </w:rPr>
              <w:t>Tax Rate</w:t>
            </w:r>
          </w:p>
        </w:tc>
        <w:tc>
          <w:tcPr>
            <w:tcW w:w="74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tcPr>
          <w:p>
            <w:pPr>
              <w:jc w:val="center"/>
              <w:ind w:left="585"/>
              <w:spacing w:after="0"/>
              <w:rPr>
                <w:sz w:val="20"/>
                <w:szCs w:val="20"/>
                <w:color w:val="auto"/>
              </w:rPr>
            </w:pPr>
            <w:r>
              <w:rPr>
                <w:rFonts w:ascii="Arial" w:cs="Arial" w:eastAsia="Arial" w:hAnsi="Arial"/>
                <w:sz w:val="14"/>
                <w:szCs w:val="14"/>
                <w:color w:val="auto"/>
              </w:rPr>
              <w:t>Expense</w:t>
            </w:r>
          </w:p>
        </w:tc>
        <w:tc>
          <w:tcPr>
            <w:tcW w:w="380" w:type="dxa"/>
            <w:vAlign w:val="bottom"/>
            <w:tcBorders>
              <w:bottom w:val="single" w:sz="8" w:color="auto"/>
            </w:tcBorders>
          </w:tcPr>
          <w:p>
            <w:pPr>
              <w:spacing w:after="0"/>
              <w:rPr>
                <w:sz w:val="14"/>
                <w:szCs w:val="14"/>
                <w:color w:val="auto"/>
              </w:rPr>
            </w:pPr>
          </w:p>
        </w:tc>
        <w:tc>
          <w:tcPr>
            <w:tcW w:w="20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Tax Rate</w:t>
            </w:r>
          </w:p>
        </w:tc>
      </w:tr>
      <w:tr>
        <w:trPr>
          <w:trHeight w:val="164"/>
        </w:trPr>
        <w:tc>
          <w:tcPr>
            <w:tcW w:w="20" w:type="dxa"/>
            <w:vAlign w:val="bottom"/>
          </w:tcPr>
          <w:p>
            <w:pPr>
              <w:spacing w:after="0"/>
              <w:rPr>
                <w:sz w:val="14"/>
                <w:szCs w:val="14"/>
                <w:color w:val="auto"/>
              </w:rPr>
            </w:pPr>
          </w:p>
        </w:tc>
        <w:tc>
          <w:tcPr>
            <w:tcW w:w="3480" w:type="dxa"/>
            <w:vAlign w:val="bottom"/>
          </w:tcPr>
          <w:p>
            <w:pPr>
              <w:spacing w:after="0" w:line="164" w:lineRule="exact"/>
              <w:rPr>
                <w:sz w:val="20"/>
                <w:szCs w:val="20"/>
                <w:color w:val="auto"/>
              </w:rPr>
            </w:pPr>
            <w:r>
              <w:rPr>
                <w:rFonts w:ascii="Arial" w:cs="Arial" w:eastAsia="Arial" w:hAnsi="Arial"/>
                <w:sz w:val="16"/>
                <w:szCs w:val="16"/>
                <w:color w:val="auto"/>
              </w:rPr>
              <w:t>Sempra Energy Consolidated</w:t>
            </w:r>
          </w:p>
        </w:tc>
        <w:tc>
          <w:tcPr>
            <w:tcW w:w="1520" w:type="dxa"/>
            <w:vAlign w:val="bottom"/>
          </w:tcPr>
          <w:p>
            <w:pPr>
              <w:jc w:val="right"/>
              <w:ind w:right="1145"/>
              <w:spacing w:after="0" w:line="164" w:lineRule="exact"/>
              <w:rPr>
                <w:sz w:val="20"/>
                <w:szCs w:val="20"/>
                <w:color w:val="auto"/>
              </w:rPr>
            </w:pPr>
            <w:r>
              <w:rPr>
                <w:rFonts w:ascii="Arial" w:cs="Arial" w:eastAsia="Arial" w:hAnsi="Arial"/>
                <w:sz w:val="16"/>
                <w:szCs w:val="16"/>
                <w:color w:val="auto"/>
              </w:rPr>
              <w:t>$</w:t>
            </w:r>
          </w:p>
        </w:tc>
        <w:tc>
          <w:tcPr>
            <w:tcW w:w="1700" w:type="dxa"/>
            <w:vAlign w:val="bottom"/>
          </w:tcPr>
          <w:p>
            <w:pPr>
              <w:jc w:val="right"/>
              <w:ind w:right="1284"/>
              <w:spacing w:after="0" w:line="164" w:lineRule="exact"/>
              <w:rPr>
                <w:sz w:val="20"/>
                <w:szCs w:val="20"/>
                <w:color w:val="auto"/>
              </w:rPr>
            </w:pPr>
            <w:r>
              <w:rPr>
                <w:rFonts w:ascii="Arial" w:cs="Arial" w:eastAsia="Arial" w:hAnsi="Arial"/>
                <w:sz w:val="16"/>
                <w:szCs w:val="16"/>
                <w:color w:val="auto"/>
              </w:rPr>
              <w:t>201</w:t>
            </w:r>
          </w:p>
        </w:tc>
        <w:tc>
          <w:tcPr>
            <w:tcW w:w="740" w:type="dxa"/>
            <w:vAlign w:val="bottom"/>
          </w:tcPr>
          <w:p>
            <w:pPr>
              <w:ind w:left="200"/>
              <w:spacing w:after="0" w:line="164" w:lineRule="exact"/>
              <w:rPr>
                <w:sz w:val="20"/>
                <w:szCs w:val="20"/>
                <w:color w:val="auto"/>
              </w:rPr>
            </w:pPr>
            <w:r>
              <w:rPr>
                <w:rFonts w:ascii="Arial" w:cs="Arial" w:eastAsia="Arial" w:hAnsi="Arial"/>
                <w:sz w:val="16"/>
                <w:szCs w:val="16"/>
                <w:color w:val="auto"/>
              </w:rPr>
              <w:t>22 %</w:t>
            </w:r>
          </w:p>
        </w:tc>
        <w:tc>
          <w:tcPr>
            <w:tcW w:w="1500" w:type="dxa"/>
            <w:vAlign w:val="bottom"/>
          </w:tcPr>
          <w:p>
            <w:pPr>
              <w:jc w:val="right"/>
              <w:ind w:right="1145"/>
              <w:spacing w:after="0" w:line="164" w:lineRule="exact"/>
              <w:rPr>
                <w:sz w:val="20"/>
                <w:szCs w:val="20"/>
                <w:color w:val="auto"/>
              </w:rPr>
            </w:pPr>
            <w:r>
              <w:rPr>
                <w:rFonts w:ascii="Arial" w:cs="Arial" w:eastAsia="Arial" w:hAnsi="Arial"/>
                <w:sz w:val="16"/>
                <w:szCs w:val="16"/>
                <w:color w:val="auto"/>
              </w:rPr>
              <w:t>$</w:t>
            </w:r>
          </w:p>
        </w:tc>
        <w:tc>
          <w:tcPr>
            <w:tcW w:w="380" w:type="dxa"/>
            <w:vAlign w:val="bottom"/>
          </w:tcPr>
          <w:p>
            <w:pPr>
              <w:jc w:val="right"/>
              <w:spacing w:after="0" w:line="164" w:lineRule="exact"/>
              <w:rPr>
                <w:sz w:val="20"/>
                <w:szCs w:val="20"/>
                <w:color w:val="auto"/>
              </w:rPr>
            </w:pPr>
            <w:r>
              <w:rPr>
                <w:rFonts w:ascii="Arial" w:cs="Arial" w:eastAsia="Arial" w:hAnsi="Arial"/>
                <w:sz w:val="16"/>
                <w:szCs w:val="16"/>
                <w:color w:val="auto"/>
              </w:rPr>
              <w:t>117</w:t>
            </w:r>
          </w:p>
        </w:tc>
        <w:tc>
          <w:tcPr>
            <w:tcW w:w="2080" w:type="dxa"/>
            <w:vAlign w:val="bottom"/>
          </w:tcPr>
          <w:p>
            <w:pPr>
              <w:ind w:left="1540"/>
              <w:spacing w:after="0" w:line="164" w:lineRule="exact"/>
              <w:rPr>
                <w:sz w:val="20"/>
                <w:szCs w:val="20"/>
                <w:color w:val="auto"/>
              </w:rPr>
            </w:pPr>
            <w:r>
              <w:rPr>
                <w:rFonts w:ascii="Arial" w:cs="Arial" w:eastAsia="Arial" w:hAnsi="Arial"/>
                <w:sz w:val="16"/>
                <w:szCs w:val="16"/>
                <w:color w:val="auto"/>
              </w:rPr>
              <w:t>31 %</w:t>
            </w:r>
          </w:p>
        </w:tc>
      </w:tr>
      <w:tr>
        <w:trPr>
          <w:trHeight w:val="176"/>
        </w:trPr>
        <w:tc>
          <w:tcPr>
            <w:tcW w:w="3500" w:type="dxa"/>
            <w:vAlign w:val="bottom"/>
            <w:gridSpan w:val="2"/>
          </w:tcPr>
          <w:p>
            <w:pPr>
              <w:spacing w:after="0" w:line="176" w:lineRule="exact"/>
              <w:rPr>
                <w:sz w:val="20"/>
                <w:szCs w:val="20"/>
                <w:color w:val="auto"/>
              </w:rPr>
            </w:pPr>
            <w:r>
              <w:rPr>
                <w:rFonts w:ascii="Arial" w:cs="Arial" w:eastAsia="Arial" w:hAnsi="Arial"/>
                <w:sz w:val="16"/>
                <w:szCs w:val="16"/>
                <w:color w:val="auto"/>
              </w:rPr>
              <w:t>SDG&amp;E</w:t>
            </w:r>
          </w:p>
        </w:tc>
        <w:tc>
          <w:tcPr>
            <w:tcW w:w="1520" w:type="dxa"/>
            <w:vAlign w:val="bottom"/>
          </w:tcPr>
          <w:p>
            <w:pPr>
              <w:spacing w:after="0"/>
              <w:rPr>
                <w:sz w:val="15"/>
                <w:szCs w:val="15"/>
                <w:color w:val="auto"/>
              </w:rPr>
            </w:pPr>
          </w:p>
        </w:tc>
        <w:tc>
          <w:tcPr>
            <w:tcW w:w="1700" w:type="dxa"/>
            <w:vAlign w:val="bottom"/>
          </w:tcPr>
          <w:p>
            <w:pPr>
              <w:jc w:val="right"/>
              <w:ind w:right="1284"/>
              <w:spacing w:after="0" w:line="176" w:lineRule="exact"/>
              <w:rPr>
                <w:sz w:val="20"/>
                <w:szCs w:val="20"/>
                <w:color w:val="auto"/>
              </w:rPr>
            </w:pPr>
            <w:r>
              <w:rPr>
                <w:rFonts w:ascii="Arial" w:cs="Arial" w:eastAsia="Arial" w:hAnsi="Arial"/>
                <w:sz w:val="16"/>
                <w:szCs w:val="16"/>
                <w:color w:val="auto"/>
              </w:rPr>
              <w:t>91</w:t>
            </w:r>
          </w:p>
        </w:tc>
        <w:tc>
          <w:tcPr>
            <w:tcW w:w="740" w:type="dxa"/>
            <w:vAlign w:val="bottom"/>
          </w:tcPr>
          <w:p>
            <w:pPr>
              <w:ind w:left="200"/>
              <w:spacing w:after="0" w:line="176" w:lineRule="exact"/>
              <w:rPr>
                <w:sz w:val="20"/>
                <w:szCs w:val="20"/>
                <w:color w:val="auto"/>
              </w:rPr>
            </w:pPr>
            <w:r>
              <w:rPr>
                <w:rFonts w:ascii="Arial" w:cs="Arial" w:eastAsia="Arial" w:hAnsi="Arial"/>
                <w:sz w:val="16"/>
                <w:szCs w:val="16"/>
                <w:color w:val="auto"/>
              </w:rPr>
              <w:t>38</w:t>
            </w:r>
          </w:p>
        </w:tc>
        <w:tc>
          <w:tcPr>
            <w:tcW w:w="1500" w:type="dxa"/>
            <w:vAlign w:val="bottom"/>
          </w:tcPr>
          <w:p>
            <w:pPr>
              <w:spacing w:after="0"/>
              <w:rPr>
                <w:sz w:val="15"/>
                <w:szCs w:val="15"/>
                <w:color w:val="auto"/>
              </w:rPr>
            </w:pPr>
          </w:p>
        </w:tc>
        <w:tc>
          <w:tcPr>
            <w:tcW w:w="380" w:type="dxa"/>
            <w:vAlign w:val="bottom"/>
          </w:tcPr>
          <w:p>
            <w:pPr>
              <w:jc w:val="right"/>
              <w:spacing w:after="0" w:line="176" w:lineRule="exact"/>
              <w:rPr>
                <w:sz w:val="20"/>
                <w:szCs w:val="20"/>
                <w:color w:val="auto"/>
              </w:rPr>
            </w:pPr>
            <w:r>
              <w:rPr>
                <w:rFonts w:ascii="Arial" w:cs="Arial" w:eastAsia="Arial" w:hAnsi="Arial"/>
                <w:sz w:val="16"/>
                <w:szCs w:val="16"/>
                <w:color w:val="auto"/>
              </w:rPr>
              <w:t>75</w:t>
            </w:r>
          </w:p>
        </w:tc>
        <w:tc>
          <w:tcPr>
            <w:tcW w:w="2080" w:type="dxa"/>
            <w:vAlign w:val="bottom"/>
          </w:tcPr>
          <w:p>
            <w:pPr>
              <w:ind w:left="1540"/>
              <w:spacing w:after="0" w:line="176" w:lineRule="exact"/>
              <w:rPr>
                <w:sz w:val="20"/>
                <w:szCs w:val="20"/>
                <w:color w:val="auto"/>
              </w:rPr>
            </w:pPr>
            <w:r>
              <w:rPr>
                <w:rFonts w:ascii="Arial" w:cs="Arial" w:eastAsia="Arial" w:hAnsi="Arial"/>
                <w:sz w:val="16"/>
                <w:szCs w:val="16"/>
                <w:color w:val="auto"/>
              </w:rPr>
              <w:t>36</w:t>
            </w:r>
          </w:p>
        </w:tc>
      </w:tr>
      <w:tr>
        <w:trPr>
          <w:trHeight w:val="194"/>
        </w:trPr>
        <w:tc>
          <w:tcPr>
            <w:tcW w:w="3500" w:type="dxa"/>
            <w:vAlign w:val="bottom"/>
            <w:tcBorders>
              <w:bottom w:val="single" w:sz="8" w:color="auto"/>
            </w:tcBorders>
            <w:gridSpan w:val="2"/>
          </w:tcPr>
          <w:p>
            <w:pPr>
              <w:spacing w:after="0"/>
              <w:rPr>
                <w:sz w:val="20"/>
                <w:szCs w:val="20"/>
                <w:color w:val="auto"/>
              </w:rPr>
            </w:pPr>
            <w:r>
              <w:rPr>
                <w:rFonts w:ascii="Arial" w:cs="Arial" w:eastAsia="Arial" w:hAnsi="Arial"/>
                <w:sz w:val="16"/>
                <w:szCs w:val="16"/>
                <w:color w:val="auto"/>
              </w:rPr>
              <w:t>SoCalGas</w:t>
            </w:r>
          </w:p>
        </w:tc>
        <w:tc>
          <w:tcPr>
            <w:tcW w:w="152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tcPr>
          <w:p>
            <w:pPr>
              <w:jc w:val="right"/>
              <w:ind w:right="1284"/>
              <w:spacing w:after="0"/>
              <w:rPr>
                <w:sz w:val="20"/>
                <w:szCs w:val="20"/>
                <w:color w:val="auto"/>
              </w:rPr>
            </w:pPr>
            <w:r>
              <w:rPr>
                <w:rFonts w:ascii="Arial" w:cs="Arial" w:eastAsia="Arial" w:hAnsi="Arial"/>
                <w:sz w:val="16"/>
                <w:szCs w:val="16"/>
                <w:color w:val="auto"/>
              </w:rPr>
              <w:t>65</w:t>
            </w:r>
          </w:p>
        </w:tc>
        <w:tc>
          <w:tcPr>
            <w:tcW w:w="740" w:type="dxa"/>
            <w:vAlign w:val="bottom"/>
            <w:tcBorders>
              <w:bottom w:val="single" w:sz="8" w:color="auto"/>
            </w:tcBorders>
          </w:tcPr>
          <w:p>
            <w:pPr>
              <w:ind w:left="200"/>
              <w:spacing w:after="0"/>
              <w:rPr>
                <w:sz w:val="20"/>
                <w:szCs w:val="20"/>
                <w:color w:val="auto"/>
              </w:rPr>
            </w:pPr>
            <w:r>
              <w:rPr>
                <w:rFonts w:ascii="Arial" w:cs="Arial" w:eastAsia="Arial" w:hAnsi="Arial"/>
                <w:sz w:val="16"/>
                <w:szCs w:val="16"/>
                <w:color w:val="auto"/>
              </w:rPr>
              <w:t>34</w:t>
            </w:r>
          </w:p>
        </w:tc>
        <w:tc>
          <w:tcPr>
            <w:tcW w:w="150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90</w:t>
            </w:r>
          </w:p>
        </w:tc>
        <w:tc>
          <w:tcPr>
            <w:tcW w:w="2080" w:type="dxa"/>
            <w:vAlign w:val="bottom"/>
            <w:tcBorders>
              <w:bottom w:val="single" w:sz="8" w:color="auto"/>
            </w:tcBorders>
          </w:tcPr>
          <w:p>
            <w:pPr>
              <w:ind w:left="1540"/>
              <w:spacing w:after="0"/>
              <w:rPr>
                <w:sz w:val="20"/>
                <w:szCs w:val="20"/>
                <w:color w:val="auto"/>
              </w:rPr>
            </w:pPr>
            <w:r>
              <w:rPr>
                <w:rFonts w:ascii="Arial" w:cs="Arial" w:eastAsia="Arial" w:hAnsi="Arial"/>
                <w:sz w:val="16"/>
                <w:szCs w:val="16"/>
                <w:color w:val="auto"/>
              </w:rPr>
              <w:t>40</w:t>
            </w:r>
          </w:p>
        </w:tc>
      </w:tr>
    </w:tbl>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Sempra Energy Consolidated</w:t>
      </w:r>
    </w:p>
    <w:p>
      <w:pPr>
        <w:spacing w:after="0" w:line="20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increase in income tax expense in the three months ended June 30, 2011 was primarily due to higher pretax income offset by a lower effective income tax rate. The lower effective income tax rate was primarily due to:</w:t>
      </w:r>
    </w:p>
    <w:p>
      <w:pPr>
        <w:spacing w:after="0" w:line="170" w:lineRule="exact"/>
        <w:rPr>
          <w:sz w:val="20"/>
          <w:szCs w:val="20"/>
          <w:color w:val="auto"/>
        </w:rPr>
      </w:pPr>
    </w:p>
    <w:p>
      <w:pPr>
        <w:ind w:left="340" w:hanging="188"/>
        <w:spacing w:after="0" w:line="277" w:lineRule="auto"/>
        <w:tabs>
          <w:tab w:leader="none" w:pos="340" w:val="left"/>
        </w:tabs>
        <w:numPr>
          <w:ilvl w:val="0"/>
          <w:numId w:val="81"/>
        </w:numPr>
        <w:rPr>
          <w:rFonts w:ascii="Arial" w:cs="Arial" w:eastAsia="Arial" w:hAnsi="Arial"/>
          <w:sz w:val="18"/>
          <w:szCs w:val="18"/>
          <w:color w:val="auto"/>
        </w:rPr>
      </w:pPr>
      <w:r>
        <w:rPr>
          <w:rFonts w:ascii="Arial" w:cs="Arial" w:eastAsia="Arial" w:hAnsi="Arial"/>
          <w:sz w:val="18"/>
          <w:szCs w:val="18"/>
          <w:color w:val="auto"/>
        </w:rPr>
        <w:t>higher income in countries with lower statutory rates, including a $277 million non-taxable gain from remeasurement of our equity method investments related to our acquisition from AEI of their investments in Chile and Peru, discussed below; and</w:t>
      </w:r>
    </w:p>
    <w:p>
      <w:pPr>
        <w:spacing w:after="0" w:line="193" w:lineRule="exact"/>
        <w:rPr>
          <w:rFonts w:ascii="Arial" w:cs="Arial" w:eastAsia="Arial" w:hAnsi="Arial"/>
          <w:sz w:val="18"/>
          <w:szCs w:val="18"/>
          <w:color w:val="auto"/>
        </w:rPr>
      </w:pPr>
    </w:p>
    <w:p>
      <w:pPr>
        <w:ind w:left="340" w:hanging="188"/>
        <w:spacing w:after="0"/>
        <w:tabs>
          <w:tab w:leader="none" w:pos="340" w:val="left"/>
        </w:tabs>
        <w:numPr>
          <w:ilvl w:val="0"/>
          <w:numId w:val="81"/>
        </w:numPr>
        <w:rPr>
          <w:rFonts w:ascii="Arial" w:cs="Arial" w:eastAsia="Arial" w:hAnsi="Arial"/>
          <w:sz w:val="18"/>
          <w:szCs w:val="18"/>
          <w:color w:val="auto"/>
        </w:rPr>
      </w:pPr>
      <w:r>
        <w:rPr>
          <w:rFonts w:ascii="Arial" w:cs="Arial" w:eastAsia="Arial" w:hAnsi="Arial"/>
          <w:sz w:val="18"/>
          <w:szCs w:val="18"/>
          <w:color w:val="auto"/>
        </w:rPr>
        <w:t xml:space="preserve">higher exclusions from taxable income of the equity portion of AFUDC; </w:t>
      </w:r>
      <w:r>
        <w:rPr>
          <w:rFonts w:ascii="Arial" w:cs="Arial" w:eastAsia="Arial" w:hAnsi="Arial"/>
          <w:sz w:val="18"/>
          <w:szCs w:val="18"/>
          <w:b w:val="1"/>
          <w:bCs w:val="1"/>
          <w:color w:val="auto"/>
        </w:rPr>
        <w:t>offset by</w:t>
      </w:r>
    </w:p>
    <w:p>
      <w:pPr>
        <w:spacing w:after="0" w:line="256" w:lineRule="exact"/>
        <w:rPr>
          <w:rFonts w:ascii="Arial" w:cs="Arial" w:eastAsia="Arial" w:hAnsi="Arial"/>
          <w:sz w:val="18"/>
          <w:szCs w:val="18"/>
          <w:color w:val="auto"/>
        </w:rPr>
      </w:pPr>
    </w:p>
    <w:p>
      <w:pPr>
        <w:ind w:left="340" w:hanging="188"/>
        <w:spacing w:after="0"/>
        <w:tabs>
          <w:tab w:leader="none" w:pos="340" w:val="left"/>
        </w:tabs>
        <w:numPr>
          <w:ilvl w:val="0"/>
          <w:numId w:val="81"/>
        </w:numPr>
        <w:rPr>
          <w:rFonts w:ascii="Arial" w:cs="Arial" w:eastAsia="Arial" w:hAnsi="Arial"/>
          <w:sz w:val="17"/>
          <w:szCs w:val="17"/>
          <w:color w:val="auto"/>
        </w:rPr>
      </w:pPr>
      <w:r>
        <w:rPr>
          <w:rFonts w:ascii="Arial" w:cs="Arial" w:eastAsia="Arial" w:hAnsi="Arial"/>
          <w:sz w:val="17"/>
          <w:szCs w:val="17"/>
          <w:color w:val="auto"/>
        </w:rPr>
        <w:t>$2 million tax expense in 2011 compared to $4 million tax benefit in 2010 due to Mexican currency translation and inflation adjustments; and</w:t>
      </w:r>
    </w:p>
    <w:p>
      <w:pPr>
        <w:spacing w:after="0" w:line="263" w:lineRule="exact"/>
        <w:rPr>
          <w:rFonts w:ascii="Arial" w:cs="Arial" w:eastAsia="Arial" w:hAnsi="Arial"/>
          <w:sz w:val="17"/>
          <w:szCs w:val="17"/>
          <w:color w:val="auto"/>
        </w:rPr>
      </w:pPr>
    </w:p>
    <w:p>
      <w:pPr>
        <w:ind w:left="340" w:hanging="188"/>
        <w:spacing w:after="0"/>
        <w:tabs>
          <w:tab w:leader="none" w:pos="340" w:val="left"/>
        </w:tabs>
        <w:numPr>
          <w:ilvl w:val="0"/>
          <w:numId w:val="81"/>
        </w:numPr>
        <w:rPr>
          <w:rFonts w:ascii="Arial" w:cs="Arial" w:eastAsia="Arial" w:hAnsi="Arial"/>
          <w:sz w:val="18"/>
          <w:szCs w:val="18"/>
          <w:color w:val="auto"/>
        </w:rPr>
      </w:pPr>
      <w:r>
        <w:rPr>
          <w:rFonts w:ascii="Arial" w:cs="Arial" w:eastAsia="Arial" w:hAnsi="Arial"/>
          <w:sz w:val="18"/>
          <w:szCs w:val="18"/>
          <w:color w:val="auto"/>
        </w:rPr>
        <w:t>lower planned investment tax credits.</w:t>
      </w:r>
    </w:p>
    <w:p>
      <w:pPr>
        <w:spacing w:after="0" w:line="252"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In the six months ended June 30, 2011, Sempra Energy's income tax expense increased due to higher pretax income, offset by a lower effective income tax rate. The lower effective income tax rate was primarily due to:</w:t>
      </w:r>
    </w:p>
    <w:p>
      <w:pPr>
        <w:spacing w:after="0" w:line="170" w:lineRule="exact"/>
        <w:rPr>
          <w:sz w:val="20"/>
          <w:szCs w:val="20"/>
          <w:color w:val="auto"/>
        </w:rPr>
      </w:pPr>
    </w:p>
    <w:p>
      <w:pPr>
        <w:ind w:left="340" w:hanging="188"/>
        <w:spacing w:after="0" w:line="277" w:lineRule="auto"/>
        <w:tabs>
          <w:tab w:leader="none" w:pos="340" w:val="left"/>
        </w:tabs>
        <w:numPr>
          <w:ilvl w:val="0"/>
          <w:numId w:val="82"/>
        </w:numPr>
        <w:rPr>
          <w:rFonts w:ascii="Arial" w:cs="Arial" w:eastAsia="Arial" w:hAnsi="Arial"/>
          <w:sz w:val="18"/>
          <w:szCs w:val="18"/>
          <w:color w:val="auto"/>
        </w:rPr>
      </w:pPr>
      <w:r>
        <w:rPr>
          <w:rFonts w:ascii="Arial" w:cs="Arial" w:eastAsia="Arial" w:hAnsi="Arial"/>
          <w:sz w:val="18"/>
          <w:szCs w:val="18"/>
          <w:color w:val="auto"/>
        </w:rPr>
        <w:t>higher income in countries with lower statutory rates, including a $277 million non-taxable gain from remeasurement of our equity method investments related to our acquisition from AEI of their investments in Chile and Peru, discussed below;</w:t>
      </w:r>
    </w:p>
    <w:p>
      <w:pPr>
        <w:spacing w:after="0" w:line="197" w:lineRule="exact"/>
        <w:rPr>
          <w:rFonts w:ascii="Arial" w:cs="Arial" w:eastAsia="Arial" w:hAnsi="Arial"/>
          <w:sz w:val="18"/>
          <w:szCs w:val="18"/>
          <w:color w:val="auto"/>
        </w:rPr>
      </w:pPr>
    </w:p>
    <w:p>
      <w:pPr>
        <w:ind w:left="340" w:right="20" w:hanging="188"/>
        <w:spacing w:after="0" w:line="277" w:lineRule="auto"/>
        <w:tabs>
          <w:tab w:leader="none" w:pos="340" w:val="left"/>
        </w:tabs>
        <w:numPr>
          <w:ilvl w:val="0"/>
          <w:numId w:val="82"/>
        </w:numPr>
        <w:rPr>
          <w:rFonts w:ascii="Arial" w:cs="Arial" w:eastAsia="Arial" w:hAnsi="Arial"/>
          <w:sz w:val="18"/>
          <w:szCs w:val="18"/>
          <w:color w:val="auto"/>
        </w:rPr>
      </w:pPr>
      <w:r>
        <w:rPr>
          <w:rFonts w:ascii="Arial" w:cs="Arial" w:eastAsia="Arial" w:hAnsi="Arial"/>
          <w:sz w:val="18"/>
          <w:szCs w:val="18"/>
          <w:color w:val="auto"/>
        </w:rPr>
        <w:t>a $16 million write-down in 2010 of the deferred tax assets related to other postretirement benefits, as a result of a change in U.S. tax law that eliminates a future deduction, starting in 2013, for retiree healthcare funded by the Medicare Part D subsidy;</w:t>
      </w:r>
    </w:p>
    <w:p>
      <w:pPr>
        <w:spacing w:after="0" w:line="197" w:lineRule="exact"/>
        <w:rPr>
          <w:rFonts w:ascii="Arial" w:cs="Arial" w:eastAsia="Arial" w:hAnsi="Arial"/>
          <w:sz w:val="18"/>
          <w:szCs w:val="18"/>
          <w:color w:val="auto"/>
        </w:rPr>
      </w:pPr>
    </w:p>
    <w:p>
      <w:pPr>
        <w:ind w:left="340" w:hanging="188"/>
        <w:spacing w:after="0"/>
        <w:tabs>
          <w:tab w:leader="none" w:pos="340" w:val="left"/>
        </w:tabs>
        <w:numPr>
          <w:ilvl w:val="0"/>
          <w:numId w:val="82"/>
        </w:numPr>
        <w:rPr>
          <w:rFonts w:ascii="Arial" w:cs="Arial" w:eastAsia="Arial" w:hAnsi="Arial"/>
          <w:sz w:val="18"/>
          <w:szCs w:val="18"/>
          <w:color w:val="auto"/>
        </w:rPr>
      </w:pPr>
      <w:r>
        <w:rPr>
          <w:rFonts w:ascii="Arial" w:cs="Arial" w:eastAsia="Arial" w:hAnsi="Arial"/>
          <w:sz w:val="18"/>
          <w:szCs w:val="18"/>
          <w:color w:val="auto"/>
        </w:rPr>
        <w:t>higher exclusions from taxable income of the equity portion of AFUDC; and</w:t>
      </w:r>
    </w:p>
    <w:p>
      <w:pPr>
        <w:spacing w:after="0" w:line="248" w:lineRule="exact"/>
        <w:rPr>
          <w:rFonts w:ascii="Arial" w:cs="Arial" w:eastAsia="Arial" w:hAnsi="Arial"/>
          <w:sz w:val="18"/>
          <w:szCs w:val="18"/>
          <w:color w:val="auto"/>
        </w:rPr>
      </w:pPr>
    </w:p>
    <w:p>
      <w:pPr>
        <w:ind w:left="340" w:hanging="188"/>
        <w:spacing w:after="0"/>
        <w:tabs>
          <w:tab w:leader="none" w:pos="340" w:val="left"/>
        </w:tabs>
        <w:numPr>
          <w:ilvl w:val="0"/>
          <w:numId w:val="82"/>
        </w:numPr>
        <w:rPr>
          <w:rFonts w:ascii="Arial" w:cs="Arial" w:eastAsia="Arial" w:hAnsi="Arial"/>
          <w:sz w:val="18"/>
          <w:szCs w:val="18"/>
          <w:color w:val="auto"/>
        </w:rPr>
      </w:pPr>
      <w:r>
        <w:rPr>
          <w:rFonts w:ascii="Arial" w:cs="Arial" w:eastAsia="Arial" w:hAnsi="Arial"/>
          <w:sz w:val="18"/>
          <w:szCs w:val="18"/>
          <w:color w:val="auto"/>
        </w:rPr>
        <w:t xml:space="preserve">higher deductions for self-developed software costs; </w:t>
      </w:r>
      <w:r>
        <w:rPr>
          <w:rFonts w:ascii="Arial" w:cs="Arial" w:eastAsia="Arial" w:hAnsi="Arial"/>
          <w:sz w:val="18"/>
          <w:szCs w:val="18"/>
          <w:b w:val="1"/>
          <w:bCs w:val="1"/>
          <w:color w:val="auto"/>
        </w:rPr>
        <w:t>offset by</w:t>
      </w:r>
    </w:p>
    <w:p>
      <w:pPr>
        <w:spacing w:after="0" w:line="256" w:lineRule="exact"/>
        <w:rPr>
          <w:rFonts w:ascii="Arial" w:cs="Arial" w:eastAsia="Arial" w:hAnsi="Arial"/>
          <w:sz w:val="18"/>
          <w:szCs w:val="18"/>
          <w:color w:val="auto"/>
        </w:rPr>
      </w:pPr>
    </w:p>
    <w:p>
      <w:pPr>
        <w:ind w:left="340" w:hanging="188"/>
        <w:spacing w:after="0"/>
        <w:tabs>
          <w:tab w:leader="none" w:pos="340" w:val="left"/>
        </w:tabs>
        <w:numPr>
          <w:ilvl w:val="0"/>
          <w:numId w:val="82"/>
        </w:numPr>
        <w:rPr>
          <w:rFonts w:ascii="Arial" w:cs="Arial" w:eastAsia="Arial" w:hAnsi="Arial"/>
          <w:sz w:val="18"/>
          <w:szCs w:val="18"/>
          <w:color w:val="auto"/>
        </w:rPr>
      </w:pPr>
      <w:r>
        <w:rPr>
          <w:rFonts w:ascii="Arial" w:cs="Arial" w:eastAsia="Arial" w:hAnsi="Arial"/>
          <w:sz w:val="18"/>
          <w:szCs w:val="18"/>
          <w:color w:val="auto"/>
        </w:rPr>
        <w:t>lower favorable adjustments related to prior years' income tax issues;</w:t>
      </w:r>
    </w:p>
    <w:p>
      <w:pPr>
        <w:spacing w:after="0" w:line="252" w:lineRule="exact"/>
        <w:rPr>
          <w:rFonts w:ascii="Arial" w:cs="Arial" w:eastAsia="Arial" w:hAnsi="Arial"/>
          <w:sz w:val="18"/>
          <w:szCs w:val="18"/>
          <w:color w:val="auto"/>
        </w:rPr>
      </w:pPr>
    </w:p>
    <w:p>
      <w:pPr>
        <w:ind w:left="340" w:hanging="188"/>
        <w:spacing w:after="0" w:line="277" w:lineRule="auto"/>
        <w:tabs>
          <w:tab w:leader="none" w:pos="340" w:val="left"/>
        </w:tabs>
        <w:numPr>
          <w:ilvl w:val="0"/>
          <w:numId w:val="82"/>
        </w:numPr>
        <w:rPr>
          <w:rFonts w:ascii="Arial" w:cs="Arial" w:eastAsia="Arial" w:hAnsi="Arial"/>
          <w:sz w:val="18"/>
          <w:szCs w:val="18"/>
          <w:color w:val="auto"/>
        </w:rPr>
      </w:pPr>
      <w:r>
        <w:rPr>
          <w:rFonts w:ascii="Arial" w:cs="Arial" w:eastAsia="Arial" w:hAnsi="Arial"/>
          <w:sz w:val="18"/>
          <w:szCs w:val="18"/>
          <w:color w:val="auto"/>
        </w:rPr>
        <w:t>an increase in the amount by which book depreciation for the Sempra Utilities exceeds normalized tax depreciation, which is not treated as a deferred tax asset for ratemaking purposes; and</w:t>
      </w:r>
    </w:p>
    <w:p>
      <w:pPr>
        <w:spacing w:after="0" w:line="197" w:lineRule="exact"/>
        <w:rPr>
          <w:rFonts w:ascii="Arial" w:cs="Arial" w:eastAsia="Arial" w:hAnsi="Arial"/>
          <w:sz w:val="18"/>
          <w:szCs w:val="18"/>
          <w:color w:val="auto"/>
        </w:rPr>
      </w:pPr>
    </w:p>
    <w:p>
      <w:pPr>
        <w:ind w:left="340" w:hanging="188"/>
        <w:spacing w:after="0"/>
        <w:tabs>
          <w:tab w:leader="none" w:pos="340" w:val="left"/>
        </w:tabs>
        <w:numPr>
          <w:ilvl w:val="0"/>
          <w:numId w:val="82"/>
        </w:numPr>
        <w:rPr>
          <w:rFonts w:ascii="Arial" w:cs="Arial" w:eastAsia="Arial" w:hAnsi="Arial"/>
          <w:sz w:val="18"/>
          <w:szCs w:val="18"/>
          <w:color w:val="auto"/>
        </w:rPr>
      </w:pPr>
      <w:r>
        <w:rPr>
          <w:rFonts w:ascii="Arial" w:cs="Arial" w:eastAsia="Arial" w:hAnsi="Arial"/>
          <w:sz w:val="18"/>
          <w:szCs w:val="18"/>
          <w:color w:val="auto"/>
        </w:rPr>
        <w:t>higher tax expense in 2011 due to Mexican currency translation and inflation adjustments.</w:t>
      </w:r>
    </w:p>
    <w:p>
      <w:pPr>
        <w:sectPr>
          <w:pgSz w:w="11900" w:h="16838" w:orient="portrait"/>
          <w:cols w:equalWidth="0" w:num="1">
            <w:col w:w="11420"/>
          </w:cols>
          <w:pgMar w:left="240" w:top="368" w:right="239" w:bottom="0" w:gutter="0" w:footer="0" w:header="0"/>
        </w:sectPr>
      </w:pPr>
    </w:p>
    <w:bookmarkStart w:id="62" w:name="page63"/>
    <w:bookmarkEnd w:id="62"/>
    <w:p>
      <w:pPr>
        <w:ind w:right="80"/>
        <w:spacing w:after="0" w:line="272" w:lineRule="auto"/>
        <w:rPr>
          <w:sz w:val="20"/>
          <w:szCs w:val="20"/>
          <w:color w:val="auto"/>
        </w:rPr>
      </w:pPr>
      <w:r>
        <w:rPr>
          <w:rFonts w:ascii="Arial" w:cs="Arial" w:eastAsia="Arial" w:hAnsi="Arial"/>
          <w:sz w:val="17"/>
          <w:szCs w:val="17"/>
          <w:color w:val="auto"/>
        </w:rPr>
        <w:t>As we discuss in Note 3 of the Notes to Condensed Consolidated Financial Statements herein, we recorded a $277 million gain in connection with our acquisition of AEI’s interests in Chilquinta Energía in Chile and Luz del Sur in Peru. However, we recorded no corresponding income tax expense because, for the foreseeable future, our investments in Chile and Peru are considered permanent in nature (i.e., will not be held out for sale). In addition, we continue to expect to reinvest indefinitely all cumulative undistributed earnings, for the foreseeable future, for all non-U.S. subsidiaries, including our subsidiaries in Chile and Peru. Deferred income tax expense related to all, or a part, of the $277 million gain would need to be recorded if either, or both, of these investments were to be held out for sale. Deferred income tax expense would also need to be recorded if all, or part, of the cumulative undistributed earnings in either Chile or Peru, or both, were no longer considered to be reinvested indefinitely.</w:t>
      </w:r>
    </w:p>
    <w:p>
      <w:pPr>
        <w:spacing w:after="0" w:line="175"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SDG&amp;E</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SDG&amp;E’s income tax expense decreased in the three months ended June 30, 2011 due to:</w:t>
      </w:r>
    </w:p>
    <w:p>
      <w:pPr>
        <w:spacing w:after="0" w:line="225" w:lineRule="exact"/>
        <w:rPr>
          <w:sz w:val="20"/>
          <w:szCs w:val="20"/>
          <w:color w:val="auto"/>
        </w:rPr>
      </w:pPr>
    </w:p>
    <w:p>
      <w:pPr>
        <w:ind w:left="340" w:hanging="188"/>
        <w:spacing w:after="0"/>
        <w:tabs>
          <w:tab w:leader="none" w:pos="340" w:val="left"/>
        </w:tabs>
        <w:numPr>
          <w:ilvl w:val="0"/>
          <w:numId w:val="83"/>
        </w:numPr>
        <w:rPr>
          <w:rFonts w:ascii="Arial" w:cs="Arial" w:eastAsia="Arial" w:hAnsi="Arial"/>
          <w:sz w:val="18"/>
          <w:szCs w:val="18"/>
          <w:color w:val="auto"/>
        </w:rPr>
      </w:pPr>
      <w:r>
        <w:rPr>
          <w:rFonts w:ascii="Arial" w:cs="Arial" w:eastAsia="Arial" w:hAnsi="Arial"/>
          <w:sz w:val="18"/>
          <w:szCs w:val="18"/>
          <w:color w:val="auto"/>
        </w:rPr>
        <w:t>the impact of Otay Mesa VIE, as we discuss below; and</w:t>
      </w:r>
    </w:p>
    <w:p>
      <w:pPr>
        <w:spacing w:after="0" w:line="248" w:lineRule="exact"/>
        <w:rPr>
          <w:rFonts w:ascii="Arial" w:cs="Arial" w:eastAsia="Arial" w:hAnsi="Arial"/>
          <w:sz w:val="18"/>
          <w:szCs w:val="18"/>
          <w:color w:val="auto"/>
        </w:rPr>
      </w:pPr>
    </w:p>
    <w:p>
      <w:pPr>
        <w:ind w:left="340" w:hanging="188"/>
        <w:spacing w:after="0"/>
        <w:tabs>
          <w:tab w:leader="none" w:pos="340" w:val="left"/>
        </w:tabs>
        <w:numPr>
          <w:ilvl w:val="0"/>
          <w:numId w:val="83"/>
        </w:numPr>
        <w:rPr>
          <w:rFonts w:ascii="Arial" w:cs="Arial" w:eastAsia="Arial" w:hAnsi="Arial"/>
          <w:sz w:val="18"/>
          <w:szCs w:val="18"/>
          <w:color w:val="auto"/>
        </w:rPr>
      </w:pPr>
      <w:r>
        <w:rPr>
          <w:rFonts w:ascii="Arial" w:cs="Arial" w:eastAsia="Arial" w:hAnsi="Arial"/>
          <w:sz w:val="18"/>
          <w:szCs w:val="18"/>
          <w:color w:val="auto"/>
        </w:rPr>
        <w:t xml:space="preserve">lower pretax book income; </w:t>
      </w:r>
      <w:r>
        <w:rPr>
          <w:rFonts w:ascii="Arial" w:cs="Arial" w:eastAsia="Arial" w:hAnsi="Arial"/>
          <w:sz w:val="18"/>
          <w:szCs w:val="18"/>
          <w:b w:val="1"/>
          <w:bCs w:val="1"/>
          <w:color w:val="auto"/>
        </w:rPr>
        <w:t>offset by</w:t>
      </w:r>
    </w:p>
    <w:p>
      <w:pPr>
        <w:spacing w:after="0" w:line="256" w:lineRule="exact"/>
        <w:rPr>
          <w:rFonts w:ascii="Arial" w:cs="Arial" w:eastAsia="Arial" w:hAnsi="Arial"/>
          <w:sz w:val="18"/>
          <w:szCs w:val="18"/>
          <w:color w:val="auto"/>
        </w:rPr>
      </w:pPr>
    </w:p>
    <w:p>
      <w:pPr>
        <w:ind w:left="340" w:hanging="188"/>
        <w:spacing w:after="0"/>
        <w:tabs>
          <w:tab w:leader="none" w:pos="340" w:val="left"/>
        </w:tabs>
        <w:numPr>
          <w:ilvl w:val="0"/>
          <w:numId w:val="83"/>
        </w:numPr>
        <w:rPr>
          <w:rFonts w:ascii="Arial" w:cs="Arial" w:eastAsia="Arial" w:hAnsi="Arial"/>
          <w:sz w:val="18"/>
          <w:szCs w:val="18"/>
          <w:color w:val="auto"/>
        </w:rPr>
      </w:pPr>
      <w:r>
        <w:rPr>
          <w:rFonts w:ascii="Arial" w:cs="Arial" w:eastAsia="Arial" w:hAnsi="Arial"/>
          <w:sz w:val="18"/>
          <w:szCs w:val="18"/>
          <w:color w:val="auto"/>
        </w:rPr>
        <w:t>higher unfavorable adjustments related to prior years’ income tax issues.</w:t>
      </w:r>
    </w:p>
    <w:p>
      <w:pPr>
        <w:spacing w:after="0" w:line="252"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SDG&amp;E’s income tax expense increased in the six months ended June 30, 2011 due to higher pretax income and a higher effective tax rate primarily resulting from:</w:t>
      </w:r>
    </w:p>
    <w:p>
      <w:pPr>
        <w:spacing w:after="0" w:line="170" w:lineRule="exact"/>
        <w:rPr>
          <w:sz w:val="20"/>
          <w:szCs w:val="20"/>
          <w:color w:val="auto"/>
        </w:rPr>
      </w:pPr>
    </w:p>
    <w:p>
      <w:pPr>
        <w:ind w:left="340" w:hanging="188"/>
        <w:spacing w:after="0"/>
        <w:tabs>
          <w:tab w:leader="none" w:pos="340" w:val="left"/>
        </w:tabs>
        <w:numPr>
          <w:ilvl w:val="0"/>
          <w:numId w:val="84"/>
        </w:numPr>
        <w:rPr>
          <w:rFonts w:ascii="Arial" w:cs="Arial" w:eastAsia="Arial" w:hAnsi="Arial"/>
          <w:sz w:val="18"/>
          <w:szCs w:val="18"/>
          <w:color w:val="auto"/>
        </w:rPr>
      </w:pPr>
      <w:r>
        <w:rPr>
          <w:rFonts w:ascii="Arial" w:cs="Arial" w:eastAsia="Arial" w:hAnsi="Arial"/>
          <w:sz w:val="18"/>
          <w:szCs w:val="18"/>
          <w:color w:val="auto"/>
        </w:rPr>
        <w:t>unfavorable adjustments related to prior years' income tax issues in 2011 versus favorable adjustments in 2010; and</w:t>
      </w:r>
    </w:p>
    <w:p>
      <w:pPr>
        <w:spacing w:after="0" w:line="252" w:lineRule="exact"/>
        <w:rPr>
          <w:rFonts w:ascii="Arial" w:cs="Arial" w:eastAsia="Arial" w:hAnsi="Arial"/>
          <w:sz w:val="18"/>
          <w:szCs w:val="18"/>
          <w:color w:val="auto"/>
        </w:rPr>
      </w:pPr>
    </w:p>
    <w:p>
      <w:pPr>
        <w:ind w:left="340" w:hanging="188"/>
        <w:spacing w:after="0" w:line="277" w:lineRule="auto"/>
        <w:tabs>
          <w:tab w:leader="none" w:pos="340" w:val="left"/>
        </w:tabs>
        <w:numPr>
          <w:ilvl w:val="0"/>
          <w:numId w:val="84"/>
        </w:numPr>
        <w:rPr>
          <w:rFonts w:ascii="Arial" w:cs="Arial" w:eastAsia="Arial" w:hAnsi="Arial"/>
          <w:sz w:val="18"/>
          <w:szCs w:val="18"/>
          <w:b w:val="1"/>
          <w:bCs w:val="1"/>
          <w:color w:val="auto"/>
        </w:rPr>
      </w:pPr>
      <w:r>
        <w:rPr>
          <w:rFonts w:ascii="Arial" w:cs="Arial" w:eastAsia="Arial" w:hAnsi="Arial"/>
          <w:sz w:val="18"/>
          <w:szCs w:val="18"/>
          <w:color w:val="auto"/>
        </w:rPr>
        <w:t xml:space="preserve">an increase in the amount by which book depreciation exceeds normalized tax depreciation, which is not treated as a deferred tax asset for ratemaking purposes; </w:t>
      </w:r>
      <w:r>
        <w:rPr>
          <w:rFonts w:ascii="Arial" w:cs="Arial" w:eastAsia="Arial" w:hAnsi="Arial"/>
          <w:sz w:val="18"/>
          <w:szCs w:val="18"/>
          <w:b w:val="1"/>
          <w:bCs w:val="1"/>
          <w:color w:val="auto"/>
        </w:rPr>
        <w:t>offset by</w:t>
      </w:r>
    </w:p>
    <w:p>
      <w:pPr>
        <w:spacing w:after="0" w:line="197" w:lineRule="exact"/>
        <w:rPr>
          <w:rFonts w:ascii="Arial" w:cs="Arial" w:eastAsia="Arial" w:hAnsi="Arial"/>
          <w:sz w:val="18"/>
          <w:szCs w:val="18"/>
          <w:b w:val="1"/>
          <w:bCs w:val="1"/>
          <w:color w:val="auto"/>
        </w:rPr>
      </w:pPr>
    </w:p>
    <w:p>
      <w:pPr>
        <w:ind w:left="340" w:hanging="188"/>
        <w:spacing w:after="0"/>
        <w:tabs>
          <w:tab w:leader="none" w:pos="340" w:val="left"/>
        </w:tabs>
        <w:numPr>
          <w:ilvl w:val="0"/>
          <w:numId w:val="84"/>
        </w:numPr>
        <w:rPr>
          <w:rFonts w:ascii="Arial" w:cs="Arial" w:eastAsia="Arial" w:hAnsi="Arial"/>
          <w:sz w:val="18"/>
          <w:szCs w:val="18"/>
          <w:b w:val="1"/>
          <w:bCs w:val="1"/>
          <w:color w:val="auto"/>
        </w:rPr>
      </w:pPr>
      <w:r>
        <w:rPr>
          <w:rFonts w:ascii="Arial" w:cs="Arial" w:eastAsia="Arial" w:hAnsi="Arial"/>
          <w:sz w:val="18"/>
          <w:szCs w:val="18"/>
          <w:color w:val="auto"/>
        </w:rPr>
        <w:t>the impact of Otay Mesa VIE, as we discuss below;</w:t>
      </w:r>
    </w:p>
    <w:p>
      <w:pPr>
        <w:spacing w:after="0" w:line="252" w:lineRule="exact"/>
        <w:rPr>
          <w:rFonts w:ascii="Arial" w:cs="Arial" w:eastAsia="Arial" w:hAnsi="Arial"/>
          <w:sz w:val="18"/>
          <w:szCs w:val="18"/>
          <w:b w:val="1"/>
          <w:bCs w:val="1"/>
          <w:color w:val="auto"/>
        </w:rPr>
      </w:pPr>
    </w:p>
    <w:p>
      <w:pPr>
        <w:ind w:left="340" w:hanging="188"/>
        <w:spacing w:after="0"/>
        <w:tabs>
          <w:tab w:leader="none" w:pos="340" w:val="left"/>
        </w:tabs>
        <w:numPr>
          <w:ilvl w:val="0"/>
          <w:numId w:val="84"/>
        </w:numPr>
        <w:rPr>
          <w:rFonts w:ascii="Arial" w:cs="Arial" w:eastAsia="Arial" w:hAnsi="Arial"/>
          <w:sz w:val="18"/>
          <w:szCs w:val="18"/>
          <w:b w:val="1"/>
          <w:bCs w:val="1"/>
          <w:color w:val="auto"/>
        </w:rPr>
      </w:pPr>
      <w:r>
        <w:rPr>
          <w:rFonts w:ascii="Arial" w:cs="Arial" w:eastAsia="Arial" w:hAnsi="Arial"/>
          <w:sz w:val="18"/>
          <w:szCs w:val="18"/>
          <w:color w:val="auto"/>
        </w:rPr>
        <w:t>higher exclusions from taxable income of the equity portion of AFUDC;</w:t>
      </w:r>
    </w:p>
    <w:p>
      <w:pPr>
        <w:spacing w:after="0" w:line="252" w:lineRule="exact"/>
        <w:rPr>
          <w:rFonts w:ascii="Arial" w:cs="Arial" w:eastAsia="Arial" w:hAnsi="Arial"/>
          <w:sz w:val="18"/>
          <w:szCs w:val="18"/>
          <w:b w:val="1"/>
          <w:bCs w:val="1"/>
          <w:color w:val="auto"/>
        </w:rPr>
      </w:pPr>
    </w:p>
    <w:p>
      <w:pPr>
        <w:ind w:left="340" w:hanging="188"/>
        <w:spacing w:after="0" w:line="277" w:lineRule="auto"/>
        <w:tabs>
          <w:tab w:leader="none" w:pos="340" w:val="left"/>
        </w:tabs>
        <w:numPr>
          <w:ilvl w:val="0"/>
          <w:numId w:val="84"/>
        </w:numPr>
        <w:rPr>
          <w:rFonts w:ascii="Arial" w:cs="Arial" w:eastAsia="Arial" w:hAnsi="Arial"/>
          <w:sz w:val="18"/>
          <w:szCs w:val="18"/>
          <w:b w:val="1"/>
          <w:bCs w:val="1"/>
          <w:color w:val="auto"/>
        </w:rPr>
      </w:pPr>
      <w:r>
        <w:rPr>
          <w:rFonts w:ascii="Arial" w:cs="Arial" w:eastAsia="Arial" w:hAnsi="Arial"/>
          <w:sz w:val="18"/>
          <w:szCs w:val="18"/>
          <w:color w:val="auto"/>
        </w:rPr>
        <w:t>a $3 million write-down in 2010 of the deferred tax assets related to other postretirement benefits as a result of a change in U.S. tax law, as we discuss above; and</w:t>
      </w:r>
    </w:p>
    <w:p>
      <w:pPr>
        <w:spacing w:after="0" w:line="197" w:lineRule="exact"/>
        <w:rPr>
          <w:rFonts w:ascii="Arial" w:cs="Arial" w:eastAsia="Arial" w:hAnsi="Arial"/>
          <w:sz w:val="18"/>
          <w:szCs w:val="18"/>
          <w:b w:val="1"/>
          <w:bCs w:val="1"/>
          <w:color w:val="auto"/>
        </w:rPr>
      </w:pPr>
    </w:p>
    <w:p>
      <w:pPr>
        <w:ind w:left="340" w:hanging="188"/>
        <w:spacing w:after="0"/>
        <w:tabs>
          <w:tab w:leader="none" w:pos="340" w:val="left"/>
        </w:tabs>
        <w:numPr>
          <w:ilvl w:val="0"/>
          <w:numId w:val="84"/>
        </w:numPr>
        <w:rPr>
          <w:rFonts w:ascii="Arial" w:cs="Arial" w:eastAsia="Arial" w:hAnsi="Arial"/>
          <w:sz w:val="18"/>
          <w:szCs w:val="18"/>
          <w:color w:val="auto"/>
        </w:rPr>
      </w:pPr>
      <w:r>
        <w:rPr>
          <w:rFonts w:ascii="Arial" w:cs="Arial" w:eastAsia="Arial" w:hAnsi="Arial"/>
          <w:sz w:val="18"/>
          <w:szCs w:val="18"/>
          <w:color w:val="auto"/>
        </w:rPr>
        <w:t>higher deductions for self-developed software costs.</w:t>
      </w:r>
    </w:p>
    <w:p>
      <w:pPr>
        <w:spacing w:after="0" w:line="252"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Results for Sempra Energy Consolidated and SDG&amp;E include Otay Mesa VIE, which is consolidated, and therefore, their effective income tax rates are impacted by the VIE’s stand-alone effective income tax rate.</w:t>
      </w:r>
    </w:p>
    <w:p>
      <w:pPr>
        <w:spacing w:after="0" w:line="384"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SoCalGas</w:t>
      </w:r>
    </w:p>
    <w:p>
      <w:pPr>
        <w:spacing w:after="0" w:line="205"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In the three months ended June 30, 2011, income tax expense decreased at SoCalGas primarily due to lower pretax income, as well as a lower effective income tax rate primarily due to:</w:t>
      </w:r>
    </w:p>
    <w:p>
      <w:pPr>
        <w:spacing w:after="0" w:line="170" w:lineRule="exact"/>
        <w:rPr>
          <w:sz w:val="20"/>
          <w:szCs w:val="20"/>
          <w:color w:val="auto"/>
        </w:rPr>
      </w:pPr>
    </w:p>
    <w:p>
      <w:pPr>
        <w:ind w:left="340" w:hanging="188"/>
        <w:spacing w:after="0" w:line="277" w:lineRule="auto"/>
        <w:tabs>
          <w:tab w:leader="none" w:pos="340" w:val="left"/>
        </w:tabs>
        <w:numPr>
          <w:ilvl w:val="0"/>
          <w:numId w:val="85"/>
        </w:numPr>
        <w:rPr>
          <w:rFonts w:ascii="Arial" w:cs="Arial" w:eastAsia="Arial" w:hAnsi="Arial"/>
          <w:sz w:val="18"/>
          <w:szCs w:val="18"/>
          <w:b w:val="1"/>
          <w:bCs w:val="1"/>
          <w:color w:val="auto"/>
        </w:rPr>
      </w:pPr>
      <w:r>
        <w:rPr>
          <w:rFonts w:ascii="Arial" w:cs="Arial" w:eastAsia="Arial" w:hAnsi="Arial"/>
          <w:sz w:val="18"/>
          <w:szCs w:val="18"/>
          <w:color w:val="auto"/>
        </w:rPr>
        <w:t xml:space="preserve">a decrease in the amount by which book depreciation exceeds normalized tax depreciation, which is not treated as a deferred tax asset for ratemaking purposes; </w:t>
      </w:r>
      <w:r>
        <w:rPr>
          <w:rFonts w:ascii="Arial" w:cs="Arial" w:eastAsia="Arial" w:hAnsi="Arial"/>
          <w:sz w:val="18"/>
          <w:szCs w:val="18"/>
          <w:b w:val="1"/>
          <w:bCs w:val="1"/>
          <w:color w:val="auto"/>
        </w:rPr>
        <w:t>offset by</w:t>
      </w:r>
    </w:p>
    <w:p>
      <w:pPr>
        <w:spacing w:after="0" w:line="197" w:lineRule="exact"/>
        <w:rPr>
          <w:rFonts w:ascii="Arial" w:cs="Arial" w:eastAsia="Arial" w:hAnsi="Arial"/>
          <w:sz w:val="18"/>
          <w:szCs w:val="18"/>
          <w:b w:val="1"/>
          <w:bCs w:val="1"/>
          <w:color w:val="auto"/>
        </w:rPr>
      </w:pPr>
    </w:p>
    <w:p>
      <w:pPr>
        <w:ind w:left="340" w:hanging="188"/>
        <w:spacing w:after="0"/>
        <w:tabs>
          <w:tab w:leader="none" w:pos="340" w:val="left"/>
        </w:tabs>
        <w:numPr>
          <w:ilvl w:val="0"/>
          <w:numId w:val="85"/>
        </w:numPr>
        <w:rPr>
          <w:rFonts w:ascii="Arial" w:cs="Arial" w:eastAsia="Arial" w:hAnsi="Arial"/>
          <w:sz w:val="18"/>
          <w:szCs w:val="18"/>
          <w:color w:val="auto"/>
        </w:rPr>
      </w:pPr>
      <w:r>
        <w:rPr>
          <w:rFonts w:ascii="Arial" w:cs="Arial" w:eastAsia="Arial" w:hAnsi="Arial"/>
          <w:sz w:val="18"/>
          <w:szCs w:val="18"/>
          <w:color w:val="auto"/>
        </w:rPr>
        <w:t>higher unfavorable adjustments related to prior years’ income tax issues.</w:t>
      </w:r>
    </w:p>
    <w:p>
      <w:pPr>
        <w:spacing w:after="0" w:line="252"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In the six months ended June 30, 2011, income tax expense decreased at SoCalGas primarily due to lower pretax income, as well as a lower effective income tax rate primarily due to:</w:t>
      </w:r>
    </w:p>
    <w:p>
      <w:pPr>
        <w:spacing w:after="0" w:line="170" w:lineRule="exact"/>
        <w:rPr>
          <w:sz w:val="20"/>
          <w:szCs w:val="20"/>
          <w:color w:val="auto"/>
        </w:rPr>
      </w:pPr>
    </w:p>
    <w:p>
      <w:pPr>
        <w:ind w:left="340" w:hanging="188"/>
        <w:spacing w:after="0" w:line="277" w:lineRule="auto"/>
        <w:tabs>
          <w:tab w:leader="none" w:pos="340" w:val="left"/>
        </w:tabs>
        <w:numPr>
          <w:ilvl w:val="0"/>
          <w:numId w:val="86"/>
        </w:numPr>
        <w:rPr>
          <w:rFonts w:ascii="Arial" w:cs="Arial" w:eastAsia="Arial" w:hAnsi="Arial"/>
          <w:sz w:val="18"/>
          <w:szCs w:val="18"/>
          <w:color w:val="auto"/>
        </w:rPr>
      </w:pPr>
      <w:r>
        <w:rPr>
          <w:rFonts w:ascii="Arial" w:cs="Arial" w:eastAsia="Arial" w:hAnsi="Arial"/>
          <w:sz w:val="18"/>
          <w:szCs w:val="18"/>
          <w:color w:val="auto"/>
        </w:rPr>
        <w:t>a $13 million write-down in 2010 of the deferred tax assets related to other postretirement benefits as a result of a change in U.S. tax law, as we discussed above; and</w:t>
      </w:r>
    </w:p>
    <w:p>
      <w:pPr>
        <w:spacing w:after="0" w:line="193" w:lineRule="exact"/>
        <w:rPr>
          <w:rFonts w:ascii="Arial" w:cs="Arial" w:eastAsia="Arial" w:hAnsi="Arial"/>
          <w:sz w:val="18"/>
          <w:szCs w:val="18"/>
          <w:color w:val="auto"/>
        </w:rPr>
      </w:pPr>
    </w:p>
    <w:p>
      <w:pPr>
        <w:ind w:left="340" w:hanging="188"/>
        <w:spacing w:after="0"/>
        <w:tabs>
          <w:tab w:leader="none" w:pos="340" w:val="left"/>
        </w:tabs>
        <w:numPr>
          <w:ilvl w:val="0"/>
          <w:numId w:val="86"/>
        </w:numPr>
        <w:rPr>
          <w:rFonts w:ascii="Arial" w:cs="Arial" w:eastAsia="Arial" w:hAnsi="Arial"/>
          <w:sz w:val="18"/>
          <w:szCs w:val="18"/>
          <w:b w:val="1"/>
          <w:bCs w:val="1"/>
          <w:color w:val="auto"/>
        </w:rPr>
      </w:pPr>
      <w:r>
        <w:rPr>
          <w:rFonts w:ascii="Arial" w:cs="Arial" w:eastAsia="Arial" w:hAnsi="Arial"/>
          <w:sz w:val="18"/>
          <w:szCs w:val="18"/>
          <w:color w:val="auto"/>
        </w:rPr>
        <w:t xml:space="preserve">higher deductions for self-developed software costs; </w:t>
      </w:r>
      <w:r>
        <w:rPr>
          <w:rFonts w:ascii="Arial" w:cs="Arial" w:eastAsia="Arial" w:hAnsi="Arial"/>
          <w:sz w:val="18"/>
          <w:szCs w:val="18"/>
          <w:b w:val="1"/>
          <w:bCs w:val="1"/>
          <w:color w:val="auto"/>
        </w:rPr>
        <w:t>offset by</w:t>
      </w:r>
    </w:p>
    <w:p>
      <w:pPr>
        <w:spacing w:after="0" w:line="256" w:lineRule="exact"/>
        <w:rPr>
          <w:rFonts w:ascii="Arial" w:cs="Arial" w:eastAsia="Arial" w:hAnsi="Arial"/>
          <w:sz w:val="18"/>
          <w:szCs w:val="18"/>
          <w:b w:val="1"/>
          <w:bCs w:val="1"/>
          <w:color w:val="auto"/>
        </w:rPr>
      </w:pPr>
    </w:p>
    <w:p>
      <w:pPr>
        <w:ind w:left="340" w:hanging="188"/>
        <w:spacing w:after="0" w:line="277" w:lineRule="auto"/>
        <w:tabs>
          <w:tab w:leader="none" w:pos="340" w:val="left"/>
        </w:tabs>
        <w:numPr>
          <w:ilvl w:val="0"/>
          <w:numId w:val="86"/>
        </w:numPr>
        <w:rPr>
          <w:rFonts w:ascii="Arial" w:cs="Arial" w:eastAsia="Arial" w:hAnsi="Arial"/>
          <w:sz w:val="18"/>
          <w:szCs w:val="18"/>
          <w:b w:val="1"/>
          <w:bCs w:val="1"/>
          <w:color w:val="auto"/>
        </w:rPr>
      </w:pPr>
      <w:r>
        <w:rPr>
          <w:rFonts w:ascii="Arial" w:cs="Arial" w:eastAsia="Arial" w:hAnsi="Arial"/>
          <w:sz w:val="18"/>
          <w:szCs w:val="18"/>
          <w:color w:val="auto"/>
        </w:rPr>
        <w:t>an increase in the amount by which book depreciation exceeds normalized tax depreciation, which is not treated as a deferred tax asset for ratemaking purposes.</w:t>
      </w:r>
    </w:p>
    <w:p>
      <w:pPr>
        <w:spacing w:after="0" w:line="235"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The Tax Relief, Unemployment Insurance Reauthorization, and Job Creation Act of 2010</w:t>
      </w:r>
    </w:p>
    <w:p>
      <w:pPr>
        <w:spacing w:after="0" w:line="205" w:lineRule="exact"/>
        <w:rPr>
          <w:sz w:val="20"/>
          <w:szCs w:val="20"/>
          <w:color w:val="auto"/>
        </w:rPr>
      </w:pPr>
    </w:p>
    <w:p>
      <w:pPr>
        <w:ind w:right="180"/>
        <w:spacing w:after="0" w:line="297" w:lineRule="auto"/>
        <w:rPr>
          <w:sz w:val="20"/>
          <w:szCs w:val="20"/>
          <w:color w:val="auto"/>
        </w:rPr>
      </w:pPr>
      <w:r>
        <w:rPr>
          <w:rFonts w:ascii="Arial" w:cs="Arial" w:eastAsia="Arial" w:hAnsi="Arial"/>
          <w:sz w:val="16"/>
          <w:szCs w:val="16"/>
          <w:color w:val="auto"/>
        </w:rPr>
        <w:t>In December 2010, the Tax Relief, Unemployment Insurance Reauthorization, and Job Creation Act of 2010 (2010 Tax Act) was signed into law. The 2010 Tax Act included the extension of bonus depreciation for U.S. federal income tax purposes for years 2010 through 2012 and an increase in the rate of bonus depreciation from 50 percent to 100 percent. This increased rate only applies to certain investments made after September 8, 2010 through December 31, 2012. Self-constructed property, where the construction period exceeds one year, construction starts between December 31, 2007 and January 1, 2013, and the property is placed in service by December 31, 2013, will qualify for bonus depreciation in 2013 at either the original or increased rate.</w:t>
      </w:r>
    </w:p>
    <w:p>
      <w:pPr>
        <w:spacing w:after="0" w:line="158"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Additionally, the 2010 Tax Act extended for years 2010 and 2011 the U.S. federal income tax law known as the look-through rule. This rule allows, under certain situations, for certain non-operating activity (e.g., dividend income, royalty income, interest income, rental income, etc.) of a greater than 50-percent owned non-U.S. subsidiary, to not be taxed under U.S. federal income tax law. If this rule is not extended beyond 2011, Sempra Energy’s effective income tax rate could potentially increase in subsequent years.</w:t>
      </w:r>
    </w:p>
    <w:p>
      <w:pPr>
        <w:sectPr>
          <w:pgSz w:w="11900" w:h="16838" w:orient="portrait"/>
          <w:cols w:equalWidth="0" w:num="1">
            <w:col w:w="11420"/>
          </w:cols>
          <w:pgMar w:left="240" w:top="125" w:right="239" w:bottom="142" w:gutter="0" w:footer="0" w:header="0"/>
        </w:sectPr>
      </w:pPr>
    </w:p>
    <w:bookmarkStart w:id="63" w:name="page64"/>
    <w:bookmarkEnd w:id="63"/>
    <w:p>
      <w:pPr>
        <w:ind w:right="220"/>
        <w:spacing w:after="0" w:line="277" w:lineRule="auto"/>
        <w:rPr>
          <w:sz w:val="20"/>
          <w:szCs w:val="20"/>
          <w:color w:val="auto"/>
        </w:rPr>
      </w:pPr>
      <w:r>
        <w:rPr>
          <w:rFonts w:ascii="Arial" w:cs="Arial" w:eastAsia="Arial" w:hAnsi="Arial"/>
          <w:sz w:val="18"/>
          <w:szCs w:val="18"/>
          <w:color w:val="auto"/>
        </w:rPr>
        <w:t>We provide further discussion regarding the 2010 Tax Act in "Management's Discussion and Analysis of Financial Condition and Results of Operations" in the Annual Report.</w:t>
      </w:r>
    </w:p>
    <w:p>
      <w:pPr>
        <w:spacing w:after="0" w:line="384"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Equity Earnings, Net of Income Tax</w:t>
      </w:r>
    </w:p>
    <w:p>
      <w:pPr>
        <w:spacing w:after="0" w:line="205"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Equity earnings, net of income tax, consisting of earnings from Sempra Pipelines &amp; Storage’s equity method investments, were $8 million in the three months ended June 30, 2011 compared to $27 million for the corresponding period in 2010. The decrease in 2011 was primarily due to:</w:t>
      </w:r>
    </w:p>
    <w:p>
      <w:pPr>
        <w:spacing w:after="0" w:line="166" w:lineRule="exact"/>
        <w:rPr>
          <w:sz w:val="20"/>
          <w:szCs w:val="20"/>
          <w:color w:val="auto"/>
        </w:rPr>
      </w:pPr>
    </w:p>
    <w:p>
      <w:pPr>
        <w:ind w:left="340" w:hanging="188"/>
        <w:spacing w:after="0"/>
        <w:tabs>
          <w:tab w:leader="none" w:pos="340" w:val="left"/>
        </w:tabs>
        <w:numPr>
          <w:ilvl w:val="0"/>
          <w:numId w:val="87"/>
        </w:numPr>
        <w:rPr>
          <w:rFonts w:ascii="Arial" w:cs="Arial" w:eastAsia="Arial" w:hAnsi="Arial"/>
          <w:sz w:val="18"/>
          <w:szCs w:val="18"/>
          <w:color w:val="auto"/>
        </w:rPr>
      </w:pPr>
      <w:r>
        <w:rPr>
          <w:rFonts w:ascii="Arial" w:cs="Arial" w:eastAsia="Arial" w:hAnsi="Arial"/>
          <w:sz w:val="18"/>
          <w:szCs w:val="18"/>
          <w:color w:val="auto"/>
        </w:rPr>
        <w:t xml:space="preserve">$22 million lower earnings related to equity method investments in Chile and Peru, for entities that are now consolidated; </w:t>
      </w:r>
      <w:r>
        <w:rPr>
          <w:rFonts w:ascii="Arial" w:cs="Arial" w:eastAsia="Arial" w:hAnsi="Arial"/>
          <w:sz w:val="18"/>
          <w:szCs w:val="18"/>
          <w:b w:val="1"/>
          <w:bCs w:val="1"/>
          <w:color w:val="auto"/>
        </w:rPr>
        <w:t>offset by</w:t>
      </w:r>
    </w:p>
    <w:p>
      <w:pPr>
        <w:spacing w:after="0" w:line="256" w:lineRule="exact"/>
        <w:rPr>
          <w:rFonts w:ascii="Arial" w:cs="Arial" w:eastAsia="Arial" w:hAnsi="Arial"/>
          <w:sz w:val="18"/>
          <w:szCs w:val="18"/>
          <w:color w:val="auto"/>
        </w:rPr>
      </w:pPr>
    </w:p>
    <w:p>
      <w:pPr>
        <w:ind w:left="340" w:hanging="188"/>
        <w:spacing w:after="0"/>
        <w:tabs>
          <w:tab w:leader="none" w:pos="340" w:val="left"/>
        </w:tabs>
        <w:numPr>
          <w:ilvl w:val="0"/>
          <w:numId w:val="87"/>
        </w:numPr>
        <w:rPr>
          <w:rFonts w:ascii="Arial" w:cs="Arial" w:eastAsia="Arial" w:hAnsi="Arial"/>
          <w:sz w:val="18"/>
          <w:szCs w:val="18"/>
          <w:color w:val="auto"/>
        </w:rPr>
      </w:pPr>
      <w:r>
        <w:rPr>
          <w:rFonts w:ascii="Arial" w:cs="Arial" w:eastAsia="Arial" w:hAnsi="Arial"/>
          <w:sz w:val="18"/>
          <w:szCs w:val="18"/>
          <w:color w:val="auto"/>
        </w:rPr>
        <w:t>$4 million higher earnings related to the joint-venture interest acquired from El Paso Corporation in April 2010.</w:t>
      </w:r>
    </w:p>
    <w:p>
      <w:pPr>
        <w:spacing w:after="0" w:line="252" w:lineRule="exact"/>
        <w:rPr>
          <w:sz w:val="20"/>
          <w:szCs w:val="20"/>
          <w:color w:val="auto"/>
        </w:rPr>
      </w:pPr>
    </w:p>
    <w:p>
      <w:pPr>
        <w:spacing w:after="0"/>
        <w:rPr>
          <w:sz w:val="20"/>
          <w:szCs w:val="20"/>
          <w:color w:val="auto"/>
        </w:rPr>
      </w:pPr>
      <w:r>
        <w:rPr>
          <w:rFonts w:ascii="Arial" w:cs="Arial" w:eastAsia="Arial" w:hAnsi="Arial"/>
          <w:sz w:val="16"/>
          <w:szCs w:val="16"/>
          <w:color w:val="auto"/>
        </w:rPr>
        <w:t>Equity earnings, net of income tax, were $39 million in the six months ended June 30, 2011 compared to $46 million for the corresponding period in 2010.</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decrease in 2011 was primarily due to:</w:t>
      </w:r>
    </w:p>
    <w:p>
      <w:pPr>
        <w:spacing w:after="0" w:line="207" w:lineRule="exact"/>
        <w:rPr>
          <w:sz w:val="20"/>
          <w:szCs w:val="20"/>
          <w:color w:val="auto"/>
        </w:rPr>
      </w:pPr>
    </w:p>
    <w:p>
      <w:pPr>
        <w:ind w:left="340" w:hanging="188"/>
        <w:spacing w:after="0"/>
        <w:tabs>
          <w:tab w:leader="none" w:pos="340" w:val="left"/>
        </w:tabs>
        <w:numPr>
          <w:ilvl w:val="0"/>
          <w:numId w:val="88"/>
        </w:numPr>
        <w:rPr>
          <w:rFonts w:ascii="Arial" w:cs="Arial" w:eastAsia="Arial" w:hAnsi="Arial"/>
          <w:sz w:val="18"/>
          <w:szCs w:val="18"/>
          <w:color w:val="auto"/>
        </w:rPr>
      </w:pPr>
      <w:r>
        <w:rPr>
          <w:rFonts w:ascii="Arial" w:cs="Arial" w:eastAsia="Arial" w:hAnsi="Arial"/>
          <w:sz w:val="18"/>
          <w:szCs w:val="18"/>
          <w:color w:val="auto"/>
        </w:rPr>
        <w:t xml:space="preserve">$17 million lower earnings related to equity method investments in Chile and Peru, for entities that are now consolidated; </w:t>
      </w:r>
      <w:r>
        <w:rPr>
          <w:rFonts w:ascii="Arial" w:cs="Arial" w:eastAsia="Arial" w:hAnsi="Arial"/>
          <w:sz w:val="18"/>
          <w:szCs w:val="18"/>
          <w:b w:val="1"/>
          <w:bCs w:val="1"/>
          <w:color w:val="auto"/>
        </w:rPr>
        <w:t>offset by</w:t>
      </w:r>
    </w:p>
    <w:p>
      <w:pPr>
        <w:spacing w:after="0" w:line="256" w:lineRule="exact"/>
        <w:rPr>
          <w:rFonts w:ascii="Arial" w:cs="Arial" w:eastAsia="Arial" w:hAnsi="Arial"/>
          <w:sz w:val="18"/>
          <w:szCs w:val="18"/>
          <w:color w:val="auto"/>
        </w:rPr>
      </w:pPr>
    </w:p>
    <w:p>
      <w:pPr>
        <w:ind w:left="340" w:hanging="188"/>
        <w:spacing w:after="0"/>
        <w:tabs>
          <w:tab w:leader="none" w:pos="340" w:val="left"/>
        </w:tabs>
        <w:numPr>
          <w:ilvl w:val="0"/>
          <w:numId w:val="88"/>
        </w:numPr>
        <w:rPr>
          <w:rFonts w:ascii="Arial" w:cs="Arial" w:eastAsia="Arial" w:hAnsi="Arial"/>
          <w:sz w:val="18"/>
          <w:szCs w:val="18"/>
          <w:color w:val="auto"/>
        </w:rPr>
      </w:pPr>
      <w:r>
        <w:rPr>
          <w:rFonts w:ascii="Arial" w:cs="Arial" w:eastAsia="Arial" w:hAnsi="Arial"/>
          <w:sz w:val="18"/>
          <w:szCs w:val="18"/>
          <w:color w:val="auto"/>
        </w:rPr>
        <w:t>$11 million higher earnings related to the joint-venture interest acquired from El Paso Corporation in April 2010.</w:t>
      </w: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Losses Attributable to Noncontrolling Interests</w:t>
      </w:r>
    </w:p>
    <w:p>
      <w:pPr>
        <w:spacing w:after="0" w:line="202"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Sempra Energy Consolidated</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Losses attributable to noncontrolling interests decreased by $8 million to $12 million in the three months ended June 30, 2011 primarily due to:</w:t>
      </w:r>
    </w:p>
    <w:p>
      <w:pPr>
        <w:spacing w:after="0" w:line="225" w:lineRule="exact"/>
        <w:rPr>
          <w:sz w:val="20"/>
          <w:szCs w:val="20"/>
          <w:color w:val="auto"/>
        </w:rPr>
      </w:pPr>
    </w:p>
    <w:p>
      <w:pPr>
        <w:ind w:left="340" w:hanging="188"/>
        <w:spacing w:after="0"/>
        <w:tabs>
          <w:tab w:leader="none" w:pos="340" w:val="left"/>
        </w:tabs>
        <w:numPr>
          <w:ilvl w:val="0"/>
          <w:numId w:val="89"/>
        </w:numPr>
        <w:rPr>
          <w:rFonts w:ascii="Arial" w:cs="Arial" w:eastAsia="Arial" w:hAnsi="Arial"/>
          <w:sz w:val="18"/>
          <w:szCs w:val="18"/>
          <w:color w:val="auto"/>
        </w:rPr>
      </w:pPr>
      <w:r>
        <w:rPr>
          <w:rFonts w:ascii="Arial" w:cs="Arial" w:eastAsia="Arial" w:hAnsi="Arial"/>
          <w:sz w:val="18"/>
          <w:szCs w:val="18"/>
          <w:color w:val="auto"/>
        </w:rPr>
        <w:t>$8 million earnings primarily from noncontrolling interests at Luz del Sur in 2011; and</w:t>
      </w:r>
    </w:p>
    <w:p>
      <w:pPr>
        <w:spacing w:after="0" w:line="252" w:lineRule="exact"/>
        <w:rPr>
          <w:rFonts w:ascii="Arial" w:cs="Arial" w:eastAsia="Arial" w:hAnsi="Arial"/>
          <w:sz w:val="18"/>
          <w:szCs w:val="18"/>
          <w:color w:val="auto"/>
        </w:rPr>
      </w:pPr>
    </w:p>
    <w:p>
      <w:pPr>
        <w:ind w:left="340" w:hanging="188"/>
        <w:spacing w:after="0"/>
        <w:tabs>
          <w:tab w:leader="none" w:pos="340" w:val="left"/>
        </w:tabs>
        <w:numPr>
          <w:ilvl w:val="0"/>
          <w:numId w:val="89"/>
        </w:numPr>
        <w:rPr>
          <w:rFonts w:ascii="Arial" w:cs="Arial" w:eastAsia="Arial" w:hAnsi="Arial"/>
          <w:sz w:val="18"/>
          <w:szCs w:val="18"/>
          <w:color w:val="auto"/>
        </w:rPr>
      </w:pPr>
      <w:r>
        <w:rPr>
          <w:rFonts w:ascii="Arial" w:cs="Arial" w:eastAsia="Arial" w:hAnsi="Arial"/>
          <w:sz w:val="18"/>
          <w:szCs w:val="18"/>
          <w:color w:val="auto"/>
        </w:rPr>
        <w:t>$2 million lower losses related to Otay Mesa VIE, which we discuss below.</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Losses attributable to noncontrolling interests decreased by $20 million to $8 million in the six months ended June 30, 2011 primarily due to:</w:t>
      </w:r>
    </w:p>
    <w:p>
      <w:pPr>
        <w:spacing w:after="0" w:line="225" w:lineRule="exact"/>
        <w:rPr>
          <w:sz w:val="20"/>
          <w:szCs w:val="20"/>
          <w:color w:val="auto"/>
        </w:rPr>
      </w:pPr>
    </w:p>
    <w:p>
      <w:pPr>
        <w:ind w:left="340" w:hanging="188"/>
        <w:spacing w:after="0"/>
        <w:tabs>
          <w:tab w:leader="none" w:pos="340" w:val="left"/>
        </w:tabs>
        <w:numPr>
          <w:ilvl w:val="0"/>
          <w:numId w:val="90"/>
        </w:numPr>
        <w:rPr>
          <w:rFonts w:ascii="Arial" w:cs="Arial" w:eastAsia="Arial" w:hAnsi="Arial"/>
          <w:sz w:val="18"/>
          <w:szCs w:val="18"/>
          <w:color w:val="auto"/>
        </w:rPr>
      </w:pPr>
      <w:r>
        <w:rPr>
          <w:rFonts w:ascii="Arial" w:cs="Arial" w:eastAsia="Arial" w:hAnsi="Arial"/>
          <w:sz w:val="18"/>
          <w:szCs w:val="18"/>
          <w:color w:val="auto"/>
        </w:rPr>
        <w:t>$14 million lower losses related to Otay Mesa VIE, which we discuss below; and</w:t>
      </w:r>
    </w:p>
    <w:p>
      <w:pPr>
        <w:spacing w:after="0" w:line="252" w:lineRule="exact"/>
        <w:rPr>
          <w:rFonts w:ascii="Arial" w:cs="Arial" w:eastAsia="Arial" w:hAnsi="Arial"/>
          <w:sz w:val="18"/>
          <w:szCs w:val="18"/>
          <w:color w:val="auto"/>
        </w:rPr>
      </w:pPr>
    </w:p>
    <w:p>
      <w:pPr>
        <w:ind w:left="340" w:hanging="188"/>
        <w:spacing w:after="0"/>
        <w:tabs>
          <w:tab w:leader="none" w:pos="340" w:val="left"/>
        </w:tabs>
        <w:numPr>
          <w:ilvl w:val="0"/>
          <w:numId w:val="90"/>
        </w:numPr>
        <w:rPr>
          <w:rFonts w:ascii="Arial" w:cs="Arial" w:eastAsia="Arial" w:hAnsi="Arial"/>
          <w:sz w:val="18"/>
          <w:szCs w:val="18"/>
          <w:color w:val="auto"/>
        </w:rPr>
      </w:pPr>
      <w:r>
        <w:rPr>
          <w:rFonts w:ascii="Arial" w:cs="Arial" w:eastAsia="Arial" w:hAnsi="Arial"/>
          <w:sz w:val="18"/>
          <w:szCs w:val="18"/>
          <w:color w:val="auto"/>
        </w:rPr>
        <w:t>$8 million earnings primarily from noncontrolling interests at Luz del Sur in 2011.</w:t>
      </w:r>
    </w:p>
    <w:p>
      <w:pPr>
        <w:spacing w:after="0" w:line="250"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SDG&amp;E</w:t>
      </w:r>
    </w:p>
    <w:p>
      <w:pPr>
        <w:spacing w:after="0" w:line="205"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Losses attributable to noncontrolling interests, all related to Otay Mesa VIE, decreased by $2 million in the three months ended June 30, 2011 primarily due to:</w:t>
      </w:r>
    </w:p>
    <w:p>
      <w:pPr>
        <w:spacing w:after="0" w:line="170" w:lineRule="exact"/>
        <w:rPr>
          <w:sz w:val="20"/>
          <w:szCs w:val="20"/>
          <w:color w:val="auto"/>
        </w:rPr>
      </w:pPr>
    </w:p>
    <w:p>
      <w:pPr>
        <w:ind w:left="340" w:hanging="188"/>
        <w:spacing w:after="0"/>
        <w:tabs>
          <w:tab w:leader="none" w:pos="340" w:val="left"/>
        </w:tabs>
        <w:numPr>
          <w:ilvl w:val="0"/>
          <w:numId w:val="91"/>
        </w:numPr>
        <w:rPr>
          <w:rFonts w:ascii="Arial" w:cs="Arial" w:eastAsia="Arial" w:hAnsi="Arial"/>
          <w:sz w:val="18"/>
          <w:szCs w:val="18"/>
          <w:color w:val="auto"/>
        </w:rPr>
      </w:pPr>
      <w:r>
        <w:rPr>
          <w:rFonts w:ascii="Arial" w:cs="Arial" w:eastAsia="Arial" w:hAnsi="Arial"/>
          <w:sz w:val="18"/>
          <w:szCs w:val="18"/>
          <w:color w:val="auto"/>
        </w:rPr>
        <w:t>$25 million of losses on interest rate instruments in 2010; and</w:t>
      </w:r>
    </w:p>
    <w:p>
      <w:pPr>
        <w:spacing w:after="0" w:line="248" w:lineRule="exact"/>
        <w:rPr>
          <w:rFonts w:ascii="Arial" w:cs="Arial" w:eastAsia="Arial" w:hAnsi="Arial"/>
          <w:sz w:val="18"/>
          <w:szCs w:val="18"/>
          <w:color w:val="auto"/>
        </w:rPr>
      </w:pPr>
    </w:p>
    <w:p>
      <w:pPr>
        <w:ind w:left="340" w:hanging="188"/>
        <w:spacing w:after="0"/>
        <w:tabs>
          <w:tab w:leader="none" w:pos="340" w:val="left"/>
        </w:tabs>
        <w:numPr>
          <w:ilvl w:val="0"/>
          <w:numId w:val="91"/>
        </w:numPr>
        <w:rPr>
          <w:rFonts w:ascii="Arial" w:cs="Arial" w:eastAsia="Arial" w:hAnsi="Arial"/>
          <w:sz w:val="18"/>
          <w:szCs w:val="18"/>
          <w:color w:val="auto"/>
        </w:rPr>
      </w:pPr>
      <w:r>
        <w:rPr>
          <w:rFonts w:ascii="Arial" w:cs="Arial" w:eastAsia="Arial" w:hAnsi="Arial"/>
          <w:sz w:val="18"/>
          <w:szCs w:val="18"/>
          <w:color w:val="auto"/>
        </w:rPr>
        <w:t xml:space="preserve">$3 million in interest expense in 2010; </w:t>
      </w:r>
      <w:r>
        <w:rPr>
          <w:rFonts w:ascii="Arial" w:cs="Arial" w:eastAsia="Arial" w:hAnsi="Arial"/>
          <w:sz w:val="18"/>
          <w:szCs w:val="18"/>
          <w:b w:val="1"/>
          <w:bCs w:val="1"/>
          <w:color w:val="auto"/>
        </w:rPr>
        <w:t>offset by</w:t>
      </w:r>
    </w:p>
    <w:p>
      <w:pPr>
        <w:spacing w:after="0" w:line="256" w:lineRule="exact"/>
        <w:rPr>
          <w:rFonts w:ascii="Arial" w:cs="Arial" w:eastAsia="Arial" w:hAnsi="Arial"/>
          <w:sz w:val="18"/>
          <w:szCs w:val="18"/>
          <w:color w:val="auto"/>
        </w:rPr>
      </w:pPr>
    </w:p>
    <w:p>
      <w:pPr>
        <w:ind w:left="340" w:hanging="188"/>
        <w:spacing w:after="0"/>
        <w:tabs>
          <w:tab w:leader="none" w:pos="340" w:val="left"/>
        </w:tabs>
        <w:numPr>
          <w:ilvl w:val="0"/>
          <w:numId w:val="91"/>
        </w:numPr>
        <w:rPr>
          <w:rFonts w:ascii="Arial" w:cs="Arial" w:eastAsia="Arial" w:hAnsi="Arial"/>
          <w:sz w:val="18"/>
          <w:szCs w:val="18"/>
          <w:color w:val="auto"/>
        </w:rPr>
      </w:pPr>
      <w:r>
        <w:rPr>
          <w:rFonts w:ascii="Arial" w:cs="Arial" w:eastAsia="Arial" w:hAnsi="Arial"/>
          <w:sz w:val="18"/>
          <w:szCs w:val="18"/>
          <w:color w:val="auto"/>
        </w:rPr>
        <w:t>$24 million decrease in operating income in 2011.</w:t>
      </w:r>
    </w:p>
    <w:p>
      <w:pPr>
        <w:spacing w:after="0" w:line="252" w:lineRule="exact"/>
        <w:rPr>
          <w:sz w:val="20"/>
          <w:szCs w:val="20"/>
          <w:color w:val="auto"/>
        </w:rPr>
      </w:pPr>
    </w:p>
    <w:p>
      <w:pPr>
        <w:spacing w:after="0"/>
        <w:rPr>
          <w:sz w:val="20"/>
          <w:szCs w:val="20"/>
          <w:color w:val="auto"/>
        </w:rPr>
      </w:pPr>
      <w:r>
        <w:rPr>
          <w:rFonts w:ascii="Arial" w:cs="Arial" w:eastAsia="Arial" w:hAnsi="Arial"/>
          <w:sz w:val="16"/>
          <w:szCs w:val="16"/>
          <w:color w:val="auto"/>
        </w:rPr>
        <w:t>Losses attributable to noncontrolling interests, all related to Otay Mesa VIE, decreased by $14 million in the six months ended June 30, 2011 primarily due to:</w:t>
      </w:r>
    </w:p>
    <w:p>
      <w:pPr>
        <w:spacing w:after="0" w:line="248" w:lineRule="exact"/>
        <w:rPr>
          <w:sz w:val="20"/>
          <w:szCs w:val="20"/>
          <w:color w:val="auto"/>
        </w:rPr>
      </w:pPr>
    </w:p>
    <w:p>
      <w:pPr>
        <w:ind w:left="340" w:hanging="188"/>
        <w:spacing w:after="0"/>
        <w:tabs>
          <w:tab w:leader="none" w:pos="340" w:val="left"/>
        </w:tabs>
        <w:numPr>
          <w:ilvl w:val="0"/>
          <w:numId w:val="92"/>
        </w:numPr>
        <w:rPr>
          <w:rFonts w:ascii="Arial" w:cs="Arial" w:eastAsia="Arial" w:hAnsi="Arial"/>
          <w:sz w:val="18"/>
          <w:szCs w:val="18"/>
          <w:color w:val="auto"/>
        </w:rPr>
      </w:pPr>
      <w:r>
        <w:rPr>
          <w:rFonts w:ascii="Arial" w:cs="Arial" w:eastAsia="Arial" w:hAnsi="Arial"/>
          <w:sz w:val="18"/>
          <w:szCs w:val="18"/>
          <w:color w:val="auto"/>
        </w:rPr>
        <w:t>$34 million of losses on interest rate instruments in 2010; and</w:t>
      </w:r>
    </w:p>
    <w:p>
      <w:pPr>
        <w:spacing w:after="0" w:line="248" w:lineRule="exact"/>
        <w:rPr>
          <w:rFonts w:ascii="Arial" w:cs="Arial" w:eastAsia="Arial" w:hAnsi="Arial"/>
          <w:sz w:val="18"/>
          <w:szCs w:val="18"/>
          <w:color w:val="auto"/>
        </w:rPr>
      </w:pPr>
    </w:p>
    <w:p>
      <w:pPr>
        <w:ind w:left="340" w:hanging="188"/>
        <w:spacing w:after="0"/>
        <w:tabs>
          <w:tab w:leader="none" w:pos="340" w:val="left"/>
        </w:tabs>
        <w:numPr>
          <w:ilvl w:val="0"/>
          <w:numId w:val="92"/>
        </w:numPr>
        <w:rPr>
          <w:rFonts w:ascii="Arial" w:cs="Arial" w:eastAsia="Arial" w:hAnsi="Arial"/>
          <w:sz w:val="18"/>
          <w:szCs w:val="18"/>
          <w:color w:val="auto"/>
        </w:rPr>
      </w:pPr>
      <w:r>
        <w:rPr>
          <w:rFonts w:ascii="Arial" w:cs="Arial" w:eastAsia="Arial" w:hAnsi="Arial"/>
          <w:sz w:val="18"/>
          <w:szCs w:val="18"/>
          <w:color w:val="auto"/>
        </w:rPr>
        <w:t xml:space="preserve">$7 million in interest expense in 2010; </w:t>
      </w:r>
      <w:r>
        <w:rPr>
          <w:rFonts w:ascii="Arial" w:cs="Arial" w:eastAsia="Arial" w:hAnsi="Arial"/>
          <w:sz w:val="18"/>
          <w:szCs w:val="18"/>
          <w:b w:val="1"/>
          <w:bCs w:val="1"/>
          <w:color w:val="auto"/>
        </w:rPr>
        <w:t>offset by</w:t>
      </w:r>
    </w:p>
    <w:p>
      <w:pPr>
        <w:spacing w:after="0" w:line="256" w:lineRule="exact"/>
        <w:rPr>
          <w:rFonts w:ascii="Arial" w:cs="Arial" w:eastAsia="Arial" w:hAnsi="Arial"/>
          <w:sz w:val="18"/>
          <w:szCs w:val="18"/>
          <w:color w:val="auto"/>
        </w:rPr>
      </w:pPr>
    </w:p>
    <w:p>
      <w:pPr>
        <w:ind w:left="340" w:hanging="188"/>
        <w:spacing w:after="0"/>
        <w:tabs>
          <w:tab w:leader="none" w:pos="340" w:val="left"/>
        </w:tabs>
        <w:numPr>
          <w:ilvl w:val="0"/>
          <w:numId w:val="92"/>
        </w:numPr>
        <w:rPr>
          <w:rFonts w:ascii="Arial" w:cs="Arial" w:eastAsia="Arial" w:hAnsi="Arial"/>
          <w:sz w:val="18"/>
          <w:szCs w:val="18"/>
          <w:color w:val="auto"/>
        </w:rPr>
      </w:pPr>
      <w:r>
        <w:rPr>
          <w:rFonts w:ascii="Arial" w:cs="Arial" w:eastAsia="Arial" w:hAnsi="Arial"/>
          <w:sz w:val="18"/>
          <w:szCs w:val="18"/>
          <w:color w:val="auto"/>
        </w:rPr>
        <w:t>$22 million decrease in operating income in 2011.</w:t>
      </w: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Earnings</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We discuss variations in Sempra Energy's earnings by business unit above in "Business Unit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366395</wp:posOffset>
            </wp:positionV>
            <wp:extent cx="7263765"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Arial" w:cs="Arial" w:eastAsia="Arial" w:hAnsi="Arial"/>
          <w:sz w:val="20"/>
          <w:szCs w:val="20"/>
          <w:color w:val="auto"/>
        </w:rPr>
        <w:t>CAPITAL RESOURCES AND LIQUIDITY</w:t>
      </w:r>
    </w:p>
    <w:p>
      <w:pPr>
        <w:spacing w:after="0" w:line="191"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We expect our cash flows from operations to fund a substantial portion of our capital expenditures and dividends. In addition, we may meet our cash requirements through the issuance of short-term and long-term debt and the expected distributions from RBS Sempra Commodities related to proceeds from the transactions to sell certain businesses within the joint venture, as we discuss below.</w:t>
      </w:r>
    </w:p>
    <w:p>
      <w:pPr>
        <w:spacing w:after="0" w:line="181" w:lineRule="exact"/>
        <w:rPr>
          <w:sz w:val="20"/>
          <w:szCs w:val="20"/>
          <w:color w:val="auto"/>
        </w:rPr>
      </w:pPr>
    </w:p>
    <w:p>
      <w:pPr>
        <w:ind w:right="280"/>
        <w:spacing w:after="0" w:line="259" w:lineRule="auto"/>
        <w:rPr>
          <w:sz w:val="20"/>
          <w:szCs w:val="20"/>
          <w:color w:val="auto"/>
        </w:rPr>
      </w:pPr>
      <w:r>
        <w:rPr>
          <w:rFonts w:ascii="Arial" w:cs="Arial" w:eastAsia="Arial" w:hAnsi="Arial"/>
          <w:sz w:val="18"/>
          <w:szCs w:val="18"/>
          <w:color w:val="auto"/>
        </w:rPr>
        <w:t>Our committed lines of credit provide liquidity and support commercial paper. As we discuss in Note 6 of the Notes to Condensed Consolidated Financial Statements herein, Sempra Energy, Sempra Global and the Sempra Utilities each have four-year revolving credit facilities, expiring in 2014. At Sempra Energy and Sempra Global, the agreements are syndicated broadly among 23 different lenders and at the Sempra Utilities, among 22 different lenders. No single lender has greater than a 7-percent share in any facility.</w:t>
      </w:r>
    </w:p>
    <w:p>
      <w:pPr>
        <w:sectPr>
          <w:pgSz w:w="11900" w:h="16838" w:orient="portrait"/>
          <w:cols w:equalWidth="0" w:num="1">
            <w:col w:w="11420"/>
          </w:cols>
          <w:pgMar w:left="240" w:top="125" w:right="239" w:bottom="0" w:gutter="0" w:footer="0" w:header="0"/>
        </w:sectPr>
      </w:pPr>
    </w:p>
    <w:bookmarkStart w:id="64" w:name="page65"/>
    <w:bookmarkEnd w:id="64"/>
    <w:p>
      <w:pPr>
        <w:spacing w:after="0"/>
        <w:rPr>
          <w:sz w:val="20"/>
          <w:szCs w:val="20"/>
          <w:color w:val="auto"/>
        </w:rPr>
      </w:pPr>
      <w:r>
        <w:rPr>
          <w:rFonts w:ascii="Arial" w:cs="Arial" w:eastAsia="Arial" w:hAnsi="Arial"/>
          <w:sz w:val="18"/>
          <w:szCs w:val="18"/>
          <w:color w:val="auto"/>
        </w:rPr>
        <w:t>The table below shows the amount of available funds at June 30, 2011:</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AVAILABLE FUNDS AT JUNE 30, 2011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-104775</wp:posOffset>
            </wp:positionV>
            <wp:extent cx="7246620" cy="22288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46620" cy="222885"/>
                    </a:xfrm>
                    <a:prstGeom prst="rect">
                      <a:avLst/>
                    </a:prstGeom>
                    <a:noFill/>
                  </pic:spPr>
                </pic:pic>
              </a:graphicData>
            </a:graphic>
          </wp:anchor>
        </w:drawing>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4220" w:type="dxa"/>
            <w:vAlign w:val="bottom"/>
            <w:gridSpan w:val="2"/>
          </w:tcPr>
          <w:p>
            <w:pPr>
              <w:spacing w:after="0"/>
              <w:rPr>
                <w:sz w:val="20"/>
                <w:szCs w:val="20"/>
                <w:color w:val="auto"/>
              </w:rPr>
            </w:pPr>
            <w:r>
              <w:rPr>
                <w:rFonts w:ascii="Arial" w:cs="Arial" w:eastAsia="Arial" w:hAnsi="Arial"/>
                <w:sz w:val="14"/>
                <w:szCs w:val="14"/>
                <w:i w:val="1"/>
                <w:iCs w:val="1"/>
                <w:color w:val="auto"/>
              </w:rPr>
              <w:t>(Dollars in millions)</w:t>
            </w:r>
          </w:p>
        </w:tc>
        <w:tc>
          <w:tcPr>
            <w:tcW w:w="28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580" w:type="dxa"/>
            <w:vAlign w:val="bottom"/>
          </w:tcPr>
          <w:p>
            <w:pPr>
              <w:spacing w:after="0"/>
              <w:rPr>
                <w:sz w:val="15"/>
                <w:szCs w:val="15"/>
                <w:color w:val="auto"/>
              </w:rPr>
            </w:pPr>
          </w:p>
        </w:tc>
      </w:tr>
      <w:tr>
        <w:trPr>
          <w:trHeight w:val="172"/>
        </w:trPr>
        <w:tc>
          <w:tcPr>
            <w:tcW w:w="20" w:type="dxa"/>
            <w:vAlign w:val="bottom"/>
          </w:tcPr>
          <w:p>
            <w:pPr>
              <w:spacing w:after="0"/>
              <w:rPr>
                <w:sz w:val="14"/>
                <w:szCs w:val="14"/>
                <w:color w:val="auto"/>
              </w:rPr>
            </w:pPr>
          </w:p>
        </w:tc>
        <w:tc>
          <w:tcPr>
            <w:tcW w:w="4200" w:type="dxa"/>
            <w:vAlign w:val="bottom"/>
          </w:tcPr>
          <w:p>
            <w:pPr>
              <w:spacing w:after="0"/>
              <w:rPr>
                <w:sz w:val="14"/>
                <w:szCs w:val="14"/>
                <w:color w:val="auto"/>
              </w:rPr>
            </w:pPr>
          </w:p>
        </w:tc>
        <w:tc>
          <w:tcPr>
            <w:tcW w:w="2860" w:type="dxa"/>
            <w:vAlign w:val="bottom"/>
          </w:tcPr>
          <w:p>
            <w:pPr>
              <w:jc w:val="center"/>
              <w:ind w:left="1785"/>
              <w:spacing w:after="0"/>
              <w:rPr>
                <w:sz w:val="20"/>
                <w:szCs w:val="20"/>
                <w:color w:val="auto"/>
              </w:rPr>
            </w:pPr>
            <w:r>
              <w:rPr>
                <w:rFonts w:ascii="Arial" w:cs="Arial" w:eastAsia="Arial" w:hAnsi="Arial"/>
                <w:sz w:val="14"/>
                <w:szCs w:val="14"/>
                <w:color w:val="auto"/>
              </w:rPr>
              <w:t>Sempra Energy</w:t>
            </w:r>
          </w:p>
        </w:tc>
        <w:tc>
          <w:tcPr>
            <w:tcW w:w="4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580" w:type="dxa"/>
            <w:vAlign w:val="bottom"/>
          </w:tcPr>
          <w:p>
            <w:pPr>
              <w:spacing w:after="0"/>
              <w:rPr>
                <w:sz w:val="14"/>
                <w:szCs w:val="14"/>
                <w:color w:val="auto"/>
              </w:rPr>
            </w:pPr>
          </w:p>
        </w:tc>
      </w:tr>
      <w:tr>
        <w:trPr>
          <w:trHeight w:val="168"/>
        </w:trPr>
        <w:tc>
          <w:tcPr>
            <w:tcW w:w="20" w:type="dxa"/>
            <w:vAlign w:val="bottom"/>
          </w:tcPr>
          <w:p>
            <w:pPr>
              <w:spacing w:after="0"/>
              <w:rPr>
                <w:sz w:val="14"/>
                <w:szCs w:val="14"/>
                <w:color w:val="auto"/>
              </w:rPr>
            </w:pPr>
          </w:p>
        </w:tc>
        <w:tc>
          <w:tcPr>
            <w:tcW w:w="4200" w:type="dxa"/>
            <w:vAlign w:val="bottom"/>
            <w:tcBorders>
              <w:bottom w:val="single" w:sz="8" w:color="auto"/>
            </w:tcBorders>
          </w:tcPr>
          <w:p>
            <w:pPr>
              <w:spacing w:after="0"/>
              <w:rPr>
                <w:sz w:val="14"/>
                <w:szCs w:val="14"/>
                <w:color w:val="auto"/>
              </w:rPr>
            </w:pPr>
          </w:p>
        </w:tc>
        <w:tc>
          <w:tcPr>
            <w:tcW w:w="2860" w:type="dxa"/>
            <w:vAlign w:val="bottom"/>
            <w:tcBorders>
              <w:bottom w:val="single" w:sz="8" w:color="auto"/>
            </w:tcBorders>
          </w:tcPr>
          <w:p>
            <w:pPr>
              <w:jc w:val="center"/>
              <w:ind w:left="1785"/>
              <w:spacing w:after="0"/>
              <w:rPr>
                <w:sz w:val="20"/>
                <w:szCs w:val="20"/>
                <w:color w:val="auto"/>
              </w:rPr>
            </w:pPr>
            <w:r>
              <w:rPr>
                <w:rFonts w:ascii="Arial" w:cs="Arial" w:eastAsia="Arial" w:hAnsi="Arial"/>
                <w:sz w:val="14"/>
                <w:szCs w:val="14"/>
                <w:color w:val="auto"/>
              </w:rPr>
              <w:t>Consolidated</w:t>
            </w:r>
          </w:p>
        </w:tc>
        <w:tc>
          <w:tcPr>
            <w:tcW w:w="42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tcPr>
          <w:p>
            <w:pPr>
              <w:jc w:val="right"/>
              <w:ind w:right="622"/>
              <w:spacing w:after="0"/>
              <w:rPr>
                <w:sz w:val="20"/>
                <w:szCs w:val="20"/>
                <w:color w:val="auto"/>
              </w:rPr>
            </w:pPr>
            <w:r>
              <w:rPr>
                <w:rFonts w:ascii="Arial" w:cs="Arial" w:eastAsia="Arial" w:hAnsi="Arial"/>
                <w:sz w:val="14"/>
                <w:szCs w:val="14"/>
                <w:color w:val="auto"/>
              </w:rPr>
              <w:t>SDG&amp;E</w:t>
            </w:r>
          </w:p>
        </w:tc>
        <w:tc>
          <w:tcPr>
            <w:tcW w:w="400" w:type="dxa"/>
            <w:vAlign w:val="bottom"/>
            <w:tcBorders>
              <w:bottom w:val="single" w:sz="8" w:color="auto"/>
            </w:tcBorders>
          </w:tcPr>
          <w:p>
            <w:pPr>
              <w:spacing w:after="0"/>
              <w:rPr>
                <w:sz w:val="14"/>
                <w:szCs w:val="14"/>
                <w:color w:val="auto"/>
              </w:rPr>
            </w:pPr>
          </w:p>
        </w:tc>
        <w:tc>
          <w:tcPr>
            <w:tcW w:w="1580" w:type="dxa"/>
            <w:vAlign w:val="bottom"/>
            <w:tcBorders>
              <w:bottom w:val="single" w:sz="8" w:color="auto"/>
            </w:tcBorders>
          </w:tcPr>
          <w:p>
            <w:pPr>
              <w:jc w:val="right"/>
              <w:ind w:right="582"/>
              <w:spacing w:after="0"/>
              <w:rPr>
                <w:sz w:val="20"/>
                <w:szCs w:val="20"/>
                <w:color w:val="auto"/>
              </w:rPr>
            </w:pPr>
            <w:r>
              <w:rPr>
                <w:rFonts w:ascii="Arial" w:cs="Arial" w:eastAsia="Arial" w:hAnsi="Arial"/>
                <w:sz w:val="14"/>
                <w:szCs w:val="14"/>
                <w:color w:val="auto"/>
              </w:rPr>
              <w:t>SoCalGas</w:t>
            </w:r>
          </w:p>
        </w:tc>
      </w:tr>
      <w:tr>
        <w:trPr>
          <w:trHeight w:val="164"/>
        </w:trPr>
        <w:tc>
          <w:tcPr>
            <w:tcW w:w="20" w:type="dxa"/>
            <w:vAlign w:val="bottom"/>
          </w:tcPr>
          <w:p>
            <w:pPr>
              <w:spacing w:after="0"/>
              <w:rPr>
                <w:sz w:val="14"/>
                <w:szCs w:val="14"/>
                <w:color w:val="auto"/>
              </w:rPr>
            </w:pPr>
          </w:p>
        </w:tc>
        <w:tc>
          <w:tcPr>
            <w:tcW w:w="4200" w:type="dxa"/>
            <w:vAlign w:val="bottom"/>
          </w:tcPr>
          <w:p>
            <w:pPr>
              <w:spacing w:after="0" w:line="164" w:lineRule="exact"/>
              <w:rPr>
                <w:sz w:val="20"/>
                <w:szCs w:val="20"/>
                <w:color w:val="auto"/>
              </w:rPr>
            </w:pPr>
            <w:r>
              <w:rPr>
                <w:rFonts w:ascii="Arial" w:cs="Arial" w:eastAsia="Arial" w:hAnsi="Arial"/>
                <w:sz w:val="16"/>
                <w:szCs w:val="16"/>
                <w:color w:val="auto"/>
              </w:rPr>
              <w:t>Unrestricted cash and cash equivalents</w:t>
            </w:r>
          </w:p>
        </w:tc>
        <w:tc>
          <w:tcPr>
            <w:tcW w:w="2860" w:type="dxa"/>
            <w:vAlign w:val="bottom"/>
          </w:tcPr>
          <w:p>
            <w:pPr>
              <w:jc w:val="right"/>
              <w:ind w:right="1305"/>
              <w:spacing w:after="0" w:line="164" w:lineRule="exact"/>
              <w:rPr>
                <w:sz w:val="20"/>
                <w:szCs w:val="20"/>
                <w:color w:val="auto"/>
              </w:rPr>
            </w:pPr>
            <w:r>
              <w:rPr>
                <w:rFonts w:ascii="Arial" w:cs="Arial" w:eastAsia="Arial" w:hAnsi="Arial"/>
                <w:sz w:val="16"/>
                <w:szCs w:val="16"/>
                <w:color w:val="auto"/>
              </w:rPr>
              <w:t>$</w:t>
            </w:r>
          </w:p>
        </w:tc>
        <w:tc>
          <w:tcPr>
            <w:tcW w:w="420" w:type="dxa"/>
            <w:vAlign w:val="bottom"/>
          </w:tcPr>
          <w:p>
            <w:pPr>
              <w:jc w:val="right"/>
              <w:spacing w:after="0" w:line="164" w:lineRule="exact"/>
              <w:rPr>
                <w:sz w:val="20"/>
                <w:szCs w:val="20"/>
                <w:color w:val="auto"/>
              </w:rPr>
            </w:pPr>
            <w:r>
              <w:rPr>
                <w:rFonts w:ascii="Arial" w:cs="Arial" w:eastAsia="Arial" w:hAnsi="Arial"/>
                <w:sz w:val="16"/>
                <w:szCs w:val="16"/>
                <w:color w:val="auto"/>
              </w:rPr>
              <w:t>392</w:t>
            </w:r>
          </w:p>
        </w:tc>
        <w:tc>
          <w:tcPr>
            <w:tcW w:w="440" w:type="dxa"/>
            <w:vAlign w:val="bottom"/>
          </w:tcPr>
          <w:p>
            <w:pPr>
              <w:jc w:val="right"/>
              <w:ind w:right="239"/>
              <w:spacing w:after="0" w:line="164" w:lineRule="exact"/>
              <w:rPr>
                <w:sz w:val="20"/>
                <w:szCs w:val="20"/>
                <w:color w:val="auto"/>
              </w:rPr>
            </w:pPr>
            <w:r>
              <w:rPr>
                <w:rFonts w:ascii="Arial" w:cs="Arial" w:eastAsia="Arial" w:hAnsi="Arial"/>
                <w:sz w:val="16"/>
                <w:szCs w:val="16"/>
                <w:color w:val="auto"/>
              </w:rPr>
              <w:t>$</w:t>
            </w:r>
          </w:p>
        </w:tc>
        <w:tc>
          <w:tcPr>
            <w:tcW w:w="1500" w:type="dxa"/>
            <w:vAlign w:val="bottom"/>
          </w:tcPr>
          <w:p>
            <w:pPr>
              <w:jc w:val="right"/>
              <w:spacing w:after="0" w:line="164" w:lineRule="exact"/>
              <w:rPr>
                <w:sz w:val="20"/>
                <w:szCs w:val="20"/>
                <w:color w:val="auto"/>
              </w:rPr>
            </w:pPr>
            <w:r>
              <w:rPr>
                <w:rFonts w:ascii="Arial" w:cs="Arial" w:eastAsia="Arial" w:hAnsi="Arial"/>
                <w:sz w:val="16"/>
                <w:szCs w:val="16"/>
                <w:color w:val="auto"/>
              </w:rPr>
              <w:t>85</w:t>
            </w:r>
          </w:p>
        </w:tc>
        <w:tc>
          <w:tcPr>
            <w:tcW w:w="400" w:type="dxa"/>
            <w:vAlign w:val="bottom"/>
          </w:tcPr>
          <w:p>
            <w:pPr>
              <w:jc w:val="right"/>
              <w:ind w:right="199"/>
              <w:spacing w:after="0" w:line="164" w:lineRule="exact"/>
              <w:rPr>
                <w:sz w:val="20"/>
                <w:szCs w:val="20"/>
                <w:color w:val="auto"/>
              </w:rPr>
            </w:pPr>
            <w:r>
              <w:rPr>
                <w:rFonts w:ascii="Arial" w:cs="Arial" w:eastAsia="Arial" w:hAnsi="Arial"/>
                <w:sz w:val="16"/>
                <w:szCs w:val="16"/>
                <w:color w:val="auto"/>
              </w:rPr>
              <w:t>$</w:t>
            </w:r>
          </w:p>
        </w:tc>
        <w:tc>
          <w:tcPr>
            <w:tcW w:w="1580" w:type="dxa"/>
            <w:vAlign w:val="bottom"/>
          </w:tcPr>
          <w:p>
            <w:pPr>
              <w:jc w:val="right"/>
              <w:spacing w:after="0" w:line="164" w:lineRule="exact"/>
              <w:rPr>
                <w:sz w:val="20"/>
                <w:szCs w:val="20"/>
                <w:color w:val="auto"/>
              </w:rPr>
            </w:pPr>
            <w:r>
              <w:rPr>
                <w:rFonts w:ascii="Arial" w:cs="Arial" w:eastAsia="Arial" w:hAnsi="Arial"/>
                <w:sz w:val="16"/>
                <w:szCs w:val="16"/>
                <w:color w:val="auto"/>
              </w:rPr>
              <w:t>16</w:t>
            </w:r>
          </w:p>
        </w:tc>
      </w:tr>
      <w:tr>
        <w:trPr>
          <w:trHeight w:val="195"/>
        </w:trPr>
        <w:tc>
          <w:tcPr>
            <w:tcW w:w="4220" w:type="dxa"/>
            <w:vAlign w:val="bottom"/>
            <w:gridSpan w:val="2"/>
          </w:tcPr>
          <w:p>
            <w:pPr>
              <w:spacing w:after="0"/>
              <w:rPr>
                <w:sz w:val="20"/>
                <w:szCs w:val="20"/>
                <w:color w:val="auto"/>
              </w:rPr>
            </w:pPr>
            <w:r>
              <w:rPr>
                <w:rFonts w:ascii="Arial" w:cs="Arial" w:eastAsia="Arial" w:hAnsi="Arial"/>
                <w:sz w:val="16"/>
                <w:szCs w:val="16"/>
                <w:color w:val="auto"/>
              </w:rPr>
              <w:t>Available unused credit(1)</w:t>
            </w:r>
          </w:p>
        </w:tc>
        <w:tc>
          <w:tcPr>
            <w:tcW w:w="2860" w:type="dxa"/>
            <w:vAlign w:val="bottom"/>
          </w:tcPr>
          <w:p>
            <w:pPr>
              <w:spacing w:after="0"/>
              <w:rPr>
                <w:sz w:val="16"/>
                <w:szCs w:val="16"/>
                <w:color w:val="auto"/>
              </w:rPr>
            </w:pPr>
          </w:p>
        </w:tc>
        <w:tc>
          <w:tcPr>
            <w:tcW w:w="420" w:type="dxa"/>
            <w:vAlign w:val="bottom"/>
          </w:tcPr>
          <w:p>
            <w:pPr>
              <w:jc w:val="right"/>
              <w:spacing w:after="0"/>
              <w:rPr>
                <w:sz w:val="20"/>
                <w:szCs w:val="20"/>
                <w:color w:val="auto"/>
              </w:rPr>
            </w:pPr>
            <w:r>
              <w:rPr>
                <w:rFonts w:ascii="Arial" w:cs="Arial" w:eastAsia="Arial" w:hAnsi="Arial"/>
                <w:sz w:val="16"/>
                <w:szCs w:val="16"/>
                <w:color w:val="auto"/>
                <w:w w:val="94"/>
              </w:rPr>
              <w:t>2,904</w:t>
            </w:r>
          </w:p>
        </w:tc>
        <w:tc>
          <w:tcPr>
            <w:tcW w:w="440" w:type="dxa"/>
            <w:vAlign w:val="bottom"/>
          </w:tcPr>
          <w:p>
            <w:pPr>
              <w:spacing w:after="0"/>
              <w:rPr>
                <w:sz w:val="16"/>
                <w:szCs w:val="16"/>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363</w:t>
            </w:r>
          </w:p>
        </w:tc>
        <w:tc>
          <w:tcPr>
            <w:tcW w:w="400" w:type="dxa"/>
            <w:vAlign w:val="bottom"/>
          </w:tcPr>
          <w:p>
            <w:pPr>
              <w:spacing w:after="0"/>
              <w:rPr>
                <w:sz w:val="16"/>
                <w:szCs w:val="16"/>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563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wp:posOffset>
            </wp:positionV>
            <wp:extent cx="7246620" cy="171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ind w:left="620" w:right="100" w:hanging="389"/>
        <w:spacing w:after="0" w:line="267" w:lineRule="auto"/>
        <w:tabs>
          <w:tab w:leader="none" w:pos="620" w:val="left"/>
        </w:tabs>
        <w:numPr>
          <w:ilvl w:val="0"/>
          <w:numId w:val="93"/>
        </w:numPr>
        <w:rPr>
          <w:rFonts w:ascii="Arial" w:cs="Arial" w:eastAsia="Arial" w:hAnsi="Arial"/>
          <w:sz w:val="14"/>
          <w:szCs w:val="14"/>
          <w:i w:val="1"/>
          <w:iCs w:val="1"/>
          <w:color w:val="auto"/>
        </w:rPr>
      </w:pPr>
      <w:r>
        <w:rPr>
          <w:rFonts w:ascii="Arial" w:cs="Arial" w:eastAsia="Arial" w:hAnsi="Arial"/>
          <w:sz w:val="14"/>
          <w:szCs w:val="14"/>
          <w:i w:val="1"/>
          <w:iCs w:val="1"/>
          <w:color w:val="auto"/>
        </w:rPr>
        <w:t>Borrowings on the shared line of credit at SDG&amp;E and SoCalGas are limited to $600 million for each utility and $800 million in total. SDG&amp;E's available funds reflect variable-rate demand notes outstanding of $237 million supported by the line. SoCalGas' availability reflects the impact of SDG&amp;E's use of the combined credit available on the line.</w:t>
      </w:r>
    </w:p>
    <w:p>
      <w:pPr>
        <w:spacing w:after="0" w:line="336"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Sempra Energy Consolidated</w:t>
      </w:r>
    </w:p>
    <w:p>
      <w:pPr>
        <w:spacing w:after="0" w:line="205"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We believe that these available funds and cash flows from operations, distributions from equity method investments and security issuances, combined with current cash balances, will be adequate to:</w:t>
      </w:r>
    </w:p>
    <w:p>
      <w:pPr>
        <w:spacing w:after="0" w:line="170" w:lineRule="exact"/>
        <w:rPr>
          <w:sz w:val="20"/>
          <w:szCs w:val="20"/>
          <w:color w:val="auto"/>
        </w:rPr>
      </w:pPr>
    </w:p>
    <w:p>
      <w:pPr>
        <w:ind w:left="340" w:hanging="188"/>
        <w:spacing w:after="0"/>
        <w:tabs>
          <w:tab w:leader="none" w:pos="340" w:val="left"/>
        </w:tabs>
        <w:numPr>
          <w:ilvl w:val="0"/>
          <w:numId w:val="94"/>
        </w:numPr>
        <w:rPr>
          <w:rFonts w:ascii="Arial" w:cs="Arial" w:eastAsia="Arial" w:hAnsi="Arial"/>
          <w:sz w:val="18"/>
          <w:szCs w:val="18"/>
          <w:color w:val="auto"/>
        </w:rPr>
      </w:pPr>
      <w:r>
        <w:rPr>
          <w:rFonts w:ascii="Arial" w:cs="Arial" w:eastAsia="Arial" w:hAnsi="Arial"/>
          <w:sz w:val="18"/>
          <w:szCs w:val="18"/>
          <w:color w:val="auto"/>
        </w:rPr>
        <w:t>finance capital expenditures</w:t>
      </w:r>
    </w:p>
    <w:p>
      <w:pPr>
        <w:spacing w:after="0" w:line="252" w:lineRule="exact"/>
        <w:rPr>
          <w:rFonts w:ascii="Arial" w:cs="Arial" w:eastAsia="Arial" w:hAnsi="Arial"/>
          <w:sz w:val="18"/>
          <w:szCs w:val="18"/>
          <w:color w:val="auto"/>
        </w:rPr>
      </w:pPr>
    </w:p>
    <w:p>
      <w:pPr>
        <w:ind w:left="340" w:hanging="188"/>
        <w:spacing w:after="0"/>
        <w:tabs>
          <w:tab w:leader="none" w:pos="340" w:val="left"/>
        </w:tabs>
        <w:numPr>
          <w:ilvl w:val="0"/>
          <w:numId w:val="94"/>
        </w:numPr>
        <w:rPr>
          <w:rFonts w:ascii="Arial" w:cs="Arial" w:eastAsia="Arial" w:hAnsi="Arial"/>
          <w:sz w:val="18"/>
          <w:szCs w:val="18"/>
          <w:color w:val="auto"/>
        </w:rPr>
      </w:pPr>
      <w:r>
        <w:rPr>
          <w:rFonts w:ascii="Arial" w:cs="Arial" w:eastAsia="Arial" w:hAnsi="Arial"/>
          <w:sz w:val="18"/>
          <w:szCs w:val="18"/>
          <w:color w:val="auto"/>
        </w:rPr>
        <w:t>meet liquidity requirements</w:t>
      </w:r>
    </w:p>
    <w:p>
      <w:pPr>
        <w:spacing w:after="0" w:line="252" w:lineRule="exact"/>
        <w:rPr>
          <w:rFonts w:ascii="Arial" w:cs="Arial" w:eastAsia="Arial" w:hAnsi="Arial"/>
          <w:sz w:val="18"/>
          <w:szCs w:val="18"/>
          <w:color w:val="auto"/>
        </w:rPr>
      </w:pPr>
    </w:p>
    <w:p>
      <w:pPr>
        <w:ind w:left="340" w:hanging="188"/>
        <w:spacing w:after="0"/>
        <w:tabs>
          <w:tab w:leader="none" w:pos="340" w:val="left"/>
        </w:tabs>
        <w:numPr>
          <w:ilvl w:val="0"/>
          <w:numId w:val="94"/>
        </w:numPr>
        <w:rPr>
          <w:rFonts w:ascii="Arial" w:cs="Arial" w:eastAsia="Arial" w:hAnsi="Arial"/>
          <w:sz w:val="18"/>
          <w:szCs w:val="18"/>
          <w:color w:val="auto"/>
        </w:rPr>
      </w:pPr>
      <w:r>
        <w:rPr>
          <w:rFonts w:ascii="Arial" w:cs="Arial" w:eastAsia="Arial" w:hAnsi="Arial"/>
          <w:sz w:val="18"/>
          <w:szCs w:val="18"/>
          <w:color w:val="auto"/>
        </w:rPr>
        <w:t>fund shareholder dividends</w:t>
      </w:r>
    </w:p>
    <w:p>
      <w:pPr>
        <w:spacing w:after="0" w:line="252" w:lineRule="exact"/>
        <w:rPr>
          <w:rFonts w:ascii="Arial" w:cs="Arial" w:eastAsia="Arial" w:hAnsi="Arial"/>
          <w:sz w:val="18"/>
          <w:szCs w:val="18"/>
          <w:color w:val="auto"/>
        </w:rPr>
      </w:pPr>
    </w:p>
    <w:p>
      <w:pPr>
        <w:ind w:left="340" w:hanging="188"/>
        <w:spacing w:after="0"/>
        <w:tabs>
          <w:tab w:leader="none" w:pos="340" w:val="left"/>
        </w:tabs>
        <w:numPr>
          <w:ilvl w:val="0"/>
          <w:numId w:val="94"/>
        </w:numPr>
        <w:rPr>
          <w:rFonts w:ascii="Arial" w:cs="Arial" w:eastAsia="Arial" w:hAnsi="Arial"/>
          <w:sz w:val="18"/>
          <w:szCs w:val="18"/>
          <w:color w:val="auto"/>
        </w:rPr>
      </w:pPr>
      <w:r>
        <w:rPr>
          <w:rFonts w:ascii="Arial" w:cs="Arial" w:eastAsia="Arial" w:hAnsi="Arial"/>
          <w:sz w:val="18"/>
          <w:szCs w:val="18"/>
          <w:color w:val="auto"/>
        </w:rPr>
        <w:t>fund new business acquisitions or start-ups</w:t>
      </w:r>
    </w:p>
    <w:p>
      <w:pPr>
        <w:spacing w:after="0" w:line="252"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In March 2011, Sempra Energy publicly offered and sold $500 million of 2-percent notes and $300 million of floating rate notes, both maturing in 2014. SDG&amp;E and SoCalGas issued long-term debt in 2010 in the aggregate principal amounts of $750 million and $300 million, respectively. Changing economic conditions could affect the availability and cost of both short-term and long-term financing. If cash flows from operations were to be significantly reduced or we were to be unable to borrow under acceptable terms, we would reduce or postpone discretionary capital expenditures and investments in new businesses. If these measures were necessary, they would primarily impact our Sempra Global businesses. We continuously monitor our ability to finance the needs of our operating, investing and financing activities in a manner consistent with our intention to maintain strong, investment-grade credit ratings and capital structure.</w:t>
      </w:r>
    </w:p>
    <w:p>
      <w:pPr>
        <w:spacing w:after="0" w:line="165" w:lineRule="exact"/>
        <w:rPr>
          <w:sz w:val="20"/>
          <w:szCs w:val="20"/>
          <w:color w:val="auto"/>
        </w:rPr>
      </w:pPr>
    </w:p>
    <w:p>
      <w:pPr>
        <w:ind w:right="120"/>
        <w:spacing w:after="0" w:line="241" w:lineRule="auto"/>
        <w:rPr>
          <w:sz w:val="20"/>
          <w:szCs w:val="20"/>
          <w:color w:val="auto"/>
        </w:rPr>
      </w:pPr>
      <w:r>
        <w:rPr>
          <w:rFonts w:ascii="Arial" w:cs="Arial" w:eastAsia="Arial" w:hAnsi="Arial"/>
          <w:sz w:val="18"/>
          <w:szCs w:val="18"/>
          <w:color w:val="auto"/>
        </w:rPr>
        <w:t>In three separate transactions during 2010 and one in early 2011, we and RBS sold substantially all of the businesses and assets of our joint-venture partnership that comprised our commodities-marketing businesses. As we conclude the transactions to divest the businesses, we expect to recover our remaining $439 million investment in the partnership throughout 2011 and possibly into early 2012. We are providing transitional back-up guarantees, some of which may continue for a prolonged period of time. Either RBS or JP Morgan, one of the buyers in the sales transactions, has fully indemnified us for any claims or losses in connection with the related transactions.</w:t>
      </w:r>
    </w:p>
    <w:p>
      <w:pPr>
        <w:spacing w:after="0" w:line="176" w:lineRule="exact"/>
        <w:rPr>
          <w:sz w:val="20"/>
          <w:szCs w:val="20"/>
          <w:color w:val="auto"/>
        </w:rPr>
      </w:pPr>
    </w:p>
    <w:p>
      <w:pPr>
        <w:ind w:right="320"/>
        <w:spacing w:after="0" w:line="324" w:lineRule="auto"/>
        <w:rPr>
          <w:sz w:val="20"/>
          <w:szCs w:val="20"/>
          <w:color w:val="auto"/>
        </w:rPr>
      </w:pPr>
      <w:r>
        <w:rPr>
          <w:rFonts w:ascii="Arial" w:cs="Arial" w:eastAsia="Arial" w:hAnsi="Arial"/>
          <w:sz w:val="16"/>
          <w:szCs w:val="16"/>
          <w:color w:val="auto"/>
        </w:rPr>
        <w:t>We provide additional information about RBS Sempra Commodities and the sales transactions and guarantees in Notes 4 and 6 of the Notes to Condensed Consolidated Financial Statements herein and in Notes 3, 4, 5 and 16 of the Notes to Consolidated Financial Statements in the Annual Report.</w:t>
      </w:r>
    </w:p>
    <w:p>
      <w:pPr>
        <w:spacing w:after="0" w:line="111" w:lineRule="exact"/>
        <w:rPr>
          <w:sz w:val="20"/>
          <w:szCs w:val="20"/>
          <w:color w:val="auto"/>
        </w:rPr>
      </w:pPr>
    </w:p>
    <w:p>
      <w:pPr>
        <w:ind w:right="280"/>
        <w:spacing w:after="0" w:line="291" w:lineRule="auto"/>
        <w:rPr>
          <w:sz w:val="20"/>
          <w:szCs w:val="20"/>
          <w:color w:val="auto"/>
        </w:rPr>
      </w:pPr>
      <w:r>
        <w:rPr>
          <w:rFonts w:ascii="Arial" w:cs="Arial" w:eastAsia="Arial" w:hAnsi="Arial"/>
          <w:sz w:val="17"/>
          <w:szCs w:val="17"/>
          <w:color w:val="auto"/>
        </w:rPr>
        <w:t>In April 2011, Sempra Pipelines &amp; Storage acquired AEI’s interests in Chilquinta Energía, Luz del Sur, and related entities for $611 million in cash (net of cash acquired). This transaction was funded with excess funds from foreign operations, proceeds from divestitures and short-term debt.</w:t>
      </w:r>
    </w:p>
    <w:p>
      <w:pPr>
        <w:spacing w:after="0" w:line="134" w:lineRule="exact"/>
        <w:rPr>
          <w:sz w:val="20"/>
          <w:szCs w:val="20"/>
          <w:color w:val="auto"/>
        </w:rPr>
      </w:pPr>
    </w:p>
    <w:p>
      <w:pPr>
        <w:ind w:right="180"/>
        <w:spacing w:after="0" w:line="262" w:lineRule="auto"/>
        <w:rPr>
          <w:sz w:val="20"/>
          <w:szCs w:val="20"/>
          <w:color w:val="auto"/>
        </w:rPr>
      </w:pPr>
      <w:r>
        <w:rPr>
          <w:rFonts w:ascii="Arial" w:cs="Arial" w:eastAsia="Arial" w:hAnsi="Arial"/>
          <w:sz w:val="18"/>
          <w:szCs w:val="18"/>
          <w:color w:val="auto"/>
        </w:rPr>
        <w:t>We provide additional information about Chilquinta Energía and Luz del Sur in Note 3 of the Notes to Condensed Consolidated Financial Statements herein and in Notes 4 and 19 of the Notes to Consolidated Financial Statements in the Annual Report.</w:t>
      </w:r>
    </w:p>
    <w:p>
      <w:pPr>
        <w:spacing w:after="0" w:line="156"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We have significant investments in several trusts to provide for future payments of pensions and other postretirement benefits, and nuclear decommissioning. Changes in asset values, which are dependent on the activity in the equity and fixed income markets, have not affected the trust funds’ abilities to make required payments, but may impact funding requirements for pension and other postretirement benefit plans. At the Sempra Utilities, funding requirements are generally recoverable in rates.</w:t>
      </w:r>
    </w:p>
    <w:p>
      <w:pPr>
        <w:spacing w:after="0" w:line="187"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We discuss our principal credit agreements more fully in Note 6 of the Notes to Condensed Consolidated Financial Statements herein and in Note 5 of the Notes to Consolidated Financial Statements in the Annual Report.</w:t>
      </w:r>
    </w:p>
    <w:p>
      <w:pPr>
        <w:spacing w:after="0" w:line="384"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Sempra Utilities</w:t>
      </w:r>
    </w:p>
    <w:p>
      <w:pPr>
        <w:spacing w:after="0" w:line="205" w:lineRule="exact"/>
        <w:rPr>
          <w:sz w:val="20"/>
          <w:szCs w:val="20"/>
          <w:color w:val="auto"/>
        </w:rPr>
      </w:pPr>
    </w:p>
    <w:p>
      <w:pPr>
        <w:jc w:val="both"/>
        <w:ind w:right="300"/>
        <w:spacing w:after="0" w:line="264" w:lineRule="auto"/>
        <w:rPr>
          <w:sz w:val="20"/>
          <w:szCs w:val="20"/>
          <w:color w:val="auto"/>
        </w:rPr>
      </w:pPr>
      <w:r>
        <w:rPr>
          <w:rFonts w:ascii="Arial" w:cs="Arial" w:eastAsia="Arial" w:hAnsi="Arial"/>
          <w:sz w:val="18"/>
          <w:szCs w:val="18"/>
          <w:color w:val="auto"/>
        </w:rPr>
        <w:t>SoCalGas expects that cash flows from operations and debt issuances will continue to be adequate to meet its capital expenditure requirements. In March 2011, Sempra Energy made a $200 million capital contribution to SDG&amp;E, and SDG&amp;E expects its cash flows from operations and debt issuances will be adequate to meet its future capital expenditure requirements.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SoCalGas declared and paid a $50 million common dividend in 2011 and a $100 million common dividend in 2010.</w:t>
      </w:r>
    </w:p>
    <w:p>
      <w:pPr>
        <w:spacing w:after="0" w:line="225"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However, the level of future common dividends from SDG&amp;E and SoCalGas may be reduced or eliminated during periods of increased capital expenditures. Sempra Energy may from time to time make additional equity contributions to SDG&amp;E and SoCalGas to support the Sempra Utilities’ capital expenditure programs.</w:t>
      </w:r>
    </w:p>
    <w:p>
      <w:pPr>
        <w:spacing w:after="0" w:line="395"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Sempra Generation</w:t>
      </w:r>
    </w:p>
    <w:p>
      <w:pPr>
        <w:spacing w:after="0" w:line="205" w:lineRule="exact"/>
        <w:rPr>
          <w:sz w:val="20"/>
          <w:szCs w:val="20"/>
          <w:color w:val="auto"/>
        </w:rPr>
      </w:pPr>
    </w:p>
    <w:p>
      <w:pPr>
        <w:ind w:right="60"/>
        <w:spacing w:after="0" w:line="259" w:lineRule="auto"/>
        <w:rPr>
          <w:sz w:val="20"/>
          <w:szCs w:val="20"/>
          <w:color w:val="auto"/>
        </w:rPr>
      </w:pPr>
      <w:r>
        <w:rPr>
          <w:rFonts w:ascii="Arial" w:cs="Arial" w:eastAsia="Arial" w:hAnsi="Arial"/>
          <w:sz w:val="17"/>
          <w:szCs w:val="17"/>
          <w:color w:val="auto"/>
        </w:rPr>
        <w:t>We expect Sempra Generation to require funds for the development of electric generation facilities, primarily renewable energy projects. Projects at Sempra Generation may be financed through a combination of operating cash flow, project financing, funds from the parent, external borrowings, partnering in joint ventures and the sale of its El Dorado natural gas power plant to SDG&amp;E on October 1, 2011. Cash flows from operations at Sempra Generation are expected to decrease upon the expiration of its contract with the DWR in September 2011, due to less favorable pricing on replacement contracts, and the sale of El Dorado. Also, Sempra Generation may not be able to replace all of the lost revenue.</w:t>
      </w:r>
    </w:p>
    <w:p>
      <w:pPr>
        <w:sectPr>
          <w:pgSz w:w="11900" w:h="16838" w:orient="portrait"/>
          <w:cols w:equalWidth="0" w:num="1">
            <w:col w:w="11420"/>
          </w:cols>
          <w:pgMar w:left="240" w:top="125" w:right="239" w:bottom="0" w:gutter="0" w:footer="0" w:header="0"/>
        </w:sectPr>
      </w:pPr>
    </w:p>
    <w:bookmarkStart w:id="65" w:name="page66"/>
    <w:bookmarkEnd w:id="65"/>
    <w:p>
      <w:pPr>
        <w:spacing w:after="0" w:line="59" w:lineRule="exact"/>
        <w:rPr>
          <w:sz w:val="20"/>
          <w:szCs w:val="20"/>
          <w:color w:val="auto"/>
        </w:rPr>
      </w:pPr>
    </w:p>
    <w:p>
      <w:pPr>
        <w:ind w:right="100"/>
        <w:spacing w:after="0" w:line="241" w:lineRule="auto"/>
        <w:rPr>
          <w:sz w:val="20"/>
          <w:szCs w:val="20"/>
          <w:color w:val="auto"/>
        </w:rPr>
      </w:pPr>
      <w:r>
        <w:rPr>
          <w:rFonts w:ascii="Arial" w:cs="Arial" w:eastAsia="Arial" w:hAnsi="Arial"/>
          <w:sz w:val="18"/>
          <w:szCs w:val="18"/>
          <w:color w:val="auto"/>
        </w:rPr>
        <w:t>Some of Sempra Generation's long-term power sale contracts contain collateral requirements, although the DWR contracts do not contain such requirements. The collateral arrangements require Sempra Generation and/or the counterparty to post cash, guarantees or letters of credit to the other party for exposure in excess of established thresholds. Sempra Generation may be required to provide collateral when market price movements adversely affect the counterparty's cost of replacement energy supplies if Sempra Generation fails to deliver the contracted amounts. Sempra Generation had no outstanding collateral requirements under such contracts at June 30, 2011.</w:t>
      </w:r>
    </w:p>
    <w:p>
      <w:pPr>
        <w:spacing w:after="0" w:line="390"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Sempra Pipelines &amp; Storage</w:t>
      </w:r>
    </w:p>
    <w:p>
      <w:pPr>
        <w:spacing w:after="0" w:line="205" w:lineRule="exact"/>
        <w:rPr>
          <w:sz w:val="20"/>
          <w:szCs w:val="20"/>
          <w:color w:val="auto"/>
        </w:rPr>
      </w:pPr>
    </w:p>
    <w:p>
      <w:pPr>
        <w:ind w:right="100"/>
        <w:spacing w:after="0" w:line="248" w:lineRule="auto"/>
        <w:rPr>
          <w:sz w:val="20"/>
          <w:szCs w:val="20"/>
          <w:color w:val="auto"/>
        </w:rPr>
      </w:pPr>
      <w:r>
        <w:rPr>
          <w:rFonts w:ascii="Arial" w:cs="Arial" w:eastAsia="Arial" w:hAnsi="Arial"/>
          <w:sz w:val="18"/>
          <w:szCs w:val="18"/>
          <w:color w:val="auto"/>
        </w:rPr>
        <w:t>Sempra Pipelines &amp; Storage is expected to require funding from the parent or from external sources to fund projects and investments, including development and expansion of its natural gas storage projects. We expect projects at Chilquinta Energía and Luz del Sur to be funded by external borrowings and funds internally generated by Chilquinta Energía and Luz del Sur.</w:t>
      </w:r>
    </w:p>
    <w:p>
      <w:pPr>
        <w:spacing w:after="0" w:line="38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Sempra LNG</w:t>
      </w:r>
    </w:p>
    <w:p>
      <w:pPr>
        <w:spacing w:after="0" w:line="205"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We expect Sempra LNG to provide operating cash flow for other development within Sempra Global from the operations of its two LNG receipt terminals, Energía Costa Azul and Cameron.</w:t>
      </w: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20"/>
          <w:szCs w:val="20"/>
          <w:color w:val="auto"/>
        </w:rPr>
        <w:t>CASH FLOWS FROM OPERATING ACTIVITIES</w:t>
      </w: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CASH PROVIDED BY OPERATING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-104775</wp:posOffset>
            </wp:positionV>
            <wp:extent cx="7246620" cy="22288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46620" cy="222885"/>
                    </a:xfrm>
                    <a:prstGeom prst="rect">
                      <a:avLst/>
                    </a:prstGeom>
                    <a:noFill/>
                  </pic:spPr>
                </pic:pic>
              </a:graphicData>
            </a:graphic>
          </wp:anchor>
        </w:drawing>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3640" w:type="dxa"/>
            <w:vAlign w:val="bottom"/>
            <w:gridSpan w:val="2"/>
          </w:tcPr>
          <w:p>
            <w:pPr>
              <w:spacing w:after="0"/>
              <w:rPr>
                <w:sz w:val="20"/>
                <w:szCs w:val="20"/>
                <w:color w:val="auto"/>
              </w:rPr>
            </w:pPr>
            <w:r>
              <w:rPr>
                <w:rFonts w:ascii="Arial" w:cs="Arial" w:eastAsia="Arial" w:hAnsi="Arial"/>
                <w:sz w:val="14"/>
                <w:szCs w:val="14"/>
                <w:i w:val="1"/>
                <w:iCs w:val="1"/>
                <w:color w:val="auto"/>
              </w:rPr>
              <w:t>(Dollars in millions)</w:t>
            </w:r>
          </w:p>
        </w:tc>
        <w:tc>
          <w:tcPr>
            <w:tcW w:w="25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240" w:type="dxa"/>
            <w:vAlign w:val="bottom"/>
          </w:tcPr>
          <w:p>
            <w:pPr>
              <w:spacing w:after="0"/>
              <w:rPr>
                <w:sz w:val="15"/>
                <w:szCs w:val="15"/>
                <w:color w:val="auto"/>
              </w:rPr>
            </w:pPr>
          </w:p>
        </w:tc>
      </w:tr>
      <w:tr>
        <w:trPr>
          <w:trHeight w:val="164"/>
        </w:trPr>
        <w:tc>
          <w:tcPr>
            <w:tcW w:w="20" w:type="dxa"/>
            <w:vAlign w:val="bottom"/>
          </w:tcPr>
          <w:p>
            <w:pPr>
              <w:spacing w:after="0"/>
              <w:rPr>
                <w:sz w:val="14"/>
                <w:szCs w:val="14"/>
                <w:color w:val="auto"/>
              </w:rPr>
            </w:pPr>
          </w:p>
        </w:tc>
        <w:tc>
          <w:tcPr>
            <w:tcW w:w="3620" w:type="dxa"/>
            <w:vAlign w:val="bottom"/>
            <w:tcBorders>
              <w:bottom w:val="single" w:sz="8" w:color="auto"/>
            </w:tcBorders>
          </w:tcPr>
          <w:p>
            <w:pPr>
              <w:spacing w:after="0"/>
              <w:rPr>
                <w:sz w:val="14"/>
                <w:szCs w:val="14"/>
                <w:color w:val="auto"/>
              </w:rPr>
            </w:pPr>
          </w:p>
        </w:tc>
        <w:tc>
          <w:tcPr>
            <w:tcW w:w="2520" w:type="dxa"/>
            <w:vAlign w:val="bottom"/>
            <w:tcBorders>
              <w:bottom w:val="single" w:sz="8" w:color="auto"/>
            </w:tcBorders>
          </w:tcPr>
          <w:p>
            <w:pPr>
              <w:jc w:val="right"/>
              <w:ind w:right="3"/>
              <w:spacing w:after="0" w:line="157" w:lineRule="exact"/>
              <w:rPr>
                <w:sz w:val="20"/>
                <w:szCs w:val="20"/>
                <w:color w:val="auto"/>
              </w:rPr>
            </w:pPr>
            <w:r>
              <w:rPr>
                <w:rFonts w:ascii="Arial" w:cs="Arial" w:eastAsia="Arial" w:hAnsi="Arial"/>
                <w:sz w:val="14"/>
                <w:szCs w:val="14"/>
                <w:color w:val="auto"/>
              </w:rPr>
              <w:t>2011</w:t>
            </w:r>
          </w:p>
        </w:tc>
        <w:tc>
          <w:tcPr>
            <w:tcW w:w="52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580" w:type="dxa"/>
            <w:vAlign w:val="bottom"/>
            <w:tcBorders>
              <w:bottom w:val="single" w:sz="8" w:color="auto"/>
            </w:tcBorders>
          </w:tcPr>
          <w:p>
            <w:pPr>
              <w:ind w:left="520"/>
              <w:spacing w:after="0" w:line="157" w:lineRule="exact"/>
              <w:rPr>
                <w:sz w:val="20"/>
                <w:szCs w:val="20"/>
                <w:color w:val="auto"/>
              </w:rPr>
            </w:pPr>
            <w:r>
              <w:rPr>
                <w:rFonts w:ascii="Arial" w:cs="Arial" w:eastAsia="Arial" w:hAnsi="Arial"/>
                <w:sz w:val="14"/>
                <w:szCs w:val="14"/>
                <w:color w:val="auto"/>
              </w:rPr>
              <w:t>2011 Change</w:t>
            </w:r>
          </w:p>
        </w:tc>
        <w:tc>
          <w:tcPr>
            <w:tcW w:w="6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right"/>
              <w:ind w:right="581"/>
              <w:spacing w:after="0" w:line="157" w:lineRule="exact"/>
              <w:rPr>
                <w:sz w:val="20"/>
                <w:szCs w:val="20"/>
                <w:color w:val="auto"/>
              </w:rPr>
            </w:pPr>
            <w:r>
              <w:rPr>
                <w:rFonts w:ascii="Arial" w:cs="Arial" w:eastAsia="Arial" w:hAnsi="Arial"/>
                <w:sz w:val="14"/>
                <w:szCs w:val="14"/>
                <w:color w:val="auto"/>
              </w:rPr>
              <w:t>2010</w:t>
            </w:r>
          </w:p>
        </w:tc>
      </w:tr>
      <w:tr>
        <w:trPr>
          <w:trHeight w:val="164"/>
        </w:trPr>
        <w:tc>
          <w:tcPr>
            <w:tcW w:w="20" w:type="dxa"/>
            <w:vAlign w:val="bottom"/>
          </w:tcPr>
          <w:p>
            <w:pPr>
              <w:spacing w:after="0"/>
              <w:rPr>
                <w:sz w:val="14"/>
                <w:szCs w:val="14"/>
                <w:color w:val="auto"/>
              </w:rPr>
            </w:pPr>
          </w:p>
        </w:tc>
        <w:tc>
          <w:tcPr>
            <w:tcW w:w="3620" w:type="dxa"/>
            <w:vAlign w:val="bottom"/>
          </w:tcPr>
          <w:p>
            <w:pPr>
              <w:spacing w:after="0" w:line="164" w:lineRule="exact"/>
              <w:rPr>
                <w:sz w:val="20"/>
                <w:szCs w:val="20"/>
                <w:color w:val="auto"/>
              </w:rPr>
            </w:pPr>
            <w:r>
              <w:rPr>
                <w:rFonts w:ascii="Arial" w:cs="Arial" w:eastAsia="Arial" w:hAnsi="Arial"/>
                <w:sz w:val="16"/>
                <w:szCs w:val="16"/>
                <w:color w:val="auto"/>
              </w:rPr>
              <w:t>Sempra Energy Consolidated</w:t>
            </w:r>
          </w:p>
        </w:tc>
        <w:tc>
          <w:tcPr>
            <w:tcW w:w="2520" w:type="dxa"/>
            <w:vAlign w:val="bottom"/>
          </w:tcPr>
          <w:p>
            <w:pPr>
              <w:jc w:val="right"/>
              <w:ind w:right="843"/>
              <w:spacing w:after="0" w:line="164" w:lineRule="exact"/>
              <w:rPr>
                <w:sz w:val="20"/>
                <w:szCs w:val="20"/>
                <w:color w:val="auto"/>
              </w:rPr>
            </w:pPr>
            <w:r>
              <w:rPr>
                <w:rFonts w:ascii="Arial" w:cs="Arial" w:eastAsia="Arial" w:hAnsi="Arial"/>
                <w:sz w:val="16"/>
                <w:szCs w:val="16"/>
                <w:color w:val="auto"/>
              </w:rPr>
              <w:t>$</w:t>
            </w:r>
          </w:p>
        </w:tc>
        <w:tc>
          <w:tcPr>
            <w:tcW w:w="520" w:type="dxa"/>
            <w:vAlign w:val="bottom"/>
          </w:tcPr>
          <w:p>
            <w:pPr>
              <w:jc w:val="right"/>
              <w:spacing w:after="0" w:line="164" w:lineRule="exact"/>
              <w:rPr>
                <w:sz w:val="20"/>
                <w:szCs w:val="20"/>
                <w:color w:val="auto"/>
              </w:rPr>
            </w:pPr>
            <w:r>
              <w:rPr>
                <w:rFonts w:ascii="Arial" w:cs="Arial" w:eastAsia="Arial" w:hAnsi="Arial"/>
                <w:sz w:val="16"/>
                <w:szCs w:val="16"/>
                <w:color w:val="auto"/>
              </w:rPr>
              <w:t>1,139</w:t>
            </w:r>
          </w:p>
        </w:tc>
        <w:tc>
          <w:tcPr>
            <w:tcW w:w="640" w:type="dxa"/>
            <w:vAlign w:val="bottom"/>
          </w:tcPr>
          <w:p>
            <w:pPr>
              <w:jc w:val="right"/>
              <w:ind w:right="439"/>
              <w:spacing w:after="0" w:line="164" w:lineRule="exact"/>
              <w:rPr>
                <w:sz w:val="20"/>
                <w:szCs w:val="20"/>
                <w:color w:val="auto"/>
              </w:rPr>
            </w:pPr>
            <w:r>
              <w:rPr>
                <w:rFonts w:ascii="Arial" w:cs="Arial" w:eastAsia="Arial" w:hAnsi="Arial"/>
                <w:sz w:val="16"/>
                <w:szCs w:val="16"/>
                <w:color w:val="auto"/>
              </w:rPr>
              <w:t>$</w:t>
            </w:r>
          </w:p>
        </w:tc>
        <w:tc>
          <w:tcPr>
            <w:tcW w:w="1580" w:type="dxa"/>
            <w:vAlign w:val="bottom"/>
          </w:tcPr>
          <w:p>
            <w:pPr>
              <w:jc w:val="center"/>
              <w:ind w:right="1"/>
              <w:spacing w:after="0" w:line="164" w:lineRule="exact"/>
              <w:rPr>
                <w:sz w:val="20"/>
                <w:szCs w:val="20"/>
                <w:color w:val="auto"/>
              </w:rPr>
            </w:pPr>
            <w:r>
              <w:rPr>
                <w:rFonts w:ascii="Arial" w:cs="Arial" w:eastAsia="Arial" w:hAnsi="Arial"/>
                <w:sz w:val="16"/>
                <w:szCs w:val="16"/>
                <w:color w:val="auto"/>
              </w:rPr>
              <w:t>(168)</w:t>
            </w:r>
          </w:p>
        </w:tc>
        <w:tc>
          <w:tcPr>
            <w:tcW w:w="640" w:type="dxa"/>
            <w:vAlign w:val="bottom"/>
          </w:tcPr>
          <w:p>
            <w:pPr>
              <w:jc w:val="right"/>
              <w:ind w:right="59"/>
              <w:spacing w:after="0" w:line="164" w:lineRule="exact"/>
              <w:rPr>
                <w:sz w:val="20"/>
                <w:szCs w:val="20"/>
                <w:color w:val="auto"/>
              </w:rPr>
            </w:pPr>
            <w:r>
              <w:rPr>
                <w:rFonts w:ascii="Arial" w:cs="Arial" w:eastAsia="Arial" w:hAnsi="Arial"/>
                <w:sz w:val="16"/>
                <w:szCs w:val="16"/>
                <w:color w:val="auto"/>
              </w:rPr>
              <w:t>(13)</w:t>
            </w:r>
          </w:p>
        </w:tc>
        <w:tc>
          <w:tcPr>
            <w:tcW w:w="640" w:type="dxa"/>
            <w:vAlign w:val="bottom"/>
          </w:tcPr>
          <w:p>
            <w:pPr>
              <w:jc w:val="right"/>
              <w:ind w:right="179"/>
              <w:spacing w:after="0" w:line="164" w:lineRule="exact"/>
              <w:rPr>
                <w:sz w:val="20"/>
                <w:szCs w:val="20"/>
                <w:color w:val="auto"/>
              </w:rPr>
            </w:pPr>
            <w:r>
              <w:rPr>
                <w:rFonts w:ascii="Arial" w:cs="Arial" w:eastAsia="Arial" w:hAnsi="Arial"/>
                <w:sz w:val="16"/>
                <w:szCs w:val="16"/>
                <w:color w:val="auto"/>
              </w:rPr>
              <w:t>%$</w:t>
            </w:r>
          </w:p>
        </w:tc>
        <w:tc>
          <w:tcPr>
            <w:tcW w:w="1240" w:type="dxa"/>
            <w:vAlign w:val="bottom"/>
          </w:tcPr>
          <w:p>
            <w:pPr>
              <w:jc w:val="right"/>
              <w:spacing w:after="0" w:line="164" w:lineRule="exact"/>
              <w:rPr>
                <w:sz w:val="20"/>
                <w:szCs w:val="20"/>
                <w:color w:val="auto"/>
              </w:rPr>
            </w:pPr>
            <w:r>
              <w:rPr>
                <w:rFonts w:ascii="Arial" w:cs="Arial" w:eastAsia="Arial" w:hAnsi="Arial"/>
                <w:sz w:val="16"/>
                <w:szCs w:val="16"/>
                <w:color w:val="auto"/>
              </w:rPr>
              <w:t>1,307</w:t>
            </w:r>
          </w:p>
        </w:tc>
      </w:tr>
      <w:tr>
        <w:trPr>
          <w:trHeight w:val="176"/>
        </w:trPr>
        <w:tc>
          <w:tcPr>
            <w:tcW w:w="3640" w:type="dxa"/>
            <w:vAlign w:val="bottom"/>
            <w:gridSpan w:val="2"/>
          </w:tcPr>
          <w:p>
            <w:pPr>
              <w:spacing w:after="0" w:line="176" w:lineRule="exact"/>
              <w:rPr>
                <w:sz w:val="20"/>
                <w:szCs w:val="20"/>
                <w:color w:val="auto"/>
              </w:rPr>
            </w:pPr>
            <w:r>
              <w:rPr>
                <w:rFonts w:ascii="Arial" w:cs="Arial" w:eastAsia="Arial" w:hAnsi="Arial"/>
                <w:sz w:val="16"/>
                <w:szCs w:val="16"/>
                <w:color w:val="auto"/>
              </w:rPr>
              <w:t>SDG&amp;E</w:t>
            </w:r>
          </w:p>
        </w:tc>
        <w:tc>
          <w:tcPr>
            <w:tcW w:w="2520" w:type="dxa"/>
            <w:vAlign w:val="bottom"/>
          </w:tcPr>
          <w:p>
            <w:pPr>
              <w:spacing w:after="0"/>
              <w:rPr>
                <w:sz w:val="15"/>
                <w:szCs w:val="15"/>
                <w:color w:val="auto"/>
              </w:rPr>
            </w:pPr>
          </w:p>
        </w:tc>
        <w:tc>
          <w:tcPr>
            <w:tcW w:w="520" w:type="dxa"/>
            <w:vAlign w:val="bottom"/>
          </w:tcPr>
          <w:p>
            <w:pPr>
              <w:jc w:val="right"/>
              <w:spacing w:after="0" w:line="176" w:lineRule="exact"/>
              <w:rPr>
                <w:sz w:val="20"/>
                <w:szCs w:val="20"/>
                <w:color w:val="auto"/>
              </w:rPr>
            </w:pPr>
            <w:r>
              <w:rPr>
                <w:rFonts w:ascii="Arial" w:cs="Arial" w:eastAsia="Arial" w:hAnsi="Arial"/>
                <w:sz w:val="16"/>
                <w:szCs w:val="16"/>
                <w:color w:val="auto"/>
              </w:rPr>
              <w:t>556</w:t>
            </w:r>
          </w:p>
        </w:tc>
        <w:tc>
          <w:tcPr>
            <w:tcW w:w="640" w:type="dxa"/>
            <w:vAlign w:val="bottom"/>
          </w:tcPr>
          <w:p>
            <w:pPr>
              <w:spacing w:after="0"/>
              <w:rPr>
                <w:sz w:val="15"/>
                <w:szCs w:val="15"/>
                <w:color w:val="auto"/>
              </w:rPr>
            </w:pPr>
          </w:p>
        </w:tc>
        <w:tc>
          <w:tcPr>
            <w:tcW w:w="1580" w:type="dxa"/>
            <w:vAlign w:val="bottom"/>
          </w:tcPr>
          <w:p>
            <w:pPr>
              <w:jc w:val="center"/>
              <w:spacing w:after="0" w:line="176" w:lineRule="exact"/>
              <w:rPr>
                <w:sz w:val="20"/>
                <w:szCs w:val="20"/>
                <w:color w:val="auto"/>
              </w:rPr>
            </w:pPr>
            <w:r>
              <w:rPr>
                <w:rFonts w:ascii="Arial" w:cs="Arial" w:eastAsia="Arial" w:hAnsi="Arial"/>
                <w:sz w:val="16"/>
                <w:szCs w:val="16"/>
                <w:color w:val="auto"/>
              </w:rPr>
              <w:t>335</w:t>
            </w:r>
          </w:p>
        </w:tc>
        <w:tc>
          <w:tcPr>
            <w:tcW w:w="640" w:type="dxa"/>
            <w:vAlign w:val="bottom"/>
          </w:tcPr>
          <w:p>
            <w:pPr>
              <w:jc w:val="right"/>
              <w:ind w:right="99"/>
              <w:spacing w:after="0" w:line="176" w:lineRule="exact"/>
              <w:rPr>
                <w:sz w:val="20"/>
                <w:szCs w:val="20"/>
                <w:color w:val="auto"/>
              </w:rPr>
            </w:pPr>
            <w:r>
              <w:rPr>
                <w:rFonts w:ascii="Arial" w:cs="Arial" w:eastAsia="Arial" w:hAnsi="Arial"/>
                <w:sz w:val="16"/>
                <w:szCs w:val="16"/>
                <w:color w:val="auto"/>
              </w:rPr>
              <w:t>152</w:t>
            </w:r>
          </w:p>
        </w:tc>
        <w:tc>
          <w:tcPr>
            <w:tcW w:w="640" w:type="dxa"/>
            <w:vAlign w:val="bottom"/>
          </w:tcPr>
          <w:p>
            <w:pPr>
              <w:spacing w:after="0"/>
              <w:rPr>
                <w:sz w:val="15"/>
                <w:szCs w:val="15"/>
                <w:color w:val="auto"/>
              </w:rPr>
            </w:pPr>
          </w:p>
        </w:tc>
        <w:tc>
          <w:tcPr>
            <w:tcW w:w="1240" w:type="dxa"/>
            <w:vAlign w:val="bottom"/>
          </w:tcPr>
          <w:p>
            <w:pPr>
              <w:jc w:val="right"/>
              <w:spacing w:after="0" w:line="176" w:lineRule="exact"/>
              <w:rPr>
                <w:sz w:val="20"/>
                <w:szCs w:val="20"/>
                <w:color w:val="auto"/>
              </w:rPr>
            </w:pPr>
            <w:r>
              <w:rPr>
                <w:rFonts w:ascii="Arial" w:cs="Arial" w:eastAsia="Arial" w:hAnsi="Arial"/>
                <w:sz w:val="16"/>
                <w:szCs w:val="16"/>
                <w:color w:val="auto"/>
              </w:rPr>
              <w:t>221</w:t>
            </w:r>
          </w:p>
        </w:tc>
      </w:tr>
      <w:tr>
        <w:trPr>
          <w:trHeight w:val="194"/>
        </w:trPr>
        <w:tc>
          <w:tcPr>
            <w:tcW w:w="3640" w:type="dxa"/>
            <w:vAlign w:val="bottom"/>
            <w:tcBorders>
              <w:bottom w:val="single" w:sz="8" w:color="auto"/>
            </w:tcBorders>
            <w:gridSpan w:val="2"/>
          </w:tcPr>
          <w:p>
            <w:pPr>
              <w:spacing w:after="0"/>
              <w:rPr>
                <w:sz w:val="20"/>
                <w:szCs w:val="20"/>
                <w:color w:val="auto"/>
              </w:rPr>
            </w:pPr>
            <w:r>
              <w:rPr>
                <w:rFonts w:ascii="Arial" w:cs="Arial" w:eastAsia="Arial" w:hAnsi="Arial"/>
                <w:sz w:val="16"/>
                <w:szCs w:val="16"/>
                <w:color w:val="auto"/>
              </w:rPr>
              <w:t>SoCalGas</w:t>
            </w:r>
          </w:p>
        </w:tc>
        <w:tc>
          <w:tcPr>
            <w:tcW w:w="252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436</w:t>
            </w:r>
          </w:p>
        </w:tc>
        <w:tc>
          <w:tcPr>
            <w:tcW w:w="64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tcPr>
          <w:p>
            <w:pPr>
              <w:jc w:val="center"/>
              <w:ind w:right="1"/>
              <w:spacing w:after="0"/>
              <w:rPr>
                <w:sz w:val="20"/>
                <w:szCs w:val="20"/>
                <w:color w:val="auto"/>
              </w:rPr>
            </w:pPr>
            <w:r>
              <w:rPr>
                <w:rFonts w:ascii="Arial" w:cs="Arial" w:eastAsia="Arial" w:hAnsi="Arial"/>
                <w:sz w:val="16"/>
                <w:szCs w:val="16"/>
                <w:color w:val="auto"/>
              </w:rPr>
              <w:t>(185)</w:t>
            </w:r>
          </w:p>
        </w:tc>
        <w:tc>
          <w:tcPr>
            <w:tcW w:w="6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(30)</w:t>
            </w:r>
          </w:p>
        </w:tc>
        <w:tc>
          <w:tcPr>
            <w:tcW w:w="6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621</w:t>
            </w:r>
          </w:p>
        </w:tc>
      </w:tr>
    </w:tbl>
    <w:p>
      <w:pPr>
        <w:spacing w:after="0" w:line="199"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Sempra Energy Consolidated</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Cash provided by operating activities at Sempra Energy decreased in 2011 primarily due to:</w:t>
      </w:r>
    </w:p>
    <w:p>
      <w:pPr>
        <w:spacing w:after="0" w:line="225" w:lineRule="exact"/>
        <w:rPr>
          <w:sz w:val="20"/>
          <w:szCs w:val="20"/>
          <w:color w:val="auto"/>
        </w:rPr>
      </w:pPr>
    </w:p>
    <w:p>
      <w:pPr>
        <w:ind w:left="340" w:hanging="188"/>
        <w:spacing w:after="0"/>
        <w:tabs>
          <w:tab w:leader="none" w:pos="340" w:val="left"/>
        </w:tabs>
        <w:numPr>
          <w:ilvl w:val="0"/>
          <w:numId w:val="95"/>
        </w:numPr>
        <w:rPr>
          <w:rFonts w:ascii="Arial" w:cs="Arial" w:eastAsia="Arial" w:hAnsi="Arial"/>
          <w:sz w:val="18"/>
          <w:szCs w:val="18"/>
          <w:color w:val="auto"/>
        </w:rPr>
      </w:pPr>
      <w:r>
        <w:rPr>
          <w:rFonts w:ascii="Arial" w:cs="Arial" w:eastAsia="Arial" w:hAnsi="Arial"/>
          <w:sz w:val="18"/>
          <w:szCs w:val="18"/>
          <w:color w:val="auto"/>
        </w:rPr>
        <w:t>a $162 million decrease in accounts receivable in 2011 compared to a $315 million decrease in accounts receivable in 2010;</w:t>
      </w:r>
    </w:p>
    <w:p>
      <w:pPr>
        <w:spacing w:after="0" w:line="252" w:lineRule="exact"/>
        <w:rPr>
          <w:rFonts w:ascii="Arial" w:cs="Arial" w:eastAsia="Arial" w:hAnsi="Arial"/>
          <w:sz w:val="18"/>
          <w:szCs w:val="18"/>
          <w:color w:val="auto"/>
        </w:rPr>
      </w:pPr>
    </w:p>
    <w:p>
      <w:pPr>
        <w:ind w:left="340" w:hanging="188"/>
        <w:spacing w:after="0"/>
        <w:tabs>
          <w:tab w:leader="none" w:pos="340" w:val="left"/>
        </w:tabs>
        <w:numPr>
          <w:ilvl w:val="0"/>
          <w:numId w:val="95"/>
        </w:numPr>
        <w:rPr>
          <w:rFonts w:ascii="Arial" w:cs="Arial" w:eastAsia="Arial" w:hAnsi="Arial"/>
          <w:sz w:val="18"/>
          <w:szCs w:val="18"/>
          <w:color w:val="auto"/>
        </w:rPr>
      </w:pPr>
      <w:r>
        <w:rPr>
          <w:rFonts w:ascii="Arial" w:cs="Arial" w:eastAsia="Arial" w:hAnsi="Arial"/>
          <w:sz w:val="18"/>
          <w:szCs w:val="18"/>
          <w:color w:val="auto"/>
        </w:rPr>
        <w:t>$145 million lower distributions received from RBS Sempra Commodities; and</w:t>
      </w:r>
    </w:p>
    <w:p>
      <w:pPr>
        <w:spacing w:after="0" w:line="248" w:lineRule="exact"/>
        <w:rPr>
          <w:rFonts w:ascii="Arial" w:cs="Arial" w:eastAsia="Arial" w:hAnsi="Arial"/>
          <w:sz w:val="18"/>
          <w:szCs w:val="18"/>
          <w:color w:val="auto"/>
        </w:rPr>
      </w:pPr>
    </w:p>
    <w:p>
      <w:pPr>
        <w:ind w:left="340" w:hanging="188"/>
        <w:spacing w:after="0"/>
        <w:tabs>
          <w:tab w:leader="none" w:pos="340" w:val="left"/>
        </w:tabs>
        <w:numPr>
          <w:ilvl w:val="0"/>
          <w:numId w:val="95"/>
        </w:numPr>
        <w:rPr>
          <w:rFonts w:ascii="Arial" w:cs="Arial" w:eastAsia="Arial" w:hAnsi="Arial"/>
          <w:sz w:val="18"/>
          <w:szCs w:val="18"/>
          <w:color w:val="auto"/>
        </w:rPr>
      </w:pPr>
      <w:r>
        <w:rPr>
          <w:rFonts w:ascii="Arial" w:cs="Arial" w:eastAsia="Arial" w:hAnsi="Arial"/>
          <w:sz w:val="18"/>
          <w:szCs w:val="18"/>
          <w:color w:val="auto"/>
        </w:rPr>
        <w:t xml:space="preserve">other working capital changes, as discussed below; </w:t>
      </w:r>
      <w:r>
        <w:rPr>
          <w:rFonts w:ascii="Arial" w:cs="Arial" w:eastAsia="Arial" w:hAnsi="Arial"/>
          <w:sz w:val="18"/>
          <w:szCs w:val="18"/>
          <w:b w:val="1"/>
          <w:bCs w:val="1"/>
          <w:color w:val="auto"/>
        </w:rPr>
        <w:t>offset by</w:t>
      </w:r>
    </w:p>
    <w:p>
      <w:pPr>
        <w:spacing w:after="0" w:line="256" w:lineRule="exact"/>
        <w:rPr>
          <w:rFonts w:ascii="Arial" w:cs="Arial" w:eastAsia="Arial" w:hAnsi="Arial"/>
          <w:sz w:val="18"/>
          <w:szCs w:val="18"/>
          <w:color w:val="auto"/>
        </w:rPr>
      </w:pPr>
    </w:p>
    <w:p>
      <w:pPr>
        <w:ind w:left="340" w:hanging="188"/>
        <w:spacing w:after="0"/>
        <w:tabs>
          <w:tab w:leader="none" w:pos="340" w:val="left"/>
        </w:tabs>
        <w:numPr>
          <w:ilvl w:val="0"/>
          <w:numId w:val="95"/>
        </w:numPr>
        <w:rPr>
          <w:rFonts w:ascii="Arial" w:cs="Arial" w:eastAsia="Arial" w:hAnsi="Arial"/>
          <w:sz w:val="18"/>
          <w:szCs w:val="18"/>
          <w:color w:val="auto"/>
        </w:rPr>
      </w:pPr>
      <w:r>
        <w:rPr>
          <w:rFonts w:ascii="Arial" w:cs="Arial" w:eastAsia="Arial" w:hAnsi="Arial"/>
          <w:sz w:val="18"/>
          <w:szCs w:val="18"/>
          <w:color w:val="auto"/>
        </w:rPr>
        <w:t>$262 million higher net income, adjusted for noncash items, in 2011 compared to 2010.</w:t>
      </w:r>
    </w:p>
    <w:p>
      <w:pPr>
        <w:spacing w:after="0" w:line="252"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Other working capital changes in 2011 compared to 2010 reflect a $363 million reduction in accrued liabilities for the payment in 2011 of wildfire settlement claims ($233 million) and the settlement paid related to energy crisis litigation ($130 million), as well as the accrual of the latter in the first quarter of 2010, offset by $300 million of funds received from a wildfire litigation settlement.</w:t>
      </w:r>
    </w:p>
    <w:p>
      <w:pPr>
        <w:spacing w:after="0" w:line="395"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SDG&amp;E</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Cash provided by operating activities at SDG&amp;E increased in 2011 primarily due to:</w:t>
      </w:r>
    </w:p>
    <w:p>
      <w:pPr>
        <w:spacing w:after="0" w:line="225" w:lineRule="exact"/>
        <w:rPr>
          <w:sz w:val="20"/>
          <w:szCs w:val="20"/>
          <w:color w:val="auto"/>
        </w:rPr>
      </w:pPr>
    </w:p>
    <w:p>
      <w:pPr>
        <w:ind w:left="340" w:hanging="188"/>
        <w:spacing w:after="0"/>
        <w:tabs>
          <w:tab w:leader="none" w:pos="340" w:val="left"/>
        </w:tabs>
        <w:numPr>
          <w:ilvl w:val="0"/>
          <w:numId w:val="96"/>
        </w:numPr>
        <w:rPr>
          <w:rFonts w:ascii="Arial" w:cs="Arial" w:eastAsia="Arial" w:hAnsi="Arial"/>
          <w:sz w:val="18"/>
          <w:szCs w:val="18"/>
          <w:color w:val="auto"/>
        </w:rPr>
      </w:pPr>
      <w:r>
        <w:rPr>
          <w:rFonts w:ascii="Arial" w:cs="Arial" w:eastAsia="Arial" w:hAnsi="Arial"/>
          <w:sz w:val="18"/>
          <w:szCs w:val="18"/>
          <w:color w:val="auto"/>
        </w:rPr>
        <w:t>$141 million higher net income, adjusted for noncash items, in 2011 compared to 2010; and</w:t>
      </w:r>
    </w:p>
    <w:p>
      <w:pPr>
        <w:spacing w:after="0" w:line="252" w:lineRule="exact"/>
        <w:rPr>
          <w:rFonts w:ascii="Arial" w:cs="Arial" w:eastAsia="Arial" w:hAnsi="Arial"/>
          <w:sz w:val="18"/>
          <w:szCs w:val="18"/>
          <w:color w:val="auto"/>
        </w:rPr>
      </w:pPr>
    </w:p>
    <w:p>
      <w:pPr>
        <w:ind w:left="340" w:right="20" w:hanging="188"/>
        <w:spacing w:after="0" w:line="277" w:lineRule="auto"/>
        <w:tabs>
          <w:tab w:leader="none" w:pos="340" w:val="left"/>
        </w:tabs>
        <w:numPr>
          <w:ilvl w:val="0"/>
          <w:numId w:val="96"/>
        </w:numPr>
        <w:rPr>
          <w:rFonts w:ascii="Arial" w:cs="Arial" w:eastAsia="Arial" w:hAnsi="Arial"/>
          <w:sz w:val="18"/>
          <w:szCs w:val="18"/>
          <w:color w:val="auto"/>
        </w:rPr>
      </w:pPr>
      <w:r>
        <w:rPr>
          <w:rFonts w:ascii="Arial" w:cs="Arial" w:eastAsia="Arial" w:hAnsi="Arial"/>
          <w:sz w:val="18"/>
          <w:szCs w:val="18"/>
          <w:color w:val="auto"/>
        </w:rPr>
        <w:t xml:space="preserve">$300 million of funds received from a wildfire litigation settlement, which is offset by an increase in restricted cash in cash flows from investing activities; </w:t>
      </w:r>
      <w:r>
        <w:rPr>
          <w:rFonts w:ascii="Arial" w:cs="Arial" w:eastAsia="Arial" w:hAnsi="Arial"/>
          <w:sz w:val="18"/>
          <w:szCs w:val="18"/>
          <w:b w:val="1"/>
          <w:bCs w:val="1"/>
          <w:color w:val="auto"/>
        </w:rPr>
        <w:t>offset by</w:t>
      </w:r>
    </w:p>
    <w:p>
      <w:pPr>
        <w:spacing w:after="0" w:line="197" w:lineRule="exact"/>
        <w:rPr>
          <w:rFonts w:ascii="Arial" w:cs="Arial" w:eastAsia="Arial" w:hAnsi="Arial"/>
          <w:sz w:val="18"/>
          <w:szCs w:val="18"/>
          <w:color w:val="auto"/>
        </w:rPr>
      </w:pPr>
    </w:p>
    <w:p>
      <w:pPr>
        <w:ind w:left="340" w:hanging="188"/>
        <w:spacing w:after="0"/>
        <w:tabs>
          <w:tab w:leader="none" w:pos="340" w:val="left"/>
        </w:tabs>
        <w:numPr>
          <w:ilvl w:val="0"/>
          <w:numId w:val="96"/>
        </w:numPr>
        <w:rPr>
          <w:rFonts w:ascii="Arial" w:cs="Arial" w:eastAsia="Arial" w:hAnsi="Arial"/>
          <w:sz w:val="17"/>
          <w:szCs w:val="17"/>
          <w:color w:val="auto"/>
        </w:rPr>
      </w:pPr>
      <w:r>
        <w:rPr>
          <w:rFonts w:ascii="Arial" w:cs="Arial" w:eastAsia="Arial" w:hAnsi="Arial"/>
          <w:sz w:val="17"/>
          <w:szCs w:val="17"/>
          <w:color w:val="auto"/>
        </w:rPr>
        <w:t>$233 million in settlement payments for the 2007 wildfires in 2011, compared to $97 million net settlement payments for the 2007 wildfires in 2010.</w:t>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SoCalGas</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Cash provided by operating activities at SoCalGas decreased in 2011 primarily due to:</w:t>
      </w:r>
    </w:p>
    <w:p>
      <w:pPr>
        <w:spacing w:after="0" w:line="225" w:lineRule="exact"/>
        <w:rPr>
          <w:sz w:val="20"/>
          <w:szCs w:val="20"/>
          <w:color w:val="auto"/>
        </w:rPr>
      </w:pPr>
    </w:p>
    <w:p>
      <w:pPr>
        <w:ind w:left="340" w:hanging="188"/>
        <w:spacing w:after="0"/>
        <w:tabs>
          <w:tab w:leader="none" w:pos="340" w:val="left"/>
        </w:tabs>
        <w:numPr>
          <w:ilvl w:val="0"/>
          <w:numId w:val="97"/>
        </w:numPr>
        <w:rPr>
          <w:rFonts w:ascii="Arial" w:cs="Arial" w:eastAsia="Arial" w:hAnsi="Arial"/>
          <w:sz w:val="18"/>
          <w:szCs w:val="18"/>
          <w:color w:val="auto"/>
        </w:rPr>
      </w:pPr>
      <w:r>
        <w:rPr>
          <w:rFonts w:ascii="Arial" w:cs="Arial" w:eastAsia="Arial" w:hAnsi="Arial"/>
          <w:sz w:val="18"/>
          <w:szCs w:val="18"/>
          <w:color w:val="auto"/>
        </w:rPr>
        <w:t>a $169 million decrease in accounts receivable in 2011 compared to a $228 million decrease in accounts receivable in 2010; and</w:t>
      </w:r>
    </w:p>
    <w:p>
      <w:pPr>
        <w:spacing w:after="0" w:line="252" w:lineRule="exact"/>
        <w:rPr>
          <w:rFonts w:ascii="Arial" w:cs="Arial" w:eastAsia="Arial" w:hAnsi="Arial"/>
          <w:sz w:val="18"/>
          <w:szCs w:val="18"/>
          <w:color w:val="auto"/>
        </w:rPr>
      </w:pPr>
    </w:p>
    <w:p>
      <w:pPr>
        <w:jc w:val="both"/>
        <w:ind w:left="340" w:hanging="188"/>
        <w:spacing w:after="0" w:line="264" w:lineRule="auto"/>
        <w:tabs>
          <w:tab w:leader="none" w:pos="340" w:val="left"/>
        </w:tabs>
        <w:numPr>
          <w:ilvl w:val="0"/>
          <w:numId w:val="97"/>
        </w:numPr>
        <w:rPr>
          <w:rFonts w:ascii="Arial" w:cs="Arial" w:eastAsia="Arial" w:hAnsi="Arial"/>
          <w:sz w:val="18"/>
          <w:szCs w:val="18"/>
          <w:color w:val="auto"/>
        </w:rPr>
      </w:pPr>
      <w:r>
        <w:rPr>
          <w:rFonts w:ascii="Arial" w:cs="Arial" w:eastAsia="Arial" w:hAnsi="Arial"/>
          <w:sz w:val="18"/>
          <w:szCs w:val="18"/>
          <w:color w:val="auto"/>
        </w:rPr>
        <w:t xml:space="preserve">a $44 million decrease in regulatory balancing accounts in 2011 compared to a $90 million increase in 2010. Over- and undercollected regulatory balancing accounts reflect the difference between customer billings and recorded or CPUC-authorized costs. These differences are required to balanced over time; </w:t>
      </w:r>
      <w:r>
        <w:rPr>
          <w:rFonts w:ascii="Arial" w:cs="Arial" w:eastAsia="Arial" w:hAnsi="Arial"/>
          <w:sz w:val="18"/>
          <w:szCs w:val="18"/>
          <w:b w:val="1"/>
          <w:bCs w:val="1"/>
          <w:color w:val="auto"/>
        </w:rPr>
        <w:t>offset by</w:t>
      </w:r>
    </w:p>
    <w:p>
      <w:pPr>
        <w:spacing w:after="0" w:line="208" w:lineRule="exact"/>
        <w:rPr>
          <w:rFonts w:ascii="Arial" w:cs="Arial" w:eastAsia="Arial" w:hAnsi="Arial"/>
          <w:sz w:val="18"/>
          <w:szCs w:val="18"/>
          <w:color w:val="auto"/>
        </w:rPr>
      </w:pPr>
    </w:p>
    <w:p>
      <w:pPr>
        <w:ind w:left="340" w:hanging="188"/>
        <w:spacing w:after="0"/>
        <w:tabs>
          <w:tab w:leader="none" w:pos="340" w:val="left"/>
        </w:tabs>
        <w:numPr>
          <w:ilvl w:val="0"/>
          <w:numId w:val="97"/>
        </w:numPr>
        <w:rPr>
          <w:rFonts w:ascii="Arial" w:cs="Arial" w:eastAsia="Arial" w:hAnsi="Arial"/>
          <w:sz w:val="18"/>
          <w:szCs w:val="18"/>
          <w:color w:val="auto"/>
        </w:rPr>
      </w:pPr>
      <w:r>
        <w:rPr>
          <w:rFonts w:ascii="Arial" w:cs="Arial" w:eastAsia="Arial" w:hAnsi="Arial"/>
          <w:sz w:val="18"/>
          <w:szCs w:val="18"/>
          <w:color w:val="auto"/>
        </w:rPr>
        <w:t>$52 million higher net income, adjusted for noncash items, in 2011 compared to 2010.</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shows the contributions to pension and other postretirement benefit plans for the six months ended June 30, 2011.</w:t>
      </w:r>
    </w:p>
    <w:p>
      <w:pPr>
        <w:sectPr>
          <w:pgSz w:w="11900" w:h="16897" w:orient="portrait"/>
          <w:cols w:equalWidth="0" w:num="1">
            <w:col w:w="11420"/>
          </w:cols>
          <w:pgMar w:left="240" w:top="125" w:right="239" w:bottom="0" w:gutter="0" w:footer="0" w:header="0"/>
        </w:sectPr>
      </w:pPr>
    </w:p>
    <w:p>
      <w:pPr>
        <w:spacing w:after="0" w:line="200" w:lineRule="exact"/>
        <w:rPr>
          <w:sz w:val="20"/>
          <w:szCs w:val="20"/>
          <w:color w:val="auto"/>
        </w:rPr>
      </w:pPr>
    </w:p>
    <w:p>
      <w:pPr>
        <w:spacing w:after="0" w:line="301"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4280" w:type="dxa"/>
            <w:vAlign w:val="bottom"/>
          </w:tcPr>
          <w:p>
            <w:pPr>
              <w:spacing w:after="0"/>
              <w:rPr>
                <w:sz w:val="14"/>
                <w:szCs w:val="14"/>
                <w:color w:val="auto"/>
              </w:rPr>
            </w:pPr>
          </w:p>
        </w:tc>
        <w:tc>
          <w:tcPr>
            <w:tcW w:w="4480" w:type="dxa"/>
            <w:vAlign w:val="bottom"/>
          </w:tcPr>
          <w:p>
            <w:pPr>
              <w:spacing w:after="0"/>
              <w:rPr>
                <w:sz w:val="14"/>
                <w:szCs w:val="14"/>
                <w:color w:val="auto"/>
              </w:rPr>
            </w:pPr>
          </w:p>
        </w:tc>
        <w:tc>
          <w:tcPr>
            <w:tcW w:w="2660" w:type="dxa"/>
            <w:vAlign w:val="bottom"/>
          </w:tcPr>
          <w:p>
            <w:pPr>
              <w:jc w:val="center"/>
              <w:ind w:left="28"/>
              <w:spacing w:after="0"/>
              <w:rPr>
                <w:sz w:val="20"/>
                <w:szCs w:val="20"/>
                <w:color w:val="auto"/>
              </w:rPr>
            </w:pPr>
            <w:r>
              <w:rPr>
                <w:rFonts w:ascii="Arial" w:cs="Arial" w:eastAsia="Arial" w:hAnsi="Arial"/>
                <w:sz w:val="14"/>
                <w:szCs w:val="14"/>
                <w:color w:val="auto"/>
              </w:rPr>
              <w:t>Other</w:t>
            </w:r>
          </w:p>
        </w:tc>
        <w:tc>
          <w:tcPr>
            <w:tcW w:w="0" w:type="dxa"/>
            <w:vAlign w:val="bottom"/>
          </w:tcPr>
          <w:p>
            <w:pPr>
              <w:spacing w:after="0"/>
              <w:rPr>
                <w:sz w:val="1"/>
                <w:szCs w:val="1"/>
                <w:color w:val="auto"/>
              </w:rPr>
            </w:pPr>
          </w:p>
        </w:tc>
      </w:tr>
      <w:tr>
        <w:trPr>
          <w:trHeight w:val="165"/>
        </w:trPr>
        <w:tc>
          <w:tcPr>
            <w:tcW w:w="4280" w:type="dxa"/>
            <w:vAlign w:val="bottom"/>
            <w:vMerge w:val="restart"/>
          </w:tcPr>
          <w:p>
            <w:pPr>
              <w:spacing w:after="0"/>
              <w:rPr>
                <w:sz w:val="20"/>
                <w:szCs w:val="20"/>
                <w:color w:val="auto"/>
              </w:rPr>
            </w:pPr>
            <w:r>
              <w:rPr>
                <w:rFonts w:ascii="Arial" w:cs="Arial" w:eastAsia="Arial" w:hAnsi="Arial"/>
                <w:sz w:val="14"/>
                <w:szCs w:val="14"/>
                <w:i w:val="1"/>
                <w:iCs w:val="1"/>
                <w:color w:val="auto"/>
              </w:rPr>
              <w:t>(Dollars in millions)</w:t>
            </w:r>
          </w:p>
        </w:tc>
        <w:tc>
          <w:tcPr>
            <w:tcW w:w="4480" w:type="dxa"/>
            <w:vAlign w:val="bottom"/>
          </w:tcPr>
          <w:p>
            <w:pPr>
              <w:ind w:left="3040"/>
              <w:spacing w:after="0"/>
              <w:rPr>
                <w:sz w:val="20"/>
                <w:szCs w:val="20"/>
                <w:color w:val="auto"/>
              </w:rPr>
            </w:pPr>
            <w:r>
              <w:rPr>
                <w:rFonts w:ascii="Arial" w:cs="Arial" w:eastAsia="Arial" w:hAnsi="Arial"/>
                <w:sz w:val="14"/>
                <w:szCs w:val="14"/>
                <w:color w:val="auto"/>
              </w:rPr>
              <w:t>Pension</w:t>
            </w:r>
          </w:p>
        </w:tc>
        <w:tc>
          <w:tcPr>
            <w:tcW w:w="2660" w:type="dxa"/>
            <w:vAlign w:val="bottom"/>
          </w:tcPr>
          <w:p>
            <w:pPr>
              <w:jc w:val="center"/>
              <w:ind w:left="8"/>
              <w:spacing w:after="0"/>
              <w:rPr>
                <w:sz w:val="20"/>
                <w:szCs w:val="20"/>
                <w:color w:val="auto"/>
              </w:rPr>
            </w:pPr>
            <w:r>
              <w:rPr>
                <w:rFonts w:ascii="Arial" w:cs="Arial" w:eastAsia="Arial" w:hAnsi="Arial"/>
                <w:sz w:val="14"/>
                <w:szCs w:val="14"/>
                <w:color w:val="auto"/>
              </w:rPr>
              <w:t>Postretirement</w:t>
            </w:r>
          </w:p>
        </w:tc>
        <w:tc>
          <w:tcPr>
            <w:tcW w:w="0" w:type="dxa"/>
            <w:vAlign w:val="bottom"/>
          </w:tcPr>
          <w:p>
            <w:pPr>
              <w:spacing w:after="0"/>
              <w:rPr>
                <w:sz w:val="1"/>
                <w:szCs w:val="1"/>
                <w:color w:val="auto"/>
              </w:rPr>
            </w:pPr>
          </w:p>
        </w:tc>
      </w:tr>
      <w:tr>
        <w:trPr>
          <w:trHeight w:val="164"/>
        </w:trPr>
        <w:tc>
          <w:tcPr>
            <w:tcW w:w="4280" w:type="dxa"/>
            <w:vAlign w:val="bottom"/>
            <w:tcBorders>
              <w:bottom w:val="single" w:sz="8" w:color="auto"/>
            </w:tcBorders>
            <w:vMerge w:val="continue"/>
          </w:tcPr>
          <w:p>
            <w:pPr>
              <w:spacing w:after="0"/>
              <w:rPr>
                <w:sz w:val="14"/>
                <w:szCs w:val="14"/>
                <w:color w:val="auto"/>
              </w:rPr>
            </w:pPr>
          </w:p>
        </w:tc>
        <w:tc>
          <w:tcPr>
            <w:tcW w:w="4480" w:type="dxa"/>
            <w:vAlign w:val="bottom"/>
            <w:tcBorders>
              <w:bottom w:val="single" w:sz="8" w:color="auto"/>
            </w:tcBorders>
          </w:tcPr>
          <w:p>
            <w:pPr>
              <w:ind w:left="3040"/>
              <w:spacing w:after="0" w:line="157" w:lineRule="exact"/>
              <w:rPr>
                <w:sz w:val="20"/>
                <w:szCs w:val="20"/>
                <w:color w:val="auto"/>
              </w:rPr>
            </w:pPr>
            <w:r>
              <w:rPr>
                <w:rFonts w:ascii="Arial" w:cs="Arial" w:eastAsia="Arial" w:hAnsi="Arial"/>
                <w:sz w:val="14"/>
                <w:szCs w:val="14"/>
                <w:color w:val="auto"/>
              </w:rPr>
              <w:t>Benefits</w:t>
            </w:r>
          </w:p>
        </w:tc>
        <w:tc>
          <w:tcPr>
            <w:tcW w:w="2660" w:type="dxa"/>
            <w:vAlign w:val="bottom"/>
            <w:tcBorders>
              <w:bottom w:val="single" w:sz="8" w:color="auto"/>
            </w:tcBorders>
          </w:tcPr>
          <w:p>
            <w:pPr>
              <w:jc w:val="center"/>
              <w:ind w:left="28"/>
              <w:spacing w:after="0" w:line="157" w:lineRule="exact"/>
              <w:rPr>
                <w:sz w:val="20"/>
                <w:szCs w:val="20"/>
                <w:color w:val="auto"/>
              </w:rPr>
            </w:pPr>
            <w:r>
              <w:rPr>
                <w:rFonts w:ascii="Arial" w:cs="Arial" w:eastAsia="Arial" w:hAnsi="Arial"/>
                <w:sz w:val="14"/>
                <w:szCs w:val="14"/>
                <w:color w:val="auto"/>
              </w:rPr>
              <w:t>Benefits</w:t>
            </w:r>
          </w:p>
        </w:tc>
        <w:tc>
          <w:tcPr>
            <w:tcW w:w="0" w:type="dxa"/>
            <w:vAlign w:val="bottom"/>
          </w:tcPr>
          <w:p>
            <w:pPr>
              <w:spacing w:after="0"/>
              <w:rPr>
                <w:sz w:val="1"/>
                <w:szCs w:val="1"/>
                <w:color w:val="auto"/>
              </w:rPr>
            </w:pPr>
          </w:p>
        </w:tc>
      </w:tr>
    </w:tbl>
    <w:p>
      <w:pPr>
        <w:sectPr>
          <w:pgSz w:w="11900" w:h="16897" w:orient="portrait"/>
          <w:cols w:equalWidth="0" w:num="1">
            <w:col w:w="11420"/>
          </w:cols>
          <w:pgMar w:left="240" w:top="125" w:right="239" w:bottom="0" w:gutter="0" w:footer="0" w:header="0"/>
          <w:type w:val="continuous"/>
        </w:sectPr>
      </w:pPr>
    </w:p>
    <w:bookmarkStart w:id="66" w:name="page67"/>
    <w:bookmarkEnd w:id="6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220" w:type="dxa"/>
            <w:vAlign w:val="bottom"/>
          </w:tcPr>
          <w:p>
            <w:pPr>
              <w:spacing w:after="0"/>
              <w:rPr>
                <w:sz w:val="20"/>
                <w:szCs w:val="20"/>
                <w:color w:val="auto"/>
              </w:rPr>
            </w:pPr>
            <w:r>
              <w:rPr>
                <w:rFonts w:ascii="Arial" w:cs="Arial" w:eastAsia="Arial" w:hAnsi="Arial"/>
                <w:sz w:val="16"/>
                <w:szCs w:val="16"/>
                <w:color w:val="auto"/>
              </w:rPr>
              <w:t>Sempra Energy Consolidated</w:t>
            </w:r>
          </w:p>
        </w:tc>
        <w:tc>
          <w:tcPr>
            <w:tcW w:w="3300" w:type="dxa"/>
            <w:vAlign w:val="bottom"/>
          </w:tcPr>
          <w:p>
            <w:pPr>
              <w:jc w:val="right"/>
              <w:ind w:right="1039"/>
              <w:spacing w:after="0"/>
              <w:rPr>
                <w:sz w:val="20"/>
                <w:szCs w:val="20"/>
                <w:color w:val="auto"/>
              </w:rPr>
            </w:pPr>
            <w:r>
              <w:rPr>
                <w:rFonts w:ascii="Arial" w:cs="Arial" w:eastAsia="Arial" w:hAnsi="Arial"/>
                <w:sz w:val="16"/>
                <w:szCs w:val="16"/>
                <w:color w:val="auto"/>
              </w:rPr>
              <w:t>$</w:t>
            </w:r>
          </w:p>
        </w:tc>
        <w:tc>
          <w:tcPr>
            <w:tcW w:w="1320" w:type="dxa"/>
            <w:vAlign w:val="bottom"/>
          </w:tcPr>
          <w:p>
            <w:pPr>
              <w:jc w:val="right"/>
              <w:spacing w:after="0"/>
              <w:rPr>
                <w:sz w:val="20"/>
                <w:szCs w:val="20"/>
                <w:color w:val="auto"/>
              </w:rPr>
            </w:pPr>
            <w:r>
              <w:rPr>
                <w:rFonts w:ascii="Arial" w:cs="Arial" w:eastAsia="Arial" w:hAnsi="Arial"/>
                <w:sz w:val="16"/>
                <w:szCs w:val="16"/>
                <w:color w:val="auto"/>
              </w:rPr>
              <w:t>70</w:t>
            </w:r>
          </w:p>
        </w:tc>
        <w:tc>
          <w:tcPr>
            <w:tcW w:w="1220" w:type="dxa"/>
            <w:vAlign w:val="bottom"/>
          </w:tcPr>
          <w:p>
            <w:pPr>
              <w:jc w:val="right"/>
              <w:ind w:right="1039"/>
              <w:spacing w:after="0"/>
              <w:rPr>
                <w:sz w:val="20"/>
                <w:szCs w:val="20"/>
                <w:color w:val="auto"/>
              </w:rPr>
            </w:pPr>
            <w:r>
              <w:rPr>
                <w:rFonts w:ascii="Arial" w:cs="Arial" w:eastAsia="Arial" w:hAnsi="Arial"/>
                <w:sz w:val="16"/>
                <w:szCs w:val="16"/>
                <w:color w:val="auto"/>
                <w:w w:val="89"/>
              </w:rPr>
              <w:t>$</w:t>
            </w:r>
          </w:p>
        </w:tc>
        <w:tc>
          <w:tcPr>
            <w:tcW w:w="1360" w:type="dxa"/>
            <w:vAlign w:val="bottom"/>
          </w:tcPr>
          <w:p>
            <w:pPr>
              <w:jc w:val="right"/>
              <w:spacing w:after="0"/>
              <w:rPr>
                <w:sz w:val="20"/>
                <w:szCs w:val="20"/>
                <w:color w:val="auto"/>
              </w:rPr>
            </w:pPr>
            <w:r>
              <w:rPr>
                <w:rFonts w:ascii="Arial" w:cs="Arial" w:eastAsia="Arial" w:hAnsi="Arial"/>
                <w:sz w:val="16"/>
                <w:szCs w:val="16"/>
                <w:color w:val="auto"/>
              </w:rPr>
              <w:t>37</w:t>
            </w:r>
          </w:p>
        </w:tc>
      </w:tr>
      <w:tr>
        <w:trPr>
          <w:trHeight w:val="176"/>
        </w:trPr>
        <w:tc>
          <w:tcPr>
            <w:tcW w:w="4220" w:type="dxa"/>
            <w:vAlign w:val="bottom"/>
          </w:tcPr>
          <w:p>
            <w:pPr>
              <w:spacing w:after="0" w:line="176" w:lineRule="exact"/>
              <w:rPr>
                <w:sz w:val="20"/>
                <w:szCs w:val="20"/>
                <w:color w:val="auto"/>
              </w:rPr>
            </w:pPr>
            <w:r>
              <w:rPr>
                <w:rFonts w:ascii="Arial" w:cs="Arial" w:eastAsia="Arial" w:hAnsi="Arial"/>
                <w:sz w:val="16"/>
                <w:szCs w:val="16"/>
                <w:color w:val="auto"/>
              </w:rPr>
              <w:t>SDG&amp;E</w:t>
            </w:r>
          </w:p>
        </w:tc>
        <w:tc>
          <w:tcPr>
            <w:tcW w:w="3300" w:type="dxa"/>
            <w:vAlign w:val="bottom"/>
          </w:tcPr>
          <w:p>
            <w:pPr>
              <w:spacing w:after="0"/>
              <w:rPr>
                <w:sz w:val="15"/>
                <w:szCs w:val="15"/>
                <w:color w:val="auto"/>
              </w:rPr>
            </w:pPr>
          </w:p>
        </w:tc>
        <w:tc>
          <w:tcPr>
            <w:tcW w:w="1320" w:type="dxa"/>
            <w:vAlign w:val="bottom"/>
          </w:tcPr>
          <w:p>
            <w:pPr>
              <w:jc w:val="right"/>
              <w:spacing w:after="0" w:line="176" w:lineRule="exact"/>
              <w:rPr>
                <w:sz w:val="20"/>
                <w:szCs w:val="20"/>
                <w:color w:val="auto"/>
              </w:rPr>
            </w:pPr>
            <w:r>
              <w:rPr>
                <w:rFonts w:ascii="Arial" w:cs="Arial" w:eastAsia="Arial" w:hAnsi="Arial"/>
                <w:sz w:val="16"/>
                <w:szCs w:val="16"/>
                <w:color w:val="auto"/>
              </w:rPr>
              <w:t>17</w:t>
            </w:r>
          </w:p>
        </w:tc>
        <w:tc>
          <w:tcPr>
            <w:tcW w:w="1220" w:type="dxa"/>
            <w:vAlign w:val="bottom"/>
          </w:tcPr>
          <w:p>
            <w:pPr>
              <w:spacing w:after="0"/>
              <w:rPr>
                <w:sz w:val="15"/>
                <w:szCs w:val="15"/>
                <w:color w:val="auto"/>
              </w:rPr>
            </w:pPr>
          </w:p>
        </w:tc>
        <w:tc>
          <w:tcPr>
            <w:tcW w:w="1360" w:type="dxa"/>
            <w:vAlign w:val="bottom"/>
          </w:tcPr>
          <w:p>
            <w:pPr>
              <w:jc w:val="right"/>
              <w:spacing w:after="0" w:line="176" w:lineRule="exact"/>
              <w:rPr>
                <w:sz w:val="20"/>
                <w:szCs w:val="20"/>
                <w:color w:val="auto"/>
              </w:rPr>
            </w:pPr>
            <w:r>
              <w:rPr>
                <w:rFonts w:ascii="Arial" w:cs="Arial" w:eastAsia="Arial" w:hAnsi="Arial"/>
                <w:sz w:val="16"/>
                <w:szCs w:val="16"/>
                <w:color w:val="auto"/>
              </w:rPr>
              <w:t>8</w:t>
            </w:r>
          </w:p>
        </w:tc>
      </w:tr>
      <w:tr>
        <w:trPr>
          <w:trHeight w:val="194"/>
        </w:trPr>
        <w:tc>
          <w:tcPr>
            <w:tcW w:w="422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SoCalGas</w:t>
            </w:r>
          </w:p>
        </w:tc>
        <w:tc>
          <w:tcPr>
            <w:tcW w:w="330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w:t>
            </w:r>
          </w:p>
        </w:tc>
        <w:tc>
          <w:tcPr>
            <w:tcW w:w="12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Arial" w:cs="Arial" w:eastAsia="Arial" w:hAnsi="Arial"/>
          <w:sz w:val="20"/>
          <w:szCs w:val="20"/>
          <w:color w:val="auto"/>
        </w:rPr>
        <w:t>CASH FLOWS FROM INVESTING ACTIVITIES</w:t>
      </w: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CASH USED IN INVESTING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-104775</wp:posOffset>
            </wp:positionV>
            <wp:extent cx="7246620" cy="22288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46620" cy="222885"/>
                    </a:xfrm>
                    <a:prstGeom prst="rect">
                      <a:avLst/>
                    </a:prstGeom>
                    <a:noFill/>
                  </pic:spPr>
                </pic:pic>
              </a:graphicData>
            </a:graphic>
          </wp:anchor>
        </w:drawing>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3640" w:type="dxa"/>
            <w:vAlign w:val="bottom"/>
            <w:gridSpan w:val="2"/>
          </w:tcPr>
          <w:p>
            <w:pPr>
              <w:spacing w:after="0"/>
              <w:rPr>
                <w:sz w:val="20"/>
                <w:szCs w:val="20"/>
                <w:color w:val="auto"/>
              </w:rPr>
            </w:pPr>
            <w:r>
              <w:rPr>
                <w:rFonts w:ascii="Arial" w:cs="Arial" w:eastAsia="Arial" w:hAnsi="Arial"/>
                <w:sz w:val="14"/>
                <w:szCs w:val="14"/>
                <w:i w:val="1"/>
                <w:iCs w:val="1"/>
                <w:color w:val="auto"/>
              </w:rPr>
              <w:t>(Dollars in millions)</w:t>
            </w:r>
          </w:p>
        </w:tc>
        <w:tc>
          <w:tcPr>
            <w:tcW w:w="25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64"/>
        </w:trPr>
        <w:tc>
          <w:tcPr>
            <w:tcW w:w="20" w:type="dxa"/>
            <w:vAlign w:val="bottom"/>
          </w:tcPr>
          <w:p>
            <w:pPr>
              <w:spacing w:after="0"/>
              <w:rPr>
                <w:sz w:val="14"/>
                <w:szCs w:val="14"/>
                <w:color w:val="auto"/>
              </w:rPr>
            </w:pPr>
          </w:p>
        </w:tc>
        <w:tc>
          <w:tcPr>
            <w:tcW w:w="3620" w:type="dxa"/>
            <w:vAlign w:val="bottom"/>
            <w:tcBorders>
              <w:bottom w:val="single" w:sz="8" w:color="auto"/>
            </w:tcBorders>
          </w:tcPr>
          <w:p>
            <w:pPr>
              <w:spacing w:after="0"/>
              <w:rPr>
                <w:sz w:val="14"/>
                <w:szCs w:val="14"/>
                <w:color w:val="auto"/>
              </w:rPr>
            </w:pPr>
          </w:p>
        </w:tc>
        <w:tc>
          <w:tcPr>
            <w:tcW w:w="2500" w:type="dxa"/>
            <w:vAlign w:val="bottom"/>
            <w:tcBorders>
              <w:bottom w:val="single" w:sz="8" w:color="auto"/>
            </w:tcBorders>
          </w:tcPr>
          <w:p>
            <w:pPr>
              <w:jc w:val="right"/>
              <w:spacing w:after="0" w:line="157" w:lineRule="exact"/>
              <w:rPr>
                <w:sz w:val="20"/>
                <w:szCs w:val="20"/>
                <w:color w:val="auto"/>
              </w:rPr>
            </w:pPr>
            <w:r>
              <w:rPr>
                <w:rFonts w:ascii="Arial" w:cs="Arial" w:eastAsia="Arial" w:hAnsi="Arial"/>
                <w:sz w:val="14"/>
                <w:szCs w:val="14"/>
                <w:color w:val="auto"/>
              </w:rPr>
              <w:t>2011</w:t>
            </w:r>
          </w:p>
        </w:tc>
        <w:tc>
          <w:tcPr>
            <w:tcW w:w="1180" w:type="dxa"/>
            <w:vAlign w:val="bottom"/>
            <w:tcBorders>
              <w:bottom w:val="single" w:sz="8" w:color="auto"/>
            </w:tcBorders>
          </w:tcPr>
          <w:p>
            <w:pPr>
              <w:spacing w:after="0"/>
              <w:rPr>
                <w:sz w:val="14"/>
                <w:szCs w:val="14"/>
                <w:color w:val="auto"/>
              </w:rPr>
            </w:pPr>
          </w:p>
        </w:tc>
        <w:tc>
          <w:tcPr>
            <w:tcW w:w="1620" w:type="dxa"/>
            <w:vAlign w:val="bottom"/>
            <w:tcBorders>
              <w:bottom w:val="single" w:sz="8" w:color="auto"/>
            </w:tcBorders>
          </w:tcPr>
          <w:p>
            <w:pPr>
              <w:jc w:val="right"/>
              <w:ind w:right="161"/>
              <w:spacing w:after="0" w:line="157" w:lineRule="exact"/>
              <w:rPr>
                <w:sz w:val="20"/>
                <w:szCs w:val="20"/>
                <w:color w:val="auto"/>
              </w:rPr>
            </w:pPr>
            <w:r>
              <w:rPr>
                <w:rFonts w:ascii="Arial" w:cs="Arial" w:eastAsia="Arial" w:hAnsi="Arial"/>
                <w:sz w:val="14"/>
                <w:szCs w:val="14"/>
                <w:color w:val="auto"/>
              </w:rPr>
              <w:t>2011 Change</w:t>
            </w:r>
          </w:p>
        </w:tc>
        <w:tc>
          <w:tcPr>
            <w:tcW w:w="5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right"/>
              <w:ind w:right="581"/>
              <w:spacing w:after="0" w:line="157" w:lineRule="exact"/>
              <w:rPr>
                <w:sz w:val="20"/>
                <w:szCs w:val="20"/>
                <w:color w:val="auto"/>
              </w:rPr>
            </w:pPr>
            <w:r>
              <w:rPr>
                <w:rFonts w:ascii="Arial" w:cs="Arial" w:eastAsia="Arial" w:hAnsi="Arial"/>
                <w:sz w:val="14"/>
                <w:szCs w:val="14"/>
                <w:color w:val="auto"/>
              </w:rPr>
              <w:t>2010</w:t>
            </w:r>
          </w:p>
        </w:tc>
        <w:tc>
          <w:tcPr>
            <w:tcW w:w="20" w:type="dxa"/>
            <w:vAlign w:val="bottom"/>
          </w:tcPr>
          <w:p>
            <w:pPr>
              <w:spacing w:after="0"/>
              <w:rPr>
                <w:sz w:val="14"/>
                <w:szCs w:val="14"/>
                <w:color w:val="auto"/>
              </w:rPr>
            </w:pPr>
          </w:p>
        </w:tc>
      </w:tr>
      <w:tr>
        <w:trPr>
          <w:trHeight w:val="164"/>
        </w:trPr>
        <w:tc>
          <w:tcPr>
            <w:tcW w:w="20" w:type="dxa"/>
            <w:vAlign w:val="bottom"/>
          </w:tcPr>
          <w:p>
            <w:pPr>
              <w:spacing w:after="0"/>
              <w:rPr>
                <w:sz w:val="14"/>
                <w:szCs w:val="14"/>
                <w:color w:val="auto"/>
              </w:rPr>
            </w:pPr>
          </w:p>
        </w:tc>
        <w:tc>
          <w:tcPr>
            <w:tcW w:w="3620" w:type="dxa"/>
            <w:vAlign w:val="bottom"/>
          </w:tcPr>
          <w:p>
            <w:pPr>
              <w:spacing w:after="0" w:line="164" w:lineRule="exact"/>
              <w:rPr>
                <w:sz w:val="20"/>
                <w:szCs w:val="20"/>
                <w:color w:val="auto"/>
              </w:rPr>
            </w:pPr>
            <w:r>
              <w:rPr>
                <w:rFonts w:ascii="Arial" w:cs="Arial" w:eastAsia="Arial" w:hAnsi="Arial"/>
                <w:sz w:val="16"/>
                <w:szCs w:val="16"/>
                <w:color w:val="auto"/>
              </w:rPr>
              <w:t>Sempra Energy Consolidated</w:t>
            </w:r>
          </w:p>
        </w:tc>
        <w:tc>
          <w:tcPr>
            <w:tcW w:w="2500" w:type="dxa"/>
            <w:vAlign w:val="bottom"/>
          </w:tcPr>
          <w:p>
            <w:pPr>
              <w:jc w:val="right"/>
              <w:ind w:right="823"/>
              <w:spacing w:after="0" w:line="164" w:lineRule="exact"/>
              <w:rPr>
                <w:sz w:val="20"/>
                <w:szCs w:val="20"/>
                <w:color w:val="auto"/>
              </w:rPr>
            </w:pPr>
            <w:r>
              <w:rPr>
                <w:rFonts w:ascii="Arial" w:cs="Arial" w:eastAsia="Arial" w:hAnsi="Arial"/>
                <w:sz w:val="16"/>
                <w:szCs w:val="16"/>
                <w:color w:val="auto"/>
              </w:rPr>
              <w:t>$</w:t>
            </w:r>
          </w:p>
        </w:tc>
        <w:tc>
          <w:tcPr>
            <w:tcW w:w="1180" w:type="dxa"/>
            <w:vAlign w:val="bottom"/>
          </w:tcPr>
          <w:p>
            <w:pPr>
              <w:jc w:val="right"/>
              <w:ind w:right="439"/>
              <w:spacing w:after="0" w:line="164" w:lineRule="exact"/>
              <w:rPr>
                <w:sz w:val="20"/>
                <w:szCs w:val="20"/>
                <w:color w:val="auto"/>
              </w:rPr>
            </w:pPr>
            <w:r>
              <w:rPr>
                <w:rFonts w:ascii="Arial" w:cs="Arial" w:eastAsia="Arial" w:hAnsi="Arial"/>
                <w:sz w:val="16"/>
                <w:szCs w:val="16"/>
                <w:color w:val="auto"/>
              </w:rPr>
              <w:t>(1,653)$</w:t>
            </w:r>
          </w:p>
        </w:tc>
        <w:tc>
          <w:tcPr>
            <w:tcW w:w="1620" w:type="dxa"/>
            <w:vAlign w:val="bottom"/>
          </w:tcPr>
          <w:p>
            <w:pPr>
              <w:jc w:val="right"/>
              <w:ind w:right="641"/>
              <w:spacing w:after="0" w:line="164" w:lineRule="exact"/>
              <w:rPr>
                <w:sz w:val="20"/>
                <w:szCs w:val="20"/>
                <w:color w:val="auto"/>
              </w:rPr>
            </w:pPr>
            <w:r>
              <w:rPr>
                <w:rFonts w:ascii="Arial" w:cs="Arial" w:eastAsia="Arial" w:hAnsi="Arial"/>
                <w:sz w:val="16"/>
                <w:szCs w:val="16"/>
                <w:color w:val="auto"/>
              </w:rPr>
              <w:t>486</w:t>
            </w:r>
          </w:p>
        </w:tc>
        <w:tc>
          <w:tcPr>
            <w:tcW w:w="580" w:type="dxa"/>
            <w:vAlign w:val="bottom"/>
          </w:tcPr>
          <w:p>
            <w:pPr>
              <w:jc w:val="right"/>
              <w:ind w:right="79"/>
              <w:spacing w:after="0" w:line="164" w:lineRule="exact"/>
              <w:rPr>
                <w:sz w:val="20"/>
                <w:szCs w:val="20"/>
                <w:color w:val="auto"/>
              </w:rPr>
            </w:pPr>
            <w:r>
              <w:rPr>
                <w:rFonts w:ascii="Arial" w:cs="Arial" w:eastAsia="Arial" w:hAnsi="Arial"/>
                <w:sz w:val="16"/>
                <w:szCs w:val="16"/>
                <w:color w:val="auto"/>
              </w:rPr>
              <w:t>42</w:t>
            </w:r>
          </w:p>
        </w:tc>
        <w:tc>
          <w:tcPr>
            <w:tcW w:w="660" w:type="dxa"/>
            <w:vAlign w:val="bottom"/>
          </w:tcPr>
          <w:p>
            <w:pPr>
              <w:jc w:val="right"/>
              <w:ind w:right="179"/>
              <w:spacing w:after="0" w:line="164" w:lineRule="exact"/>
              <w:rPr>
                <w:sz w:val="20"/>
                <w:szCs w:val="20"/>
                <w:color w:val="auto"/>
              </w:rPr>
            </w:pPr>
            <w:r>
              <w:rPr>
                <w:rFonts w:ascii="Arial" w:cs="Arial" w:eastAsia="Arial" w:hAnsi="Arial"/>
                <w:sz w:val="16"/>
                <w:szCs w:val="16"/>
                <w:color w:val="auto"/>
              </w:rPr>
              <w:t>%$</w:t>
            </w:r>
          </w:p>
        </w:tc>
        <w:tc>
          <w:tcPr>
            <w:tcW w:w="1240" w:type="dxa"/>
            <w:vAlign w:val="bottom"/>
          </w:tcPr>
          <w:p>
            <w:pPr>
              <w:jc w:val="right"/>
              <w:spacing w:after="0" w:line="164" w:lineRule="exact"/>
              <w:rPr>
                <w:sz w:val="20"/>
                <w:szCs w:val="20"/>
                <w:color w:val="auto"/>
              </w:rPr>
            </w:pPr>
            <w:r>
              <w:rPr>
                <w:rFonts w:ascii="Arial" w:cs="Arial" w:eastAsia="Arial" w:hAnsi="Arial"/>
                <w:sz w:val="16"/>
                <w:szCs w:val="16"/>
                <w:color w:val="auto"/>
              </w:rPr>
              <w:t>(1,167)</w:t>
            </w:r>
          </w:p>
        </w:tc>
        <w:tc>
          <w:tcPr>
            <w:tcW w:w="20" w:type="dxa"/>
            <w:vAlign w:val="bottom"/>
          </w:tcPr>
          <w:p>
            <w:pPr>
              <w:spacing w:after="0"/>
              <w:rPr>
                <w:sz w:val="14"/>
                <w:szCs w:val="14"/>
                <w:color w:val="auto"/>
              </w:rPr>
            </w:pPr>
          </w:p>
        </w:tc>
      </w:tr>
      <w:tr>
        <w:trPr>
          <w:trHeight w:val="176"/>
        </w:trPr>
        <w:tc>
          <w:tcPr>
            <w:tcW w:w="3640" w:type="dxa"/>
            <w:vAlign w:val="bottom"/>
            <w:gridSpan w:val="2"/>
          </w:tcPr>
          <w:p>
            <w:pPr>
              <w:spacing w:after="0" w:line="176" w:lineRule="exact"/>
              <w:rPr>
                <w:sz w:val="20"/>
                <w:szCs w:val="20"/>
                <w:color w:val="auto"/>
              </w:rPr>
            </w:pPr>
            <w:r>
              <w:rPr>
                <w:rFonts w:ascii="Arial" w:cs="Arial" w:eastAsia="Arial" w:hAnsi="Arial"/>
                <w:sz w:val="16"/>
                <w:szCs w:val="16"/>
                <w:color w:val="auto"/>
              </w:rPr>
              <w:t>SDG&amp;E</w:t>
            </w:r>
          </w:p>
        </w:tc>
        <w:tc>
          <w:tcPr>
            <w:tcW w:w="2500" w:type="dxa"/>
            <w:vAlign w:val="bottom"/>
          </w:tcPr>
          <w:p>
            <w:pPr>
              <w:spacing w:after="0"/>
              <w:rPr>
                <w:sz w:val="15"/>
                <w:szCs w:val="15"/>
                <w:color w:val="auto"/>
              </w:rPr>
            </w:pPr>
          </w:p>
        </w:tc>
        <w:tc>
          <w:tcPr>
            <w:tcW w:w="1180" w:type="dxa"/>
            <w:vAlign w:val="bottom"/>
          </w:tcPr>
          <w:p>
            <w:pPr>
              <w:jc w:val="right"/>
              <w:ind w:right="539"/>
              <w:spacing w:after="0" w:line="176" w:lineRule="exact"/>
              <w:rPr>
                <w:sz w:val="20"/>
                <w:szCs w:val="20"/>
                <w:color w:val="auto"/>
              </w:rPr>
            </w:pPr>
            <w:r>
              <w:rPr>
                <w:rFonts w:ascii="Arial" w:cs="Arial" w:eastAsia="Arial" w:hAnsi="Arial"/>
                <w:sz w:val="16"/>
                <w:szCs w:val="16"/>
                <w:color w:val="auto"/>
              </w:rPr>
              <w:t>(791)</w:t>
            </w:r>
          </w:p>
        </w:tc>
        <w:tc>
          <w:tcPr>
            <w:tcW w:w="1620" w:type="dxa"/>
            <w:vAlign w:val="bottom"/>
          </w:tcPr>
          <w:p>
            <w:pPr>
              <w:jc w:val="right"/>
              <w:ind w:right="641"/>
              <w:spacing w:after="0" w:line="176" w:lineRule="exact"/>
              <w:rPr>
                <w:sz w:val="20"/>
                <w:szCs w:val="20"/>
                <w:color w:val="auto"/>
              </w:rPr>
            </w:pPr>
            <w:r>
              <w:rPr>
                <w:rFonts w:ascii="Arial" w:cs="Arial" w:eastAsia="Arial" w:hAnsi="Arial"/>
                <w:sz w:val="16"/>
                <w:szCs w:val="16"/>
                <w:color w:val="auto"/>
              </w:rPr>
              <w:t>282</w:t>
            </w:r>
          </w:p>
        </w:tc>
        <w:tc>
          <w:tcPr>
            <w:tcW w:w="580" w:type="dxa"/>
            <w:vAlign w:val="bottom"/>
          </w:tcPr>
          <w:p>
            <w:pPr>
              <w:jc w:val="right"/>
              <w:ind w:right="79"/>
              <w:spacing w:after="0" w:line="176" w:lineRule="exact"/>
              <w:rPr>
                <w:sz w:val="20"/>
                <w:szCs w:val="20"/>
                <w:color w:val="auto"/>
              </w:rPr>
            </w:pPr>
            <w:r>
              <w:rPr>
                <w:rFonts w:ascii="Arial" w:cs="Arial" w:eastAsia="Arial" w:hAnsi="Arial"/>
                <w:sz w:val="16"/>
                <w:szCs w:val="16"/>
                <w:color w:val="auto"/>
              </w:rPr>
              <w:t>55</w:t>
            </w:r>
          </w:p>
        </w:tc>
        <w:tc>
          <w:tcPr>
            <w:tcW w:w="660" w:type="dxa"/>
            <w:vAlign w:val="bottom"/>
          </w:tcPr>
          <w:p>
            <w:pPr>
              <w:spacing w:after="0"/>
              <w:rPr>
                <w:sz w:val="15"/>
                <w:szCs w:val="15"/>
                <w:color w:val="auto"/>
              </w:rPr>
            </w:pPr>
          </w:p>
        </w:tc>
        <w:tc>
          <w:tcPr>
            <w:tcW w:w="1260" w:type="dxa"/>
            <w:vAlign w:val="bottom"/>
            <w:gridSpan w:val="2"/>
          </w:tcPr>
          <w:p>
            <w:pPr>
              <w:jc w:val="right"/>
              <w:ind w:right="20"/>
              <w:spacing w:after="0" w:line="176" w:lineRule="exact"/>
              <w:rPr>
                <w:sz w:val="20"/>
                <w:szCs w:val="20"/>
                <w:color w:val="auto"/>
              </w:rPr>
            </w:pPr>
            <w:r>
              <w:rPr>
                <w:rFonts w:ascii="Arial" w:cs="Arial" w:eastAsia="Arial" w:hAnsi="Arial"/>
                <w:sz w:val="16"/>
                <w:szCs w:val="16"/>
                <w:color w:val="auto"/>
              </w:rPr>
              <w:t>(509)</w:t>
            </w:r>
          </w:p>
        </w:tc>
      </w:tr>
      <w:tr>
        <w:trPr>
          <w:trHeight w:val="194"/>
        </w:trPr>
        <w:tc>
          <w:tcPr>
            <w:tcW w:w="3640" w:type="dxa"/>
            <w:vAlign w:val="bottom"/>
            <w:tcBorders>
              <w:bottom w:val="single" w:sz="8" w:color="auto"/>
            </w:tcBorders>
            <w:gridSpan w:val="2"/>
          </w:tcPr>
          <w:p>
            <w:pPr>
              <w:spacing w:after="0"/>
              <w:rPr>
                <w:sz w:val="20"/>
                <w:szCs w:val="20"/>
                <w:color w:val="auto"/>
              </w:rPr>
            </w:pPr>
            <w:r>
              <w:rPr>
                <w:rFonts w:ascii="Arial" w:cs="Arial" w:eastAsia="Arial" w:hAnsi="Arial"/>
                <w:sz w:val="16"/>
                <w:szCs w:val="16"/>
                <w:color w:val="auto"/>
              </w:rPr>
              <w:t>SoCalGas</w:t>
            </w:r>
          </w:p>
        </w:tc>
        <w:tc>
          <w:tcPr>
            <w:tcW w:w="25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color w:val="auto"/>
              </w:rPr>
              <w:t>(536)</w:t>
            </w:r>
          </w:p>
        </w:tc>
        <w:tc>
          <w:tcPr>
            <w:tcW w:w="1620" w:type="dxa"/>
            <w:vAlign w:val="bottom"/>
            <w:tcBorders>
              <w:bottom w:val="single" w:sz="8" w:color="auto"/>
            </w:tcBorders>
          </w:tcPr>
          <w:p>
            <w:pPr>
              <w:jc w:val="right"/>
              <w:ind w:right="641"/>
              <w:spacing w:after="0"/>
              <w:rPr>
                <w:sz w:val="20"/>
                <w:szCs w:val="20"/>
                <w:color w:val="auto"/>
              </w:rPr>
            </w:pPr>
            <w:r>
              <w:rPr>
                <w:rFonts w:ascii="Arial" w:cs="Arial" w:eastAsia="Arial" w:hAnsi="Arial"/>
                <w:sz w:val="16"/>
                <w:szCs w:val="16"/>
                <w:color w:val="auto"/>
              </w:rPr>
              <w:t>68</w:t>
            </w:r>
          </w:p>
        </w:tc>
        <w:tc>
          <w:tcPr>
            <w:tcW w:w="5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15</w:t>
            </w:r>
          </w:p>
        </w:tc>
        <w:tc>
          <w:tcPr>
            <w:tcW w:w="66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6"/>
                <w:szCs w:val="16"/>
                <w:color w:val="auto"/>
              </w:rPr>
              <w:t>(468)</w:t>
            </w:r>
          </w:p>
        </w:tc>
      </w:tr>
    </w:tbl>
    <w:p>
      <w:pPr>
        <w:spacing w:after="0" w:line="199"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Sempra Energy Consolidated</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Cash used in investing activities at Sempra Energy increased in 2011 primarily due to:</w:t>
      </w:r>
    </w:p>
    <w:p>
      <w:pPr>
        <w:spacing w:after="0" w:line="225" w:lineRule="exact"/>
        <w:rPr>
          <w:sz w:val="20"/>
          <w:szCs w:val="20"/>
          <w:color w:val="auto"/>
        </w:rPr>
      </w:pPr>
    </w:p>
    <w:p>
      <w:pPr>
        <w:ind w:left="340" w:hanging="188"/>
        <w:spacing w:after="0"/>
        <w:tabs>
          <w:tab w:leader="none" w:pos="340" w:val="left"/>
        </w:tabs>
        <w:numPr>
          <w:ilvl w:val="0"/>
          <w:numId w:val="98"/>
        </w:numPr>
        <w:rPr>
          <w:rFonts w:ascii="Arial" w:cs="Arial" w:eastAsia="Arial" w:hAnsi="Arial"/>
          <w:sz w:val="18"/>
          <w:szCs w:val="18"/>
          <w:color w:val="auto"/>
        </w:rPr>
      </w:pPr>
      <w:r>
        <w:rPr>
          <w:rFonts w:ascii="Arial" w:cs="Arial" w:eastAsia="Arial" w:hAnsi="Arial"/>
          <w:sz w:val="18"/>
          <w:szCs w:val="18"/>
          <w:color w:val="auto"/>
        </w:rPr>
        <w:t>$611 million in cash used to fund Sempra Pipelines &amp; Storage’s purchase of South American entities;</w:t>
      </w:r>
    </w:p>
    <w:p>
      <w:pPr>
        <w:spacing w:after="0" w:line="252" w:lineRule="exact"/>
        <w:rPr>
          <w:rFonts w:ascii="Arial" w:cs="Arial" w:eastAsia="Arial" w:hAnsi="Arial"/>
          <w:sz w:val="18"/>
          <w:szCs w:val="18"/>
          <w:color w:val="auto"/>
        </w:rPr>
      </w:pPr>
    </w:p>
    <w:p>
      <w:pPr>
        <w:ind w:left="340" w:hanging="188"/>
        <w:spacing w:after="0"/>
        <w:tabs>
          <w:tab w:leader="none" w:pos="340" w:val="left"/>
        </w:tabs>
        <w:numPr>
          <w:ilvl w:val="0"/>
          <w:numId w:val="98"/>
        </w:numPr>
        <w:rPr>
          <w:rFonts w:ascii="Arial" w:cs="Arial" w:eastAsia="Arial" w:hAnsi="Arial"/>
          <w:sz w:val="18"/>
          <w:szCs w:val="18"/>
          <w:color w:val="auto"/>
        </w:rPr>
      </w:pPr>
      <w:r>
        <w:rPr>
          <w:rFonts w:ascii="Arial" w:cs="Arial" w:eastAsia="Arial" w:hAnsi="Arial"/>
          <w:sz w:val="18"/>
          <w:szCs w:val="18"/>
          <w:color w:val="auto"/>
        </w:rPr>
        <w:t>a $300 million increase in restricted cash due to funds received from a wildfire litigation settlement; and</w:t>
      </w:r>
    </w:p>
    <w:p>
      <w:pPr>
        <w:spacing w:after="0" w:line="248" w:lineRule="exact"/>
        <w:rPr>
          <w:rFonts w:ascii="Arial" w:cs="Arial" w:eastAsia="Arial" w:hAnsi="Arial"/>
          <w:sz w:val="18"/>
          <w:szCs w:val="18"/>
          <w:color w:val="auto"/>
        </w:rPr>
      </w:pPr>
    </w:p>
    <w:p>
      <w:pPr>
        <w:ind w:left="340" w:hanging="188"/>
        <w:spacing w:after="0"/>
        <w:tabs>
          <w:tab w:leader="none" w:pos="340" w:val="left"/>
        </w:tabs>
        <w:numPr>
          <w:ilvl w:val="0"/>
          <w:numId w:val="98"/>
        </w:numPr>
        <w:rPr>
          <w:rFonts w:ascii="Arial" w:cs="Arial" w:eastAsia="Arial" w:hAnsi="Arial"/>
          <w:sz w:val="18"/>
          <w:szCs w:val="18"/>
          <w:color w:val="auto"/>
        </w:rPr>
      </w:pPr>
      <w:r>
        <w:rPr>
          <w:rFonts w:ascii="Arial" w:cs="Arial" w:eastAsia="Arial" w:hAnsi="Arial"/>
          <w:sz w:val="18"/>
          <w:szCs w:val="18"/>
          <w:color w:val="auto"/>
        </w:rPr>
        <w:t xml:space="preserve">a $386 million increase in capital expenditures; </w:t>
      </w:r>
      <w:r>
        <w:rPr>
          <w:rFonts w:ascii="Arial" w:cs="Arial" w:eastAsia="Arial" w:hAnsi="Arial"/>
          <w:sz w:val="18"/>
          <w:szCs w:val="18"/>
          <w:b w:val="1"/>
          <w:bCs w:val="1"/>
          <w:color w:val="auto"/>
        </w:rPr>
        <w:t>offset by</w:t>
      </w:r>
    </w:p>
    <w:p>
      <w:pPr>
        <w:spacing w:after="0" w:line="256" w:lineRule="exact"/>
        <w:rPr>
          <w:rFonts w:ascii="Arial" w:cs="Arial" w:eastAsia="Arial" w:hAnsi="Arial"/>
          <w:sz w:val="18"/>
          <w:szCs w:val="18"/>
          <w:color w:val="auto"/>
        </w:rPr>
      </w:pPr>
    </w:p>
    <w:p>
      <w:pPr>
        <w:ind w:left="340" w:hanging="188"/>
        <w:spacing w:after="0"/>
        <w:tabs>
          <w:tab w:leader="none" w:pos="340" w:val="left"/>
        </w:tabs>
        <w:numPr>
          <w:ilvl w:val="0"/>
          <w:numId w:val="98"/>
        </w:numPr>
        <w:rPr>
          <w:rFonts w:ascii="Arial" w:cs="Arial" w:eastAsia="Arial" w:hAnsi="Arial"/>
          <w:sz w:val="18"/>
          <w:szCs w:val="18"/>
          <w:color w:val="auto"/>
        </w:rPr>
      </w:pPr>
      <w:r>
        <w:rPr>
          <w:rFonts w:ascii="Arial" w:cs="Arial" w:eastAsia="Arial" w:hAnsi="Arial"/>
          <w:sz w:val="18"/>
          <w:szCs w:val="18"/>
          <w:color w:val="auto"/>
        </w:rPr>
        <w:t>$233 million in payments for claims related to wildfire litigation using restricted funds received from a wildfire litigation settlement;</w:t>
      </w:r>
    </w:p>
    <w:p>
      <w:pPr>
        <w:spacing w:after="0" w:line="252" w:lineRule="exact"/>
        <w:rPr>
          <w:rFonts w:ascii="Arial" w:cs="Arial" w:eastAsia="Arial" w:hAnsi="Arial"/>
          <w:sz w:val="18"/>
          <w:szCs w:val="18"/>
          <w:color w:val="auto"/>
        </w:rPr>
      </w:pPr>
    </w:p>
    <w:p>
      <w:pPr>
        <w:ind w:left="340" w:hanging="188"/>
        <w:spacing w:after="0"/>
        <w:tabs>
          <w:tab w:leader="none" w:pos="340" w:val="left"/>
        </w:tabs>
        <w:numPr>
          <w:ilvl w:val="0"/>
          <w:numId w:val="98"/>
        </w:numPr>
        <w:rPr>
          <w:rFonts w:ascii="Arial" w:cs="Arial" w:eastAsia="Arial" w:hAnsi="Arial"/>
          <w:sz w:val="18"/>
          <w:szCs w:val="18"/>
          <w:color w:val="auto"/>
        </w:rPr>
      </w:pPr>
      <w:r>
        <w:rPr>
          <w:rFonts w:ascii="Arial" w:cs="Arial" w:eastAsia="Arial" w:hAnsi="Arial"/>
          <w:sz w:val="18"/>
          <w:szCs w:val="18"/>
          <w:color w:val="auto"/>
        </w:rPr>
        <w:t>$276 million in distributions received from RBS Sempra Commodities in 2011;</w:t>
      </w:r>
    </w:p>
    <w:p>
      <w:pPr>
        <w:spacing w:after="0" w:line="252" w:lineRule="exact"/>
        <w:rPr>
          <w:rFonts w:ascii="Arial" w:cs="Arial" w:eastAsia="Arial" w:hAnsi="Arial"/>
          <w:sz w:val="18"/>
          <w:szCs w:val="18"/>
          <w:color w:val="auto"/>
        </w:rPr>
      </w:pPr>
    </w:p>
    <w:p>
      <w:pPr>
        <w:ind w:left="340" w:right="20" w:hanging="188"/>
        <w:spacing w:after="0" w:line="277" w:lineRule="auto"/>
        <w:tabs>
          <w:tab w:leader="none" w:pos="340" w:val="left"/>
        </w:tabs>
        <w:numPr>
          <w:ilvl w:val="0"/>
          <w:numId w:val="98"/>
        </w:numPr>
        <w:rPr>
          <w:rFonts w:ascii="Arial" w:cs="Arial" w:eastAsia="Arial" w:hAnsi="Arial"/>
          <w:sz w:val="18"/>
          <w:szCs w:val="18"/>
          <w:color w:val="auto"/>
        </w:rPr>
      </w:pPr>
      <w:r>
        <w:rPr>
          <w:rFonts w:ascii="Arial" w:cs="Arial" w:eastAsia="Arial" w:hAnsi="Arial"/>
          <w:sz w:val="18"/>
          <w:szCs w:val="18"/>
          <w:color w:val="auto"/>
        </w:rPr>
        <w:t>Sempra Pipelines &amp; Storage’s $285 million acquisition (net of cash acquired) resulting in the purchase of Mexican pipeline and natural gas infrastructure assets in 2010; and</w:t>
      </w:r>
    </w:p>
    <w:p>
      <w:pPr>
        <w:spacing w:after="0" w:line="197" w:lineRule="exact"/>
        <w:rPr>
          <w:rFonts w:ascii="Arial" w:cs="Arial" w:eastAsia="Arial" w:hAnsi="Arial"/>
          <w:sz w:val="18"/>
          <w:szCs w:val="18"/>
          <w:color w:val="auto"/>
        </w:rPr>
      </w:pPr>
    </w:p>
    <w:p>
      <w:pPr>
        <w:ind w:left="340" w:hanging="188"/>
        <w:spacing w:after="0" w:line="277" w:lineRule="auto"/>
        <w:tabs>
          <w:tab w:leader="none" w:pos="340" w:val="left"/>
        </w:tabs>
        <w:numPr>
          <w:ilvl w:val="0"/>
          <w:numId w:val="98"/>
        </w:numPr>
        <w:rPr>
          <w:rFonts w:ascii="Arial" w:cs="Arial" w:eastAsia="Arial" w:hAnsi="Arial"/>
          <w:sz w:val="18"/>
          <w:szCs w:val="18"/>
          <w:color w:val="auto"/>
        </w:rPr>
      </w:pPr>
      <w:r>
        <w:rPr>
          <w:rFonts w:ascii="Arial" w:cs="Arial" w:eastAsia="Arial" w:hAnsi="Arial"/>
          <w:sz w:val="18"/>
          <w:szCs w:val="18"/>
          <w:color w:val="auto"/>
        </w:rPr>
        <w:t>lower contributions to Rockies Express. A $65 million contribution in the first quarter of 2010 was the last required for the construction phase of the project.</w:t>
      </w: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SDG&amp;E</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Cash used in investing activities at SDG&amp;E increased in 2011 primarily due to:</w:t>
      </w:r>
    </w:p>
    <w:p>
      <w:pPr>
        <w:spacing w:after="0" w:line="225" w:lineRule="exact"/>
        <w:rPr>
          <w:sz w:val="20"/>
          <w:szCs w:val="20"/>
          <w:color w:val="auto"/>
        </w:rPr>
      </w:pPr>
    </w:p>
    <w:p>
      <w:pPr>
        <w:ind w:left="340" w:hanging="188"/>
        <w:spacing w:after="0"/>
        <w:tabs>
          <w:tab w:leader="none" w:pos="340" w:val="left"/>
        </w:tabs>
        <w:numPr>
          <w:ilvl w:val="0"/>
          <w:numId w:val="99"/>
        </w:numPr>
        <w:rPr>
          <w:rFonts w:ascii="Arial" w:cs="Arial" w:eastAsia="Arial" w:hAnsi="Arial"/>
          <w:sz w:val="18"/>
          <w:szCs w:val="18"/>
          <w:color w:val="auto"/>
        </w:rPr>
      </w:pPr>
      <w:r>
        <w:rPr>
          <w:rFonts w:ascii="Arial" w:cs="Arial" w:eastAsia="Arial" w:hAnsi="Arial"/>
          <w:sz w:val="18"/>
          <w:szCs w:val="18"/>
          <w:color w:val="auto"/>
        </w:rPr>
        <w:t>a $300 million increase in restricted cash due to funds received from a wildfire litigation settlement; and</w:t>
      </w:r>
    </w:p>
    <w:p>
      <w:pPr>
        <w:spacing w:after="0" w:line="248" w:lineRule="exact"/>
        <w:rPr>
          <w:rFonts w:ascii="Arial" w:cs="Arial" w:eastAsia="Arial" w:hAnsi="Arial"/>
          <w:sz w:val="18"/>
          <w:szCs w:val="18"/>
          <w:color w:val="auto"/>
        </w:rPr>
      </w:pPr>
    </w:p>
    <w:p>
      <w:pPr>
        <w:ind w:left="340" w:hanging="188"/>
        <w:spacing w:after="0"/>
        <w:tabs>
          <w:tab w:leader="none" w:pos="340" w:val="left"/>
        </w:tabs>
        <w:numPr>
          <w:ilvl w:val="0"/>
          <w:numId w:val="99"/>
        </w:numPr>
        <w:rPr>
          <w:rFonts w:ascii="Arial" w:cs="Arial" w:eastAsia="Arial" w:hAnsi="Arial"/>
          <w:sz w:val="18"/>
          <w:szCs w:val="18"/>
          <w:color w:val="auto"/>
        </w:rPr>
      </w:pPr>
      <w:r>
        <w:rPr>
          <w:rFonts w:ascii="Arial" w:cs="Arial" w:eastAsia="Arial" w:hAnsi="Arial"/>
          <w:sz w:val="18"/>
          <w:szCs w:val="18"/>
          <w:color w:val="auto"/>
        </w:rPr>
        <w:t xml:space="preserve">a $192 million increase in capital expenditures; </w:t>
      </w:r>
      <w:r>
        <w:rPr>
          <w:rFonts w:ascii="Arial" w:cs="Arial" w:eastAsia="Arial" w:hAnsi="Arial"/>
          <w:sz w:val="18"/>
          <w:szCs w:val="18"/>
          <w:b w:val="1"/>
          <w:bCs w:val="1"/>
          <w:color w:val="auto"/>
        </w:rPr>
        <w:t>offset by</w:t>
      </w:r>
    </w:p>
    <w:p>
      <w:pPr>
        <w:spacing w:after="0" w:line="256" w:lineRule="exact"/>
        <w:rPr>
          <w:rFonts w:ascii="Arial" w:cs="Arial" w:eastAsia="Arial" w:hAnsi="Arial"/>
          <w:sz w:val="18"/>
          <w:szCs w:val="18"/>
          <w:color w:val="auto"/>
        </w:rPr>
      </w:pPr>
    </w:p>
    <w:p>
      <w:pPr>
        <w:ind w:left="340" w:hanging="188"/>
        <w:spacing w:after="0"/>
        <w:tabs>
          <w:tab w:leader="none" w:pos="340" w:val="left"/>
        </w:tabs>
        <w:numPr>
          <w:ilvl w:val="0"/>
          <w:numId w:val="99"/>
        </w:numPr>
        <w:rPr>
          <w:rFonts w:ascii="Arial" w:cs="Arial" w:eastAsia="Arial" w:hAnsi="Arial"/>
          <w:sz w:val="18"/>
          <w:szCs w:val="18"/>
          <w:color w:val="auto"/>
        </w:rPr>
      </w:pPr>
      <w:r>
        <w:rPr>
          <w:rFonts w:ascii="Arial" w:cs="Arial" w:eastAsia="Arial" w:hAnsi="Arial"/>
          <w:sz w:val="18"/>
          <w:szCs w:val="18"/>
          <w:color w:val="auto"/>
        </w:rPr>
        <w:t>$233 million in payments for claims related to wildfire litigation using restricted funds received from a wildfire litigation settlement.</w:t>
      </w: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SoCalGas</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Cash used in investing activities at SoCalGas increased in 2011 primarily due to:</w:t>
      </w:r>
    </w:p>
    <w:p>
      <w:pPr>
        <w:spacing w:after="0" w:line="221" w:lineRule="exact"/>
        <w:rPr>
          <w:sz w:val="20"/>
          <w:szCs w:val="20"/>
          <w:color w:val="auto"/>
        </w:rPr>
      </w:pPr>
    </w:p>
    <w:p>
      <w:pPr>
        <w:ind w:left="340" w:hanging="188"/>
        <w:spacing w:after="0"/>
        <w:tabs>
          <w:tab w:leader="none" w:pos="34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 xml:space="preserve">a $109 million increase in capital expenditures; </w:t>
      </w:r>
      <w:r>
        <w:rPr>
          <w:rFonts w:ascii="Arial" w:cs="Arial" w:eastAsia="Arial" w:hAnsi="Arial"/>
          <w:sz w:val="18"/>
          <w:szCs w:val="18"/>
          <w:b w:val="1"/>
          <w:bCs w:val="1"/>
          <w:color w:val="auto"/>
        </w:rPr>
        <w:t>offset by</w:t>
      </w:r>
    </w:p>
    <w:p>
      <w:pPr>
        <w:spacing w:after="0" w:line="256" w:lineRule="exact"/>
        <w:rPr>
          <w:rFonts w:ascii="Arial" w:cs="Arial" w:eastAsia="Arial" w:hAnsi="Arial"/>
          <w:sz w:val="18"/>
          <w:szCs w:val="18"/>
          <w:color w:val="auto"/>
        </w:rPr>
      </w:pPr>
    </w:p>
    <w:p>
      <w:pPr>
        <w:ind w:left="340" w:hanging="188"/>
        <w:spacing w:after="0"/>
        <w:tabs>
          <w:tab w:leader="none" w:pos="34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a $41 million lower increase in the amount advanced to Sempra Energy in 2011 as compared to 2010.</w:t>
      </w: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FUTURE CONSTRUCTION EXPENDITURES AND INVESTMENTS</w:t>
      </w:r>
    </w:p>
    <w:p>
      <w:pPr>
        <w:spacing w:after="0" w:line="234"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The amounts and timing of capital expenditures are generally subject to approvals by the CPUC, the Federal Energy Regulatory Commission (FERC) and other regulatory bodies. However, in 2011, we expect to make capital expenditures and investments of approximately $3.8 billion, net of transferring Sempra Generation’s El Dorado facility to SDG&amp;E. These expenditures include:</w:t>
      </w:r>
    </w:p>
    <w:p>
      <w:pPr>
        <w:spacing w:after="0" w:line="181" w:lineRule="exact"/>
        <w:rPr>
          <w:sz w:val="20"/>
          <w:szCs w:val="20"/>
          <w:color w:val="auto"/>
        </w:rPr>
      </w:pPr>
    </w:p>
    <w:p>
      <w:pPr>
        <w:ind w:left="340" w:hanging="188"/>
        <w:spacing w:after="0"/>
        <w:tabs>
          <w:tab w:leader="none" w:pos="34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$2.6 billion at the Sempra Utilities for capital projects and plant improvements ($1.9 billion at SDG&amp;E and $690 million at SoCalGas)</w:t>
      </w:r>
    </w:p>
    <w:p>
      <w:pPr>
        <w:spacing w:after="0" w:line="252" w:lineRule="exact"/>
        <w:rPr>
          <w:rFonts w:ascii="Arial" w:cs="Arial" w:eastAsia="Arial" w:hAnsi="Arial"/>
          <w:sz w:val="18"/>
          <w:szCs w:val="18"/>
          <w:color w:val="auto"/>
        </w:rPr>
      </w:pPr>
    </w:p>
    <w:p>
      <w:pPr>
        <w:ind w:left="340" w:hanging="188"/>
        <w:spacing w:after="0" w:line="277" w:lineRule="auto"/>
        <w:tabs>
          <w:tab w:leader="none" w:pos="34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$1.4 billion at our other subsidiaries for the acquisition of AEI’s interests in Chile and Peru, development of natural gas storage facilities, capital projects in South America, and renewable generation projects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340" w:hanging="188"/>
        <w:spacing w:after="0" w:line="277" w:lineRule="auto"/>
        <w:tabs>
          <w:tab w:leader="none" w:pos="34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$800 million for additions to SDG&amp;E’s natural gas and electric distribution systems, advanced metering infrastructure, and electric generation plant and equipment</w:t>
      </w:r>
    </w:p>
    <w:p>
      <w:pPr>
        <w:spacing w:after="0" w:line="197" w:lineRule="exact"/>
        <w:rPr>
          <w:rFonts w:ascii="Arial" w:cs="Arial" w:eastAsia="Arial" w:hAnsi="Arial"/>
          <w:sz w:val="18"/>
          <w:szCs w:val="18"/>
          <w:color w:val="auto"/>
        </w:rPr>
      </w:pPr>
    </w:p>
    <w:p>
      <w:pPr>
        <w:ind w:left="340" w:hanging="188"/>
        <w:spacing w:after="0"/>
        <w:tabs>
          <w:tab w:leader="none" w:pos="34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$700 million at SDG&amp;E for the Sunrise Powerlink transmission line</w:t>
      </w:r>
    </w:p>
    <w:p>
      <w:pPr>
        <w:sectPr>
          <w:pgSz w:w="11900" w:h="16838" w:orient="portrait"/>
          <w:cols w:equalWidth="0" w:num="1">
            <w:col w:w="11420"/>
          </w:cols>
          <w:pgMar w:left="240" w:top="119" w:right="239" w:bottom="0" w:gutter="0" w:footer="0" w:header="0"/>
        </w:sectPr>
      </w:pPr>
    </w:p>
    <w:bookmarkStart w:id="67" w:name="page68"/>
    <w:bookmarkEnd w:id="67"/>
    <w:p>
      <w:pPr>
        <w:ind w:left="340" w:hanging="188"/>
        <w:spacing w:after="0"/>
        <w:tabs>
          <w:tab w:leader="none" w:pos="34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$200 million for improvements to SDG&amp;E’s electric transmission infrastructure</w:t>
      </w:r>
    </w:p>
    <w:p>
      <w:pPr>
        <w:spacing w:after="0" w:line="252" w:lineRule="exact"/>
        <w:rPr>
          <w:rFonts w:ascii="Arial" w:cs="Arial" w:eastAsia="Arial" w:hAnsi="Arial"/>
          <w:sz w:val="18"/>
          <w:szCs w:val="18"/>
          <w:color w:val="auto"/>
        </w:rPr>
      </w:pPr>
    </w:p>
    <w:p>
      <w:pPr>
        <w:ind w:left="340" w:hanging="188"/>
        <w:spacing w:after="0"/>
        <w:tabs>
          <w:tab w:leader="none" w:pos="34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$200 million for the transfer of Sempra Generation’s El Dorado facility to SDG&amp;E</w:t>
      </w:r>
    </w:p>
    <w:p>
      <w:pPr>
        <w:spacing w:after="0" w:line="252" w:lineRule="exact"/>
        <w:rPr>
          <w:rFonts w:ascii="Arial" w:cs="Arial" w:eastAsia="Arial" w:hAnsi="Arial"/>
          <w:sz w:val="18"/>
          <w:szCs w:val="18"/>
          <w:color w:val="auto"/>
        </w:rPr>
      </w:pPr>
    </w:p>
    <w:p>
      <w:pPr>
        <w:ind w:left="340" w:hanging="188"/>
        <w:spacing w:after="0"/>
        <w:tabs>
          <w:tab w:leader="none" w:pos="34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$690 million at SoCalGas for improvements to distribution and transmission systems, and for advanced metering infrastructure</w:t>
      </w:r>
    </w:p>
    <w:p>
      <w:pPr>
        <w:spacing w:after="0" w:line="252"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The Sempra Utilities expect to finance these expenditures and investments with cash flows from operations, cash on hand, debt issuances and at SDG&amp;E, the capital contributed by Sempra Energy in the first quarter of 2011.</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expected capital expenditures of $1.4 billion at our other subsidiaries include</w:t>
      </w:r>
    </w:p>
    <w:p>
      <w:pPr>
        <w:spacing w:after="0" w:line="200" w:lineRule="exact"/>
        <w:rPr>
          <w:sz w:val="20"/>
          <w:szCs w:val="20"/>
          <w:color w:val="auto"/>
        </w:rPr>
      </w:pPr>
    </w:p>
    <w:p>
      <w:pPr>
        <w:spacing w:after="0" w:line="241"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Sempra Pipelines &amp; Storage</w:t>
      </w:r>
    </w:p>
    <w:p>
      <w:pPr>
        <w:spacing w:after="0" w:line="225" w:lineRule="exact"/>
        <w:rPr>
          <w:sz w:val="20"/>
          <w:szCs w:val="20"/>
          <w:color w:val="auto"/>
        </w:rPr>
      </w:pPr>
    </w:p>
    <w:p>
      <w:pPr>
        <w:ind w:left="660" w:hanging="184"/>
        <w:spacing w:after="0" w:line="277" w:lineRule="auto"/>
        <w:tabs>
          <w:tab w:leader="none" w:pos="66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approximately $700 million to acquire AEI’s interests in Chile and Peru (including the public tender offer required for Luz del Sur shares and net of cash acquired)</w:t>
      </w:r>
    </w:p>
    <w:p>
      <w:pPr>
        <w:spacing w:after="0" w:line="197" w:lineRule="exact"/>
        <w:rPr>
          <w:rFonts w:ascii="Arial" w:cs="Arial" w:eastAsia="Arial" w:hAnsi="Arial"/>
          <w:sz w:val="18"/>
          <w:szCs w:val="18"/>
          <w:color w:val="auto"/>
        </w:rPr>
      </w:pPr>
    </w:p>
    <w:p>
      <w:pPr>
        <w:ind w:left="660" w:hanging="184"/>
        <w:spacing w:after="0"/>
        <w:tabs>
          <w:tab w:leader="none" w:pos="66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approximately $100 million to $150 million for capital projects in South America</w:t>
      </w:r>
    </w:p>
    <w:p>
      <w:pPr>
        <w:spacing w:after="0" w:line="252" w:lineRule="exact"/>
        <w:rPr>
          <w:rFonts w:ascii="Arial" w:cs="Arial" w:eastAsia="Arial" w:hAnsi="Arial"/>
          <w:sz w:val="18"/>
          <w:szCs w:val="18"/>
          <w:color w:val="auto"/>
        </w:rPr>
      </w:pPr>
    </w:p>
    <w:p>
      <w:pPr>
        <w:ind w:left="660" w:hanging="184"/>
        <w:spacing w:after="0"/>
        <w:tabs>
          <w:tab w:leader="none" w:pos="66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approximately $100 million to $150 million for development of natural gas storage projects at Bay Gas and Mississippi Hub</w:t>
      </w:r>
    </w:p>
    <w:p>
      <w:pPr>
        <w:spacing w:after="0" w:line="200" w:lineRule="exact"/>
        <w:rPr>
          <w:sz w:val="20"/>
          <w:szCs w:val="20"/>
          <w:color w:val="auto"/>
        </w:rPr>
      </w:pPr>
    </w:p>
    <w:p>
      <w:pPr>
        <w:spacing w:after="0" w:line="268"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Sempra Generation</w:t>
      </w:r>
    </w:p>
    <w:p>
      <w:pPr>
        <w:spacing w:after="0" w:line="225" w:lineRule="exact"/>
        <w:rPr>
          <w:sz w:val="20"/>
          <w:szCs w:val="20"/>
          <w:color w:val="auto"/>
        </w:rPr>
      </w:pPr>
    </w:p>
    <w:p>
      <w:pPr>
        <w:ind w:left="660" w:hanging="184"/>
        <w:spacing w:after="0" w:line="277" w:lineRule="auto"/>
        <w:tabs>
          <w:tab w:leader="none" w:pos="66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approximately $160 million for investment in the first phase (150 megawatts (MW)) of Mesquite Solar, a solar project at our Mesquite Power plant near Arlington, Arizona</w:t>
      </w:r>
    </w:p>
    <w:p>
      <w:pPr>
        <w:spacing w:after="0" w:line="197" w:lineRule="exact"/>
        <w:rPr>
          <w:rFonts w:ascii="Arial" w:cs="Arial" w:eastAsia="Arial" w:hAnsi="Arial"/>
          <w:sz w:val="18"/>
          <w:szCs w:val="18"/>
          <w:color w:val="auto"/>
        </w:rPr>
      </w:pPr>
    </w:p>
    <w:p>
      <w:pPr>
        <w:ind w:left="660" w:right="20" w:hanging="184"/>
        <w:spacing w:after="0" w:line="277" w:lineRule="auto"/>
        <w:tabs>
          <w:tab w:leader="none" w:pos="66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approximately $120 million for investment in the second phase (150 MW) of Copper Mountain Solar, a solar project located near Boulder City, Nevada</w:t>
      </w:r>
    </w:p>
    <w:p>
      <w:pPr>
        <w:spacing w:after="0" w:line="197" w:lineRule="exact"/>
        <w:rPr>
          <w:sz w:val="20"/>
          <w:szCs w:val="20"/>
          <w:color w:val="auto"/>
        </w:rPr>
      </w:pPr>
    </w:p>
    <w:p>
      <w:pPr>
        <w:ind w:right="480"/>
        <w:spacing w:after="0" w:line="264" w:lineRule="auto"/>
        <w:rPr>
          <w:sz w:val="20"/>
          <w:szCs w:val="20"/>
          <w:color w:val="auto"/>
        </w:rPr>
      </w:pPr>
      <w:r>
        <w:rPr>
          <w:rFonts w:ascii="Arial" w:cs="Arial" w:eastAsia="Arial" w:hAnsi="Arial"/>
          <w:sz w:val="18"/>
          <w:szCs w:val="18"/>
          <w:color w:val="auto"/>
        </w:rPr>
        <w:t>Our level of capital expenditures and investments in the next few years may vary substantially and will depend on the cost and availability of financing, regulatory approvals and business opportunities providing desirable rates of return. We intend to finance our capital expenditures in a manner that will maintain our strong investment-grade ratings and capital structure.</w:t>
      </w: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20"/>
          <w:szCs w:val="20"/>
          <w:color w:val="auto"/>
        </w:rPr>
        <w:t>CASH FLOWS FROM FINANCING ACTIVITIES</w:t>
      </w: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CASH FLOWS FROM FINANCING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-104775</wp:posOffset>
            </wp:positionV>
            <wp:extent cx="7246620" cy="22288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46620" cy="222885"/>
                    </a:xfrm>
                    <a:prstGeom prst="rect">
                      <a:avLst/>
                    </a:prstGeom>
                    <a:noFill/>
                  </pic:spPr>
                </pic:pic>
              </a:graphicData>
            </a:graphic>
          </wp:anchor>
        </w:drawing>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3640" w:type="dxa"/>
            <w:vAlign w:val="bottom"/>
            <w:gridSpan w:val="2"/>
          </w:tcPr>
          <w:p>
            <w:pPr>
              <w:spacing w:after="0"/>
              <w:rPr>
                <w:sz w:val="20"/>
                <w:szCs w:val="20"/>
                <w:color w:val="auto"/>
              </w:rPr>
            </w:pPr>
            <w:r>
              <w:rPr>
                <w:rFonts w:ascii="Arial" w:cs="Arial" w:eastAsia="Arial" w:hAnsi="Arial"/>
                <w:sz w:val="14"/>
                <w:szCs w:val="14"/>
                <w:i w:val="1"/>
                <w:iCs w:val="1"/>
                <w:color w:val="auto"/>
              </w:rPr>
              <w:t>(Dollars in millions)</w:t>
            </w:r>
          </w:p>
        </w:tc>
        <w:tc>
          <w:tcPr>
            <w:tcW w:w="25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64"/>
        </w:trPr>
        <w:tc>
          <w:tcPr>
            <w:tcW w:w="20" w:type="dxa"/>
            <w:vAlign w:val="bottom"/>
          </w:tcPr>
          <w:p>
            <w:pPr>
              <w:spacing w:after="0"/>
              <w:rPr>
                <w:sz w:val="14"/>
                <w:szCs w:val="14"/>
                <w:color w:val="auto"/>
              </w:rPr>
            </w:pPr>
          </w:p>
        </w:tc>
        <w:tc>
          <w:tcPr>
            <w:tcW w:w="3620" w:type="dxa"/>
            <w:vAlign w:val="bottom"/>
            <w:tcBorders>
              <w:bottom w:val="single" w:sz="8" w:color="auto"/>
            </w:tcBorders>
          </w:tcPr>
          <w:p>
            <w:pPr>
              <w:spacing w:after="0"/>
              <w:rPr>
                <w:sz w:val="14"/>
                <w:szCs w:val="14"/>
                <w:color w:val="auto"/>
              </w:rPr>
            </w:pPr>
          </w:p>
        </w:tc>
        <w:tc>
          <w:tcPr>
            <w:tcW w:w="2560" w:type="dxa"/>
            <w:vAlign w:val="bottom"/>
            <w:tcBorders>
              <w:bottom w:val="single" w:sz="8" w:color="auto"/>
            </w:tcBorders>
          </w:tcPr>
          <w:p>
            <w:pPr>
              <w:jc w:val="right"/>
              <w:ind w:right="43"/>
              <w:spacing w:after="0" w:line="157" w:lineRule="exact"/>
              <w:rPr>
                <w:sz w:val="20"/>
                <w:szCs w:val="20"/>
                <w:color w:val="auto"/>
              </w:rPr>
            </w:pPr>
            <w:r>
              <w:rPr>
                <w:rFonts w:ascii="Arial" w:cs="Arial" w:eastAsia="Arial" w:hAnsi="Arial"/>
                <w:sz w:val="14"/>
                <w:szCs w:val="14"/>
                <w:color w:val="auto"/>
              </w:rPr>
              <w:t>2011</w:t>
            </w:r>
          </w:p>
        </w:tc>
        <w:tc>
          <w:tcPr>
            <w:tcW w:w="112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tcPr>
          <w:p>
            <w:pPr>
              <w:jc w:val="right"/>
              <w:ind w:right="81"/>
              <w:spacing w:after="0" w:line="157" w:lineRule="exact"/>
              <w:rPr>
                <w:sz w:val="20"/>
                <w:szCs w:val="20"/>
                <w:color w:val="auto"/>
              </w:rPr>
            </w:pPr>
            <w:r>
              <w:rPr>
                <w:rFonts w:ascii="Arial" w:cs="Arial" w:eastAsia="Arial" w:hAnsi="Arial"/>
                <w:sz w:val="14"/>
                <w:szCs w:val="14"/>
                <w:color w:val="auto"/>
              </w:rPr>
              <w:t>2011 Change</w:t>
            </w:r>
          </w:p>
        </w:tc>
        <w:tc>
          <w:tcPr>
            <w:tcW w:w="6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right"/>
              <w:ind w:right="581"/>
              <w:spacing w:after="0" w:line="157" w:lineRule="exact"/>
              <w:rPr>
                <w:sz w:val="20"/>
                <w:szCs w:val="20"/>
                <w:color w:val="auto"/>
              </w:rPr>
            </w:pPr>
            <w:r>
              <w:rPr>
                <w:rFonts w:ascii="Arial" w:cs="Arial" w:eastAsia="Arial" w:hAnsi="Arial"/>
                <w:sz w:val="14"/>
                <w:szCs w:val="14"/>
                <w:color w:val="auto"/>
              </w:rPr>
              <w:t>2010</w:t>
            </w:r>
          </w:p>
        </w:tc>
        <w:tc>
          <w:tcPr>
            <w:tcW w:w="20" w:type="dxa"/>
            <w:vAlign w:val="bottom"/>
          </w:tcPr>
          <w:p>
            <w:pPr>
              <w:spacing w:after="0"/>
              <w:rPr>
                <w:sz w:val="14"/>
                <w:szCs w:val="14"/>
                <w:color w:val="auto"/>
              </w:rPr>
            </w:pPr>
          </w:p>
        </w:tc>
      </w:tr>
      <w:tr>
        <w:trPr>
          <w:trHeight w:val="164"/>
        </w:trPr>
        <w:tc>
          <w:tcPr>
            <w:tcW w:w="20" w:type="dxa"/>
            <w:vAlign w:val="bottom"/>
          </w:tcPr>
          <w:p>
            <w:pPr>
              <w:spacing w:after="0"/>
              <w:rPr>
                <w:sz w:val="14"/>
                <w:szCs w:val="14"/>
                <w:color w:val="auto"/>
              </w:rPr>
            </w:pPr>
          </w:p>
        </w:tc>
        <w:tc>
          <w:tcPr>
            <w:tcW w:w="3620" w:type="dxa"/>
            <w:vAlign w:val="bottom"/>
          </w:tcPr>
          <w:p>
            <w:pPr>
              <w:spacing w:after="0" w:line="164" w:lineRule="exact"/>
              <w:rPr>
                <w:sz w:val="20"/>
                <w:szCs w:val="20"/>
                <w:color w:val="auto"/>
              </w:rPr>
            </w:pPr>
            <w:r>
              <w:rPr>
                <w:rFonts w:ascii="Arial" w:cs="Arial" w:eastAsia="Arial" w:hAnsi="Arial"/>
                <w:sz w:val="16"/>
                <w:szCs w:val="16"/>
                <w:color w:val="auto"/>
              </w:rPr>
              <w:t>Sempra Energy Consolidated</w:t>
            </w:r>
          </w:p>
        </w:tc>
        <w:tc>
          <w:tcPr>
            <w:tcW w:w="2560" w:type="dxa"/>
            <w:vAlign w:val="bottom"/>
          </w:tcPr>
          <w:p>
            <w:pPr>
              <w:jc w:val="right"/>
              <w:ind w:right="883"/>
              <w:spacing w:after="0" w:line="164" w:lineRule="exact"/>
              <w:rPr>
                <w:sz w:val="20"/>
                <w:szCs w:val="20"/>
                <w:color w:val="auto"/>
              </w:rPr>
            </w:pPr>
            <w:r>
              <w:rPr>
                <w:rFonts w:ascii="Arial" w:cs="Arial" w:eastAsia="Arial" w:hAnsi="Arial"/>
                <w:sz w:val="16"/>
                <w:szCs w:val="16"/>
                <w:color w:val="auto"/>
              </w:rPr>
              <w:t>$</w:t>
            </w:r>
          </w:p>
        </w:tc>
        <w:tc>
          <w:tcPr>
            <w:tcW w:w="1120" w:type="dxa"/>
            <w:vAlign w:val="bottom"/>
          </w:tcPr>
          <w:p>
            <w:pPr>
              <w:jc w:val="right"/>
              <w:ind w:right="439"/>
              <w:spacing w:after="0" w:line="164" w:lineRule="exact"/>
              <w:rPr>
                <w:sz w:val="20"/>
                <w:szCs w:val="20"/>
                <w:color w:val="auto"/>
              </w:rPr>
            </w:pPr>
            <w:r>
              <w:rPr>
                <w:rFonts w:ascii="Arial" w:cs="Arial" w:eastAsia="Arial" w:hAnsi="Arial"/>
                <w:sz w:val="16"/>
                <w:szCs w:val="16"/>
                <w:color w:val="auto"/>
              </w:rPr>
              <w:t>(2)$</w:t>
            </w:r>
          </w:p>
        </w:tc>
        <w:tc>
          <w:tcPr>
            <w:tcW w:w="1540" w:type="dxa"/>
            <w:vAlign w:val="bottom"/>
          </w:tcPr>
          <w:p>
            <w:pPr>
              <w:jc w:val="right"/>
              <w:ind w:right="561"/>
              <w:spacing w:after="0" w:line="164" w:lineRule="exact"/>
              <w:rPr>
                <w:sz w:val="20"/>
                <w:szCs w:val="20"/>
                <w:color w:val="auto"/>
              </w:rPr>
            </w:pPr>
            <w:r>
              <w:rPr>
                <w:rFonts w:ascii="Arial" w:cs="Arial" w:eastAsia="Arial" w:hAnsi="Arial"/>
                <w:sz w:val="16"/>
                <w:szCs w:val="16"/>
                <w:color w:val="auto"/>
              </w:rPr>
              <w:t>60</w:t>
            </w:r>
          </w:p>
        </w:tc>
        <w:tc>
          <w:tcPr>
            <w:tcW w:w="680" w:type="dxa"/>
            <w:vAlign w:val="bottom"/>
          </w:tcPr>
          <w:p>
            <w:pPr>
              <w:jc w:val="right"/>
              <w:ind w:right="99"/>
              <w:spacing w:after="0" w:line="164" w:lineRule="exact"/>
              <w:rPr>
                <w:sz w:val="20"/>
                <w:szCs w:val="20"/>
                <w:color w:val="auto"/>
              </w:rPr>
            </w:pPr>
            <w:r>
              <w:rPr>
                <w:rFonts w:ascii="Arial" w:cs="Arial" w:eastAsia="Arial" w:hAnsi="Arial"/>
                <w:sz w:val="16"/>
                <w:szCs w:val="16"/>
                <w:color w:val="auto"/>
              </w:rPr>
              <w:t>97</w:t>
            </w:r>
          </w:p>
        </w:tc>
        <w:tc>
          <w:tcPr>
            <w:tcW w:w="640" w:type="dxa"/>
            <w:vAlign w:val="bottom"/>
          </w:tcPr>
          <w:p>
            <w:pPr>
              <w:jc w:val="right"/>
              <w:ind w:right="179"/>
              <w:spacing w:after="0" w:line="164" w:lineRule="exact"/>
              <w:rPr>
                <w:sz w:val="20"/>
                <w:szCs w:val="20"/>
                <w:color w:val="auto"/>
              </w:rPr>
            </w:pPr>
            <w:r>
              <w:rPr>
                <w:rFonts w:ascii="Arial" w:cs="Arial" w:eastAsia="Arial" w:hAnsi="Arial"/>
                <w:sz w:val="16"/>
                <w:szCs w:val="16"/>
                <w:color w:val="auto"/>
              </w:rPr>
              <w:t>%$</w:t>
            </w:r>
          </w:p>
        </w:tc>
        <w:tc>
          <w:tcPr>
            <w:tcW w:w="1240" w:type="dxa"/>
            <w:vAlign w:val="bottom"/>
          </w:tcPr>
          <w:p>
            <w:pPr>
              <w:jc w:val="right"/>
              <w:spacing w:after="0" w:line="164" w:lineRule="exact"/>
              <w:rPr>
                <w:sz w:val="20"/>
                <w:szCs w:val="20"/>
                <w:color w:val="auto"/>
              </w:rPr>
            </w:pPr>
            <w:r>
              <w:rPr>
                <w:rFonts w:ascii="Arial" w:cs="Arial" w:eastAsia="Arial" w:hAnsi="Arial"/>
                <w:sz w:val="16"/>
                <w:szCs w:val="16"/>
                <w:color w:val="auto"/>
              </w:rPr>
              <w:t>(62)</w:t>
            </w:r>
          </w:p>
        </w:tc>
        <w:tc>
          <w:tcPr>
            <w:tcW w:w="20" w:type="dxa"/>
            <w:vAlign w:val="bottom"/>
          </w:tcPr>
          <w:p>
            <w:pPr>
              <w:spacing w:after="0"/>
              <w:rPr>
                <w:sz w:val="14"/>
                <w:szCs w:val="14"/>
                <w:color w:val="auto"/>
              </w:rPr>
            </w:pPr>
          </w:p>
        </w:tc>
      </w:tr>
      <w:tr>
        <w:trPr>
          <w:trHeight w:val="176"/>
        </w:trPr>
        <w:tc>
          <w:tcPr>
            <w:tcW w:w="3640" w:type="dxa"/>
            <w:vAlign w:val="bottom"/>
            <w:gridSpan w:val="2"/>
          </w:tcPr>
          <w:p>
            <w:pPr>
              <w:spacing w:after="0" w:line="176" w:lineRule="exact"/>
              <w:rPr>
                <w:sz w:val="20"/>
                <w:szCs w:val="20"/>
                <w:color w:val="auto"/>
              </w:rPr>
            </w:pPr>
            <w:r>
              <w:rPr>
                <w:rFonts w:ascii="Arial" w:cs="Arial" w:eastAsia="Arial" w:hAnsi="Arial"/>
                <w:sz w:val="16"/>
                <w:szCs w:val="16"/>
                <w:color w:val="auto"/>
              </w:rPr>
              <w:t>SDG&amp;E</w:t>
            </w:r>
          </w:p>
        </w:tc>
        <w:tc>
          <w:tcPr>
            <w:tcW w:w="2560" w:type="dxa"/>
            <w:vAlign w:val="bottom"/>
          </w:tcPr>
          <w:p>
            <w:pPr>
              <w:spacing w:after="0"/>
              <w:rPr>
                <w:sz w:val="15"/>
                <w:szCs w:val="15"/>
                <w:color w:val="auto"/>
              </w:rPr>
            </w:pPr>
          </w:p>
        </w:tc>
        <w:tc>
          <w:tcPr>
            <w:tcW w:w="1120" w:type="dxa"/>
            <w:vAlign w:val="bottom"/>
          </w:tcPr>
          <w:p>
            <w:pPr>
              <w:jc w:val="right"/>
              <w:ind w:right="579"/>
              <w:spacing w:after="0" w:line="176" w:lineRule="exact"/>
              <w:rPr>
                <w:sz w:val="20"/>
                <w:szCs w:val="20"/>
                <w:color w:val="auto"/>
              </w:rPr>
            </w:pPr>
            <w:r>
              <w:rPr>
                <w:rFonts w:ascii="Arial" w:cs="Arial" w:eastAsia="Arial" w:hAnsi="Arial"/>
                <w:sz w:val="16"/>
                <w:szCs w:val="16"/>
                <w:color w:val="auto"/>
              </w:rPr>
              <w:t>193</w:t>
            </w:r>
          </w:p>
        </w:tc>
        <w:tc>
          <w:tcPr>
            <w:tcW w:w="1540" w:type="dxa"/>
            <w:vAlign w:val="bottom"/>
          </w:tcPr>
          <w:p>
            <w:pPr>
              <w:jc w:val="right"/>
              <w:ind w:right="521"/>
              <w:spacing w:after="0" w:line="176" w:lineRule="exact"/>
              <w:rPr>
                <w:sz w:val="20"/>
                <w:szCs w:val="20"/>
                <w:color w:val="auto"/>
              </w:rPr>
            </w:pPr>
            <w:r>
              <w:rPr>
                <w:rFonts w:ascii="Arial" w:cs="Arial" w:eastAsia="Arial" w:hAnsi="Arial"/>
                <w:sz w:val="16"/>
                <w:szCs w:val="16"/>
                <w:color w:val="auto"/>
              </w:rPr>
              <w:t>(110)</w:t>
            </w:r>
          </w:p>
        </w:tc>
        <w:tc>
          <w:tcPr>
            <w:tcW w:w="680" w:type="dxa"/>
            <w:vAlign w:val="bottom"/>
          </w:tcPr>
          <w:p>
            <w:pPr>
              <w:jc w:val="right"/>
              <w:ind w:right="59"/>
              <w:spacing w:after="0" w:line="176" w:lineRule="exact"/>
              <w:rPr>
                <w:sz w:val="20"/>
                <w:szCs w:val="20"/>
                <w:color w:val="auto"/>
              </w:rPr>
            </w:pPr>
            <w:r>
              <w:rPr>
                <w:rFonts w:ascii="Arial" w:cs="Arial" w:eastAsia="Arial" w:hAnsi="Arial"/>
                <w:sz w:val="16"/>
                <w:szCs w:val="16"/>
                <w:color w:val="auto"/>
              </w:rPr>
              <w:t>(36)</w:t>
            </w:r>
          </w:p>
        </w:tc>
        <w:tc>
          <w:tcPr>
            <w:tcW w:w="640" w:type="dxa"/>
            <w:vAlign w:val="bottom"/>
          </w:tcPr>
          <w:p>
            <w:pPr>
              <w:spacing w:after="0"/>
              <w:rPr>
                <w:sz w:val="15"/>
                <w:szCs w:val="15"/>
                <w:color w:val="auto"/>
              </w:rPr>
            </w:pPr>
          </w:p>
        </w:tc>
        <w:tc>
          <w:tcPr>
            <w:tcW w:w="1240" w:type="dxa"/>
            <w:vAlign w:val="bottom"/>
          </w:tcPr>
          <w:p>
            <w:pPr>
              <w:jc w:val="right"/>
              <w:spacing w:after="0" w:line="176" w:lineRule="exact"/>
              <w:rPr>
                <w:sz w:val="20"/>
                <w:szCs w:val="20"/>
                <w:color w:val="auto"/>
              </w:rPr>
            </w:pPr>
            <w:r>
              <w:rPr>
                <w:rFonts w:ascii="Arial" w:cs="Arial" w:eastAsia="Arial" w:hAnsi="Arial"/>
                <w:sz w:val="16"/>
                <w:szCs w:val="16"/>
                <w:color w:val="auto"/>
              </w:rPr>
              <w:t>303</w:t>
            </w:r>
          </w:p>
        </w:tc>
        <w:tc>
          <w:tcPr>
            <w:tcW w:w="20" w:type="dxa"/>
            <w:vAlign w:val="bottom"/>
          </w:tcPr>
          <w:p>
            <w:pPr>
              <w:spacing w:after="0"/>
              <w:rPr>
                <w:sz w:val="15"/>
                <w:szCs w:val="15"/>
                <w:color w:val="auto"/>
              </w:rPr>
            </w:pPr>
          </w:p>
        </w:tc>
      </w:tr>
      <w:tr>
        <w:trPr>
          <w:trHeight w:val="194"/>
        </w:trPr>
        <w:tc>
          <w:tcPr>
            <w:tcW w:w="3640" w:type="dxa"/>
            <w:vAlign w:val="bottom"/>
            <w:tcBorders>
              <w:bottom w:val="single" w:sz="8" w:color="auto"/>
            </w:tcBorders>
            <w:gridSpan w:val="2"/>
          </w:tcPr>
          <w:p>
            <w:pPr>
              <w:spacing w:after="0"/>
              <w:rPr>
                <w:sz w:val="20"/>
                <w:szCs w:val="20"/>
                <w:color w:val="auto"/>
              </w:rPr>
            </w:pPr>
            <w:r>
              <w:rPr>
                <w:rFonts w:ascii="Arial" w:cs="Arial" w:eastAsia="Arial" w:hAnsi="Arial"/>
                <w:sz w:val="16"/>
                <w:szCs w:val="16"/>
                <w:color w:val="auto"/>
              </w:rPr>
              <w:t>SoCalGas</w:t>
            </w:r>
          </w:p>
        </w:tc>
        <w:tc>
          <w:tcPr>
            <w:tcW w:w="25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color w:val="auto"/>
              </w:rPr>
              <w:t>(301)</w:t>
            </w:r>
          </w:p>
        </w:tc>
        <w:tc>
          <w:tcPr>
            <w:tcW w:w="1540" w:type="dxa"/>
            <w:vAlign w:val="bottom"/>
            <w:tcBorders>
              <w:bottom w:val="single" w:sz="8" w:color="auto"/>
            </w:tcBorders>
          </w:tcPr>
          <w:p>
            <w:pPr>
              <w:jc w:val="right"/>
              <w:ind w:right="521"/>
              <w:spacing w:after="0"/>
              <w:rPr>
                <w:sz w:val="20"/>
                <w:szCs w:val="20"/>
                <w:color w:val="auto"/>
              </w:rPr>
            </w:pPr>
            <w:r>
              <w:rPr>
                <w:rFonts w:ascii="Arial" w:cs="Arial" w:eastAsia="Arial" w:hAnsi="Arial"/>
                <w:sz w:val="16"/>
                <w:szCs w:val="16"/>
                <w:color w:val="auto"/>
              </w:rPr>
              <w:t>(200)</w:t>
            </w:r>
          </w:p>
        </w:tc>
        <w:tc>
          <w:tcPr>
            <w:tcW w:w="68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(198)</w:t>
            </w:r>
          </w:p>
        </w:tc>
        <w:tc>
          <w:tcPr>
            <w:tcW w:w="64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6"/>
                <w:szCs w:val="16"/>
                <w:color w:val="auto"/>
              </w:rPr>
              <w:t>(101)</w:t>
            </w:r>
          </w:p>
        </w:tc>
      </w:tr>
    </w:tbl>
    <w:p>
      <w:pPr>
        <w:spacing w:after="0" w:line="199"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Sempra Energy Consolidated</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Cash used in financing activities at Sempra Energy decreased in 2011 primarily due to:</w:t>
      </w:r>
    </w:p>
    <w:p>
      <w:pPr>
        <w:spacing w:after="0" w:line="225" w:lineRule="exact"/>
        <w:rPr>
          <w:sz w:val="20"/>
          <w:szCs w:val="20"/>
          <w:color w:val="auto"/>
        </w:rPr>
      </w:pPr>
    </w:p>
    <w:p>
      <w:pPr>
        <w:ind w:left="340" w:hanging="188"/>
        <w:spacing w:after="0"/>
        <w:tabs>
          <w:tab w:leader="none" w:pos="34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$600 million higher issuances of long-term debt; and</w:t>
      </w:r>
    </w:p>
    <w:p>
      <w:pPr>
        <w:spacing w:after="0" w:line="248" w:lineRule="exact"/>
        <w:rPr>
          <w:rFonts w:ascii="Arial" w:cs="Arial" w:eastAsia="Arial" w:hAnsi="Arial"/>
          <w:sz w:val="18"/>
          <w:szCs w:val="18"/>
          <w:color w:val="auto"/>
        </w:rPr>
      </w:pPr>
    </w:p>
    <w:p>
      <w:pPr>
        <w:ind w:left="340" w:hanging="188"/>
        <w:spacing w:after="0"/>
        <w:tabs>
          <w:tab w:leader="none" w:pos="34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 xml:space="preserve">$440 million lower debt payments; </w:t>
      </w:r>
      <w:r>
        <w:rPr>
          <w:rFonts w:ascii="Arial" w:cs="Arial" w:eastAsia="Arial" w:hAnsi="Arial"/>
          <w:sz w:val="18"/>
          <w:szCs w:val="18"/>
          <w:b w:val="1"/>
          <w:bCs w:val="1"/>
          <w:color w:val="auto"/>
        </w:rPr>
        <w:t>offset by</w:t>
      </w:r>
    </w:p>
    <w:p>
      <w:pPr>
        <w:spacing w:after="0" w:line="256" w:lineRule="exact"/>
        <w:rPr>
          <w:rFonts w:ascii="Arial" w:cs="Arial" w:eastAsia="Arial" w:hAnsi="Arial"/>
          <w:sz w:val="18"/>
          <w:szCs w:val="18"/>
          <w:color w:val="auto"/>
        </w:rPr>
      </w:pPr>
    </w:p>
    <w:p>
      <w:pPr>
        <w:ind w:left="340" w:hanging="188"/>
        <w:spacing w:after="0"/>
        <w:tabs>
          <w:tab w:leader="none" w:pos="34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a $319 million decrease in short-term debt in 2011 compared to a $534 million increase in 2010; and</w:t>
      </w:r>
    </w:p>
    <w:p>
      <w:pPr>
        <w:spacing w:after="0" w:line="252" w:lineRule="exact"/>
        <w:rPr>
          <w:rFonts w:ascii="Arial" w:cs="Arial" w:eastAsia="Arial" w:hAnsi="Arial"/>
          <w:sz w:val="18"/>
          <w:szCs w:val="18"/>
          <w:color w:val="auto"/>
        </w:rPr>
      </w:pPr>
    </w:p>
    <w:p>
      <w:pPr>
        <w:ind w:left="340" w:hanging="188"/>
        <w:spacing w:after="0"/>
        <w:tabs>
          <w:tab w:leader="none" w:pos="34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$80 million related to the redemption of subsidiary preferred stock.</w:t>
      </w: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SDG&amp;E</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Cash provided by financing activities at SDG&amp;E decreased in 2011 primarily due to:</w:t>
      </w:r>
    </w:p>
    <w:p>
      <w:pPr>
        <w:spacing w:after="0" w:line="198" w:lineRule="exact"/>
        <w:rPr>
          <w:sz w:val="20"/>
          <w:szCs w:val="20"/>
          <w:color w:val="auto"/>
        </w:rPr>
      </w:pPr>
    </w:p>
    <w:p>
      <w:pPr>
        <w:ind w:left="340" w:hanging="188"/>
        <w:spacing w:after="0"/>
        <w:tabs>
          <w:tab w:leader="none" w:pos="34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$250 million issuances of long-term debt in 2010; and</w:t>
      </w:r>
    </w:p>
    <w:p>
      <w:pPr>
        <w:spacing w:after="0" w:line="248" w:lineRule="exact"/>
        <w:rPr>
          <w:rFonts w:ascii="Arial" w:cs="Arial" w:eastAsia="Arial" w:hAnsi="Arial"/>
          <w:sz w:val="18"/>
          <w:szCs w:val="18"/>
          <w:color w:val="auto"/>
        </w:rPr>
      </w:pPr>
    </w:p>
    <w:p>
      <w:pPr>
        <w:ind w:left="340" w:hanging="188"/>
        <w:spacing w:after="0"/>
        <w:tabs>
          <w:tab w:leader="none" w:pos="34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 xml:space="preserve">a $63 million increase in short-term debt in 2010; </w:t>
      </w:r>
      <w:r>
        <w:rPr>
          <w:rFonts w:ascii="Arial" w:cs="Arial" w:eastAsia="Arial" w:hAnsi="Arial"/>
          <w:sz w:val="18"/>
          <w:szCs w:val="18"/>
          <w:b w:val="1"/>
          <w:bCs w:val="1"/>
          <w:color w:val="auto"/>
        </w:rPr>
        <w:t>offset by</w:t>
      </w:r>
    </w:p>
    <w:p>
      <w:pPr>
        <w:spacing w:after="0" w:line="256" w:lineRule="exact"/>
        <w:rPr>
          <w:rFonts w:ascii="Arial" w:cs="Arial" w:eastAsia="Arial" w:hAnsi="Arial"/>
          <w:sz w:val="18"/>
          <w:szCs w:val="18"/>
          <w:color w:val="auto"/>
        </w:rPr>
      </w:pPr>
    </w:p>
    <w:p>
      <w:pPr>
        <w:ind w:left="340" w:hanging="188"/>
        <w:spacing w:after="0"/>
        <w:tabs>
          <w:tab w:leader="none" w:pos="34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a $200 million capital contribution from Sempra Energy in 2011.</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SoCalGas</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Cash used in financing activities at SoCalGas increased in 2011 primarily due to:</w:t>
      </w:r>
    </w:p>
    <w:p>
      <w:pPr>
        <w:sectPr>
          <w:pgSz w:w="11900" w:h="16838" w:orient="portrait"/>
          <w:cols w:equalWidth="0" w:num="1">
            <w:col w:w="11420"/>
          </w:cols>
          <w:pgMar w:left="240" w:top="368" w:right="239" w:bottom="0" w:gutter="0" w:footer="0" w:header="0"/>
        </w:sectPr>
      </w:pPr>
    </w:p>
    <w:bookmarkStart w:id="68" w:name="page69"/>
    <w:bookmarkEnd w:id="68"/>
    <w:p>
      <w:pPr>
        <w:ind w:left="340" w:hanging="188"/>
        <w:spacing w:after="0"/>
        <w:tabs>
          <w:tab w:leader="none" w:pos="34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a $250 million long-term debt payment in 2011; and</w:t>
      </w:r>
    </w:p>
    <w:p>
      <w:pPr>
        <w:spacing w:after="0" w:line="248" w:lineRule="exact"/>
        <w:rPr>
          <w:rFonts w:ascii="Arial" w:cs="Arial" w:eastAsia="Arial" w:hAnsi="Arial"/>
          <w:sz w:val="18"/>
          <w:szCs w:val="18"/>
          <w:color w:val="auto"/>
        </w:rPr>
      </w:pPr>
    </w:p>
    <w:p>
      <w:pPr>
        <w:ind w:left="340" w:hanging="188"/>
        <w:spacing w:after="0"/>
        <w:tabs>
          <w:tab w:leader="none" w:pos="34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 xml:space="preserve">$50 million in common dividends paid in 2011; </w:t>
      </w:r>
      <w:r>
        <w:rPr>
          <w:rFonts w:ascii="Arial" w:cs="Arial" w:eastAsia="Arial" w:hAnsi="Arial"/>
          <w:sz w:val="18"/>
          <w:szCs w:val="18"/>
          <w:b w:val="1"/>
          <w:bCs w:val="1"/>
          <w:color w:val="auto"/>
        </w:rPr>
        <w:t>offset by</w:t>
      </w:r>
    </w:p>
    <w:p>
      <w:pPr>
        <w:spacing w:after="0" w:line="256" w:lineRule="exact"/>
        <w:rPr>
          <w:rFonts w:ascii="Arial" w:cs="Arial" w:eastAsia="Arial" w:hAnsi="Arial"/>
          <w:sz w:val="18"/>
          <w:szCs w:val="18"/>
          <w:color w:val="auto"/>
        </w:rPr>
      </w:pPr>
    </w:p>
    <w:p>
      <w:pPr>
        <w:ind w:left="340" w:hanging="188"/>
        <w:spacing w:after="0"/>
        <w:tabs>
          <w:tab w:leader="none" w:pos="34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$100 million in common dividends paid in 2010.</w:t>
      </w: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COMMITMENTS</w:t>
      </w:r>
    </w:p>
    <w:p>
      <w:pPr>
        <w:spacing w:after="0" w:line="234"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We discuss significant changes to contractual commitments at Sempra Energy, SDG&amp;E and SoCalGas in Note 10 of the Notes to Condensed Consolidated Financial Statements herein.</w:t>
      </w:r>
    </w:p>
    <w:p>
      <w:pPr>
        <w:spacing w:after="0" w:line="3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CREDIT RATINGS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The credit ratings of Sempra Energy and its principal subsidiaries remained at investment grade levels during the first six months of 2011.</w:t>
      </w:r>
    </w:p>
    <w:p>
      <w:pPr>
        <w:spacing w:after="0" w:line="225"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We provide additional information about our credit ratings at Sempra Energy, SDG&amp;E and SoCalGas in “Management’s Discussion and Analysis of Financial Condition and Results of Operations” in the Annual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323215</wp:posOffset>
            </wp:positionV>
            <wp:extent cx="7263765"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20"/>
          <w:szCs w:val="20"/>
          <w:color w:val="auto"/>
        </w:rPr>
        <w:t>FACTORS INFLUENCING FUTURE PERFORMANCE</w:t>
      </w: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SEMPRA ENERGY OVERVIEW</w:t>
      </w:r>
    </w:p>
    <w:p>
      <w:pPr>
        <w:spacing w:after="0" w:line="234"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The Sempra Utilities' operations generally provide relatively stable earnings and liquidity. However, for the next few years, SDG&amp;E and SoCalGas intend to limit their common stock dividends to reinvest their earnings in significant capital projects.</w:t>
      </w:r>
    </w:p>
    <w:p>
      <w:pPr>
        <w:spacing w:after="0" w:line="170"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Long-term contracts at Sempra Global's businesses generally provide relatively stable earnings and liquidity, but are subject to variability due to fluctuations in commodity prices. Also, Sempra Generation's contract with the DWR, which provides a significant portion of Sempra Generation's revenues, ends in September 2011, and Sempra Generation will sell its El Dorado natural gas generation plant to SDG&amp;E on October 1, 2011. Based on current market prices for electricity, contracts it enters into to replace the DWR contract, if obtained, or merchant (daily) sales will provide substantially lower earnings. Sempra Generation is also undertaking and investing in several projects for the construction of renewable generation facilities, with planned in-service dates ranging from mid-2011 to 2015.</w:t>
      </w:r>
    </w:p>
    <w:p>
      <w:pPr>
        <w:spacing w:after="0" w:line="193" w:lineRule="exact"/>
        <w:rPr>
          <w:sz w:val="20"/>
          <w:szCs w:val="20"/>
          <w:color w:val="auto"/>
        </w:rPr>
      </w:pPr>
    </w:p>
    <w:p>
      <w:pPr>
        <w:ind w:right="140"/>
        <w:spacing w:after="0" w:line="279" w:lineRule="auto"/>
        <w:rPr>
          <w:sz w:val="20"/>
          <w:szCs w:val="20"/>
          <w:color w:val="auto"/>
        </w:rPr>
      </w:pPr>
      <w:r>
        <w:rPr>
          <w:rFonts w:ascii="Arial" w:cs="Arial" w:eastAsia="Arial" w:hAnsi="Arial"/>
          <w:sz w:val="17"/>
          <w:szCs w:val="17"/>
          <w:color w:val="auto"/>
        </w:rPr>
        <w:t>On April 6, 2011, Sempra Pipelines &amp; Storage increased its investment in two utilities in South America. We expect the acquisition to be accretive to our earnings per share. However, in connection with our increased interests in Chilquinta Energía and Luz del Sur, Sempra Energy added $959 million in goodwill to its Consolidated Balance Sheet as of June 30, 2011. Goodwill is subject to impairment testing, annually and under other potential circumstances, which may cause its fair value to vary if differing estimates and assumptions are used in the applied valuation techniques.</w:t>
      </w:r>
    </w:p>
    <w:p>
      <w:pPr>
        <w:spacing w:after="0" w:line="171" w:lineRule="exact"/>
        <w:rPr>
          <w:sz w:val="20"/>
          <w:szCs w:val="20"/>
          <w:color w:val="auto"/>
        </w:rPr>
      </w:pPr>
    </w:p>
    <w:p>
      <w:pPr>
        <w:ind w:right="300"/>
        <w:spacing w:after="0" w:line="342" w:lineRule="auto"/>
        <w:rPr>
          <w:sz w:val="20"/>
          <w:szCs w:val="20"/>
          <w:color w:val="auto"/>
        </w:rPr>
      </w:pPr>
      <w:r>
        <w:rPr>
          <w:rFonts w:ascii="Arial" w:cs="Arial" w:eastAsia="Arial" w:hAnsi="Arial"/>
          <w:sz w:val="16"/>
          <w:szCs w:val="16"/>
          <w:color w:val="auto"/>
        </w:rPr>
        <w:t>We discuss the acquisition in Note 3 of the Notes to Condensed Consolidated Financial Statements herein. Sempra Pipelines &amp; Storage is also expected to provide earnings from construction projects when completed and other investments, but will require substantial funding for these investments.</w:t>
      </w:r>
    </w:p>
    <w:p>
      <w:pPr>
        <w:spacing w:after="0" w:line="124" w:lineRule="exact"/>
        <w:rPr>
          <w:sz w:val="20"/>
          <w:szCs w:val="20"/>
          <w:color w:val="auto"/>
        </w:rPr>
      </w:pPr>
    </w:p>
    <w:p>
      <w:pPr>
        <w:jc w:val="both"/>
        <w:ind w:right="460"/>
        <w:spacing w:after="0" w:line="264" w:lineRule="auto"/>
        <w:rPr>
          <w:sz w:val="20"/>
          <w:szCs w:val="20"/>
          <w:color w:val="auto"/>
        </w:rPr>
      </w:pPr>
      <w:r>
        <w:rPr>
          <w:rFonts w:ascii="Arial" w:cs="Arial" w:eastAsia="Arial" w:hAnsi="Arial"/>
          <w:sz w:val="18"/>
          <w:szCs w:val="18"/>
          <w:color w:val="auto"/>
        </w:rPr>
        <w:t>At Sempra LNG, until there are firm LNG supply or capacity services contracts from third parties that would subscribe to 100 percent of the capacity of Sempra LNG's Cameron receipt terminal, Sempra LNG will seek to purchase short-term LNG supplies and sell short-term capacity, which may result in greater variability in revenues and earnings.</w:t>
      </w:r>
    </w:p>
    <w:p>
      <w:pPr>
        <w:spacing w:after="0" w:line="181" w:lineRule="exact"/>
        <w:rPr>
          <w:sz w:val="20"/>
          <w:szCs w:val="20"/>
          <w:color w:val="auto"/>
        </w:rPr>
      </w:pPr>
    </w:p>
    <w:p>
      <w:pPr>
        <w:ind w:right="280"/>
        <w:spacing w:after="0" w:line="264" w:lineRule="auto"/>
        <w:rPr>
          <w:sz w:val="20"/>
          <w:szCs w:val="20"/>
          <w:color w:val="auto"/>
        </w:rPr>
      </w:pPr>
      <w:r>
        <w:rPr>
          <w:rFonts w:ascii="Arial" w:cs="Arial" w:eastAsia="Arial" w:hAnsi="Arial"/>
          <w:sz w:val="18"/>
          <w:szCs w:val="18"/>
          <w:color w:val="auto"/>
        </w:rPr>
        <w:t>Our utilities' performance will depend primarily on the ratemaking and regulatory process, environmental regulations, economic conditions, actions by the California legislature to address the state budget crisis and the changing energy marketplace. Their performance will also depend on the successful completion of capital projects that we discuss in various sections of this report.</w:t>
      </w:r>
    </w:p>
    <w:p>
      <w:pPr>
        <w:spacing w:after="0" w:line="181"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color w:val="auto"/>
        </w:rPr>
        <w:t>In the third quarter of 2009, SDG&amp;E's liability insurance premiums increased significantly, by approximately $40 million (pretax) annually, due to the increased costs of wildfire liability coverage as compared to the previous policy year. In the third quarter of 2010, SDG&amp;E secured additional insurance coverage of approximately $560 million, providing SDG&amp;E with maximum loss recovery due to a wildfire incident from insurance carriers of approximately $960 million, with the remainder of Sempra Energy's business units' maximum coverage for a wildfire incident remaining at $400 million, the same as in the previous policy year. As a result of the increase in SDG&amp;E's wildfire liability insurance coverage in the third quarter of 2010, SDG&amp;E's insurance premiums increased by approximately $30 million (pretax) annually for the increased coverage.</w:t>
      </w:r>
    </w:p>
    <w:p>
      <w:pPr>
        <w:spacing w:after="0" w:line="178"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In regard to the 2007 wildfire litigation, SDG&amp;E's settlement of claims and the estimate of outstanding claims and legal fees is approximately $2 billion, which is in excess of the $1.1 billion of liability insurance coverage and the $444 million of proceeds received as a result of the settlement with Cox Communications. However, SDG&amp;E has concluded that it is probable that it will be permitted to recover from its utility customers substantially all reasonably incurred costs of resolving wildfire claims in excess of its liability insurance coverage and amounts recovered from other potentially responsible parties. Consequently, Sempra Energy and SDG&amp;E expect no significant earnings impact from the resolution of the remaining wildfire claims. However, SDG&amp;E’s cash flow may be adversely affected by timing differences between the resolution of claims and recoveries from other potentially responsible parties and utility customers, which may extend over a number of years. In addition, recovery from customers will require future regulatory actions, and a failure to obtain recovery, or any negative assessment of the likelihood of recovery, would likely have a material adverse effect on Sempra Energy's and SDG&amp;E's cash flows and results of operations.</w:t>
      </w:r>
    </w:p>
    <w:p>
      <w:pPr>
        <w:spacing w:after="0" w:line="197" w:lineRule="exact"/>
        <w:rPr>
          <w:sz w:val="20"/>
          <w:szCs w:val="20"/>
          <w:color w:val="auto"/>
        </w:rPr>
      </w:pPr>
    </w:p>
    <w:p>
      <w:pPr>
        <w:ind w:right="140"/>
        <w:spacing w:after="0" w:line="302" w:lineRule="auto"/>
        <w:rPr>
          <w:sz w:val="20"/>
          <w:szCs w:val="20"/>
          <w:color w:val="auto"/>
        </w:rPr>
      </w:pPr>
      <w:r>
        <w:rPr>
          <w:rFonts w:ascii="Arial" w:cs="Arial" w:eastAsia="Arial" w:hAnsi="Arial"/>
          <w:sz w:val="16"/>
          <w:szCs w:val="16"/>
          <w:color w:val="auto"/>
        </w:rPr>
        <w:t>SDG&amp;E will continue to gather information to evaluate and assess the remaining wildfire claims and the likelihood, amount and timing of related recoveries from other potentially responsible parties and utility customers and will make appropriate adjustments to wildfire reserves and the related regulatory asset as additional information becomes available. We provide additional information concerning these matters in Notes 9 and 10 of the Notes to Condensed Consolidated Financial Statements herein and in Notes 14, 15 and 16 of the Notes to Consolidated Financial Statements in the Annual Report.</w:t>
      </w:r>
    </w:p>
    <w:p>
      <w:pPr>
        <w:sectPr>
          <w:pgSz w:w="11900" w:h="16838" w:orient="portrait"/>
          <w:cols w:equalWidth="0" w:num="1">
            <w:col w:w="11420"/>
          </w:cols>
          <w:pgMar w:left="240" w:top="125" w:right="239" w:bottom="2" w:gutter="0" w:footer="0" w:header="0"/>
        </w:sectPr>
      </w:pPr>
    </w:p>
    <w:bookmarkStart w:id="69" w:name="page70"/>
    <w:bookmarkEnd w:id="69"/>
    <w:p>
      <w:pPr>
        <w:ind w:right="40"/>
        <w:spacing w:after="0" w:line="290" w:lineRule="auto"/>
        <w:rPr>
          <w:sz w:val="20"/>
          <w:szCs w:val="20"/>
          <w:color w:val="auto"/>
        </w:rPr>
      </w:pPr>
      <w:r>
        <w:rPr>
          <w:rFonts w:ascii="Arial" w:cs="Arial" w:eastAsia="Arial" w:hAnsi="Arial"/>
          <w:sz w:val="16"/>
          <w:szCs w:val="16"/>
          <w:color w:val="auto"/>
        </w:rPr>
        <w:t>SDG&amp;E has a 20-percent ownership interest in San Onofre Nuclear Generating Station (SONGS), a 2,150-MW nuclear generating facility near San Clemente, California. SONGS is operated by Southern California Edison (SCE) and is subject to the jurisdiction of the Nuclear Regulatory Commission (NRC). SCE is currently addressing a number of regulatory and performance issues at SONGS, and the NRC has required SCE to take actions to provide greater assurance of compliance by SONGS personnel. SCE continues to implement plans and address the identified issues, however a number of these issues remain outstanding. To the extent that these issues persist, the likelihood of further required action by SCE persists, which may result in increased SONGS operating costs and/or adversely impacted operations. Currently, SDG&amp;E is allowed to fully offset its share of SONGS operating costs in revenue. If further action is required, it may result in an increase in SDG&amp;E’s Operation and Maintenance expense, with any increase being fully offset in Operating Revenues – Electric or, if electric generation is adversely impacted, require SDG&amp;E to procure additional electricity supply from other sources.</w:t>
      </w:r>
    </w:p>
    <w:p>
      <w:pPr>
        <w:spacing w:after="0" w:line="166"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color w:val="auto"/>
        </w:rPr>
        <w:t>In light of the aftermath and the significant safety events at the Fukushima Daiichi nuclear plant in Japan resulting from the recent earthquake and tsunami, the NRC plans to perform additional operation and safety reviews of nuclear facilities in the United States. The lessons learned from the events in Japan and the results of the NRC reviews may impact future operations and capital requirements at nuclear facilities in the United States, including the operations and capital requirements at SONGS. We provide more information about SONGS in Note 10 of the Notes to Condensed Consolidated Financial Statements herein and in Notes 6, 14 and 16 of the Notes to Consolidated Financial Statements in the Annual Report.</w:t>
      </w:r>
    </w:p>
    <w:p>
      <w:pPr>
        <w:spacing w:after="0" w:line="173"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Pending the outcome of the various regulatory agency evaluations of natural gas pipeline safety regulations, practices and procedures, Sempra Energy, including the Sempra Utilities, may incur incremental expense and capital investment associated with its natural gas pipeline operations and investments. In June 2011, the CPUC directed SoCalGas, SDG&amp;E, Pacific Gas &amp; Electric (PG&amp;E) and Southwest Gas to file implementation plans by August 26, 2011, to test or replace all natural gas transmission pipelines that have not been pressure tested. The Sempra Utilities are currently estimating that they will need to invest several hundred million dollars annually over a ten-year period to test or replace the natural gas transmission lines identified in this plan. Consistent with the CPUC directive, the Sempra Utilities will request that the incremental capital investment required as a result of any approved plan be included in rate base and that cost recovery be allowed for any other incremental cost not eligible for rate-base recovery.</w:t>
      </w:r>
    </w:p>
    <w:p>
      <w:pPr>
        <w:spacing w:after="0" w:line="178"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Both SDG&amp;E and SoCalGas have filed their 2012 General Rate Case (GRC) applications with the CPUC to establish their authorized revenue requirements for the 2012 Test Year and the ratemaking mechanisms to update the authorized revenue on an annual basis over the subsequent three-year (2013-2015) period. Since these applications were filed, Congress passed the 2010 Tax Act which, among other things, included provisions for companies to elect bonus depreciation on certain investments made after September 8, 2010 through December 31, 2012 for federal income tax purposes. The use of bonus depreciation, while reducing cash tax obligations in the near term, results in incremental deferred tax liabilities which reduce both SDG&amp;E's and SoCalGas' rate base upon which authorized revenue requirements are determined. In March 2011, the Internal Revenue Service issued technical guidance on the application of the bonus depreciation provisions of the 2010 Tax Act. In July 2011, SDG&amp;E and SoCalGas filed amendments to revise their original applications, primarily to reflect the impact of the 2010 Tax Act. These amendments reduced the requested increases to their authorized revenue requirements, as compared to their 2011 authorized revenues, by $22 million at SDG&amp;E to $231 million and by $17 million at SoCalGas to $263 million.</w:t>
      </w:r>
    </w:p>
    <w:p>
      <w:pPr>
        <w:spacing w:after="0" w:line="167"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The scoping memo issued by the CPUC in March 2011 set a final decision on the GRC to be issued around the month of March 2012, with retroactive application to allow recovery of SDG&amp;E's and SoCalGas' authorized 2012 revenue requirements to January 1, 2012. If the CPUC's final decision grants a significantly lower authorized revenue requirement, it could result in an adverse effect to the Sempra Utilities' cash flows and results of operations starting in 2012. We provide more information about the GRC in Note 9 of the Notes to Condensed Consolidated Financial Statements herein and in Note 15 of the Notes to Consolidated Financial Statements in the Annual Report.</w:t>
      </w:r>
    </w:p>
    <w:p>
      <w:pPr>
        <w:spacing w:after="0" w:line="188" w:lineRule="exact"/>
        <w:rPr>
          <w:sz w:val="20"/>
          <w:szCs w:val="20"/>
          <w:color w:val="auto"/>
        </w:rPr>
      </w:pPr>
    </w:p>
    <w:p>
      <w:pPr>
        <w:ind w:right="40"/>
        <w:spacing w:after="0" w:line="288" w:lineRule="auto"/>
        <w:rPr>
          <w:sz w:val="20"/>
          <w:szCs w:val="20"/>
          <w:color w:val="auto"/>
        </w:rPr>
      </w:pPr>
      <w:r>
        <w:rPr>
          <w:rFonts w:ascii="Arial" w:cs="Arial" w:eastAsia="Arial" w:hAnsi="Arial"/>
          <w:sz w:val="16"/>
          <w:szCs w:val="16"/>
          <w:color w:val="auto"/>
        </w:rPr>
        <w:t>SDG&amp;E's next CPUC cost of capital proceeding is scheduled to be filed in April 2012 for a 2013 test year. SoCalGas has also requested to file its next CPUC cost of capital proceeding on the same schedule as SDG&amp;E. A cost of capital proceeding determines the authorized capital structure, authorized rate of return and authorized rate for recovery of debt service costs on SDG&amp;E's electric distribution and generation assets and on both companies' natural gas transmission and distribution assets. SDG&amp;E's and SoCalGas' current CPUC authorized return on equity (ROE) is 11.10 percent and 10.82 percent, respectively, with authorized common equity capital structures of 49.00 percent and 48.00 percent, respectively. If the proceedings result in either a reduction in the authorized ROE or in the authorized common equity capital structure, it would have an adverse effect on the respective company's cash flows and results of operations starting in 2013. Also, to the extent that either company's authorized rate for recovery of debt service costs is higher than their actual rate of debt service costs at the time of the cost of capital proceeding, the authorized rate for recovery of debt service costs will be reduced to the actual rate of debt service costs, which would adversely affect the respective company's cash flows and results of operations starting in 2013. We provide more information about the cost of capital proceedings in Note 15 of the Notes to Consolidated Financial Statements in the Annual Report.</w:t>
      </w:r>
    </w:p>
    <w:p>
      <w:pPr>
        <w:spacing w:after="0" w:line="169"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current FERC formulaic rate methodology for SDG&amp;E's electric transmission assets will be up for review in 2013, with the new rates effective in September 2013. This proceeding will assess the rate-making methodology to be employed for SDG&amp;E's FERC-regulated operations, including a determination of SDG&amp;E's FERC-authorized ROE and recovery of operation and maintenance expenses. If this proceeding results in a reduction from SDG&amp;E's current authorized ROE of 11.35 percent or in an adverse determination for the recovery of operation and maintenance expenses, it would adversely affect SDG&amp;E's cash flows and results of operations.</w:t>
      </w:r>
    </w:p>
    <w:p>
      <w:pPr>
        <w:spacing w:after="0" w:line="188"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We discuss additional potential and expected impacts of the 2010 Tax Act on our income tax expense, earnings and cash flows in "Results of Operations – Changes in Revenues, Costs and Earnings – Income Taxes" above.</w:t>
      </w:r>
    </w:p>
    <w:p>
      <w:pPr>
        <w:spacing w:after="0" w:line="170"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In three separate transactions in 2010 and one in early 2011, we and RBS sold substantially all of the businesses and assets of our commodities-marketing partnership. We expect our share of the remaining proceeds from the sales of all of the joint venture's businesses and related cash distributions to approximate $439 million, the amount of our remaining investment in the joint venture. We provide additional information in Notes 4 and 6 of the Notes to Condensed Consolidated Financial Statements herein.</w:t>
      </w:r>
    </w:p>
    <w:p>
      <w:pPr>
        <w:spacing w:after="0" w:line="187" w:lineRule="exact"/>
        <w:rPr>
          <w:sz w:val="20"/>
          <w:szCs w:val="20"/>
          <w:color w:val="auto"/>
        </w:rPr>
      </w:pPr>
    </w:p>
    <w:p>
      <w:pPr>
        <w:ind w:right="360"/>
        <w:spacing w:after="0" w:line="259" w:lineRule="auto"/>
        <w:rPr>
          <w:sz w:val="20"/>
          <w:szCs w:val="20"/>
          <w:color w:val="auto"/>
        </w:rPr>
      </w:pPr>
      <w:r>
        <w:rPr>
          <w:rFonts w:ascii="Arial" w:cs="Arial" w:eastAsia="Arial" w:hAnsi="Arial"/>
          <w:sz w:val="18"/>
          <w:szCs w:val="18"/>
          <w:color w:val="auto"/>
        </w:rPr>
        <w:t>We may be further impacted by depressed and rapidly changing economic conditions. Moreover, the dollar has fluctuated significantly compared to some foreign currencies, especially in Mexico and South America where we have significant operations. North American natural gas prices, which affect profitability at Sempra Generation and Sempra LNG, are currently significantly below Asian and European prices. These factors could, if they remain unchanged, adversely affect profitability.</w:t>
      </w:r>
    </w:p>
    <w:p>
      <w:pPr>
        <w:spacing w:after="0" w:line="187"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We discuss additional matters that could affect our future performance in Notes 9 and 10 of the Notes to Condensed Consolidated Financial Statements herein and in Notes 14, 15 and 16 of the Notes to Consolidated Financial Statements in the Annual Report.</w:t>
      </w:r>
    </w:p>
    <w:p>
      <w:pPr>
        <w:spacing w:after="0" w:line="3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DERIVATIVES REFORMS</w:t>
      </w:r>
    </w:p>
    <w:p>
      <w:pPr>
        <w:sectPr>
          <w:pgSz w:w="11900" w:h="16838" w:orient="portrait"/>
          <w:cols w:equalWidth="0" w:num="1">
            <w:col w:w="11420"/>
          </w:cols>
          <w:pgMar w:left="240" w:top="125" w:right="239" w:bottom="176" w:gutter="0" w:footer="0" w:header="0"/>
        </w:sectPr>
      </w:pPr>
    </w:p>
    <w:bookmarkStart w:id="70" w:name="page71"/>
    <w:bookmarkEnd w:id="70"/>
    <w:p>
      <w:pPr>
        <w:spacing w:after="0" w:line="271" w:lineRule="auto"/>
        <w:rPr>
          <w:sz w:val="20"/>
          <w:szCs w:val="20"/>
          <w:color w:val="auto"/>
        </w:rPr>
      </w:pPr>
      <w:r>
        <w:rPr>
          <w:rFonts w:ascii="Arial" w:cs="Arial" w:eastAsia="Arial" w:hAnsi="Arial"/>
          <w:sz w:val="17"/>
          <w:szCs w:val="17"/>
          <w:color w:val="auto"/>
        </w:rPr>
        <w:t>In July 2010, federal legislation to reform financial markets was enacted that significantly alters how over-the-counter (OTC) derivatives are regulated, which may impact all of our businesses. The law increased regulatory oversight of OTC energy derivatives, including (1) requiring standardized OTC derivatives to be traded on registered exchanges regulated by the U.S. Commodity Futures Trading Commission (CFTC), (2) imposing new and potentially higher capital and margin requirements and (3) authorizing the establishment of overall volume and position limits. The law gives the CFTC authority to exempt end users of energy commodities which could reduce, but not eliminate, the applicability of these measures to us and other end users. These requirements could cause our OTC transactions to be more costly and have an adverse effect on our liquidity due to additional capital requirements. In addition, as these reforms aim to standardize OTC products, they could limit the effectiveness of our hedging programs, because we would have less ability to tailor OTC derivatives to match the precise risk we are seeking to mitigate.</w:t>
      </w:r>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LITIGATION</w:t>
      </w:r>
    </w:p>
    <w:p>
      <w:pPr>
        <w:spacing w:after="0" w:line="234" w:lineRule="exact"/>
        <w:rPr>
          <w:sz w:val="20"/>
          <w:szCs w:val="20"/>
          <w:color w:val="auto"/>
        </w:rPr>
      </w:pPr>
    </w:p>
    <w:p>
      <w:pPr>
        <w:jc w:val="both"/>
        <w:ind w:right="40"/>
        <w:spacing w:after="0" w:line="277" w:lineRule="auto"/>
        <w:rPr>
          <w:sz w:val="20"/>
          <w:szCs w:val="20"/>
          <w:color w:val="auto"/>
        </w:rPr>
      </w:pPr>
      <w:r>
        <w:rPr>
          <w:rFonts w:ascii="Arial" w:cs="Arial" w:eastAsia="Arial" w:hAnsi="Arial"/>
          <w:sz w:val="18"/>
          <w:szCs w:val="18"/>
          <w:color w:val="auto"/>
        </w:rPr>
        <w:t>We describe legal proceedings which could adversely affect our future performance in Note 10 of the Notes to Condensed Consolidated Financial Statements herein.</w:t>
      </w:r>
    </w:p>
    <w:p>
      <w:pPr>
        <w:spacing w:after="0" w:line="3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SEMPRA UTILITIES – INDUSTRY DEVELOPMENTS AND CAPITAL PROJECTS</w:t>
      </w:r>
    </w:p>
    <w:p>
      <w:pPr>
        <w:spacing w:after="0" w:line="234" w:lineRule="exact"/>
        <w:rPr>
          <w:sz w:val="20"/>
          <w:szCs w:val="20"/>
          <w:color w:val="auto"/>
        </w:rPr>
      </w:pPr>
    </w:p>
    <w:p>
      <w:pPr>
        <w:jc w:val="both"/>
        <w:ind w:right="40"/>
        <w:spacing w:after="0" w:line="264" w:lineRule="auto"/>
        <w:rPr>
          <w:sz w:val="20"/>
          <w:szCs w:val="20"/>
          <w:color w:val="auto"/>
        </w:rPr>
      </w:pPr>
      <w:r>
        <w:rPr>
          <w:rFonts w:ascii="Arial" w:cs="Arial" w:eastAsia="Arial" w:hAnsi="Arial"/>
          <w:sz w:val="18"/>
          <w:szCs w:val="18"/>
          <w:color w:val="auto"/>
        </w:rPr>
        <w:t>We describe capital projects, electric and natural gas regulation and rates, and other pending proceedings and investigations that affect our business in Note 9 of the Notes to Condensed Consolidated Financial Statements herein and in Notes 14 and 15 of the Notes to Consolidated Financial Statements in the Annual Report.</w:t>
      </w:r>
    </w:p>
    <w:p>
      <w:pPr>
        <w:spacing w:after="0" w:line="3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SEMPRA GLOBAL INVESTMENTS</w:t>
      </w:r>
    </w:p>
    <w:p>
      <w:pPr>
        <w:spacing w:after="0" w:line="234" w:lineRule="exact"/>
        <w:rPr>
          <w:sz w:val="20"/>
          <w:szCs w:val="20"/>
          <w:color w:val="auto"/>
        </w:rPr>
      </w:pPr>
    </w:p>
    <w:p>
      <w:pPr>
        <w:jc w:val="both"/>
        <w:ind w:right="360"/>
        <w:spacing w:after="0" w:line="264" w:lineRule="auto"/>
        <w:rPr>
          <w:sz w:val="20"/>
          <w:szCs w:val="20"/>
          <w:color w:val="auto"/>
        </w:rPr>
      </w:pPr>
      <w:r>
        <w:rPr>
          <w:rFonts w:ascii="Arial" w:cs="Arial" w:eastAsia="Arial" w:hAnsi="Arial"/>
          <w:sz w:val="18"/>
          <w:szCs w:val="18"/>
          <w:color w:val="auto"/>
        </w:rPr>
        <w:t>As we discuss in "Cash Flows From Investing Activities," our investments will significantly impact our future performance. In addition to the discussion below, we provide information about these investments in "Capital Resources and Liquidity" herein and “Capital Resources and Liquidity” and “Factors Influencing Future Performance” in the Annual Report.</w:t>
      </w:r>
    </w:p>
    <w:p>
      <w:pPr>
        <w:spacing w:after="0" w:line="395"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Sempra Generation</w:t>
      </w:r>
    </w:p>
    <w:p>
      <w:pPr>
        <w:spacing w:after="0" w:line="198"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Copper Mountain Solar</w:t>
      </w:r>
    </w:p>
    <w:p>
      <w:pPr>
        <w:spacing w:after="0" w:line="240" w:lineRule="exact"/>
        <w:rPr>
          <w:sz w:val="20"/>
          <w:szCs w:val="20"/>
          <w:color w:val="auto"/>
        </w:rPr>
      </w:pPr>
    </w:p>
    <w:p>
      <w:pPr>
        <w:ind w:right="340"/>
        <w:spacing w:after="0" w:line="262" w:lineRule="auto"/>
        <w:rPr>
          <w:sz w:val="20"/>
          <w:szCs w:val="20"/>
          <w:color w:val="auto"/>
        </w:rPr>
      </w:pPr>
      <w:r>
        <w:rPr>
          <w:rFonts w:ascii="Arial" w:cs="Arial" w:eastAsia="Arial" w:hAnsi="Arial"/>
          <w:sz w:val="18"/>
          <w:szCs w:val="18"/>
          <w:color w:val="auto"/>
        </w:rPr>
        <w:t>Copper Mountain Solar is a 48-MW photovoltaic generation facility operated by Sempra Generation in Boulder City, Nevada. When fully developed, the project will be capable of producing approximately 400 MW of solar power.</w:t>
      </w:r>
    </w:p>
    <w:p>
      <w:pPr>
        <w:spacing w:after="0" w:line="156"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Copper Mountain Solar 2 (CMS 2) will total 150 MW and is expected to begin construction in the first quarter of 2012. CMS 2 is divided into two phases, with the first phase of 92 MW planned to be completed in the first quarter of 2013 and the remaining 58 MW being completed in 2015. PG&amp;E has contracted for all of the solar power at CMS 2 for 25 years and has an option to accelerate the second phase of 58 MW to be available before 2015. The contract is subject to approval by the CPUC.</w:t>
      </w:r>
    </w:p>
    <w:p>
      <w:pPr>
        <w:spacing w:after="0" w:line="184"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Cedar Creek 2 Wind Farm</w:t>
      </w:r>
    </w:p>
    <w:p>
      <w:pPr>
        <w:spacing w:after="0" w:line="205" w:lineRule="exact"/>
        <w:rPr>
          <w:sz w:val="20"/>
          <w:szCs w:val="20"/>
          <w:color w:val="auto"/>
        </w:rPr>
      </w:pPr>
    </w:p>
    <w:p>
      <w:pPr>
        <w:ind w:right="60"/>
        <w:spacing w:after="0" w:line="248" w:lineRule="auto"/>
        <w:rPr>
          <w:sz w:val="20"/>
          <w:szCs w:val="20"/>
          <w:color w:val="auto"/>
        </w:rPr>
      </w:pPr>
      <w:r>
        <w:rPr>
          <w:rFonts w:ascii="Arial" w:cs="Arial" w:eastAsia="Arial" w:hAnsi="Arial"/>
          <w:sz w:val="18"/>
          <w:szCs w:val="18"/>
          <w:color w:val="auto"/>
        </w:rPr>
        <w:t>Cedar Creek 2 Wind Farm, a 250-MW wind farm in northern Colorado, was placed in service in June 2011. Sempra Generation has a 50-percent interest in the facility in a joint venture with BP Wind Energy. Public Service Company of Colorado, an Xcel Energy company, has contracted for all of the power from the facility for 25 years.</w:t>
      </w:r>
    </w:p>
    <w:p>
      <w:pPr>
        <w:spacing w:after="0" w:line="166"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Mesquite Solar</w:t>
      </w:r>
    </w:p>
    <w:p>
      <w:pPr>
        <w:spacing w:after="0" w:line="205"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Mesquite Solar is a photovoltaic generation facility under development by Sempra Generation in Maricopa County, Arizona. When fully developed, the project will be capable of producing up to 700 MW of solar power. Construction of the first phase (Mesquite Solar 1) of 150 MW began in June 2011 and is expected to be completed in early 2013. PG&amp;E has contracted for all of the solar power at Mesquite Solar 1 for 20 years, which contract was approved by the CPUC in April 2011.</w:t>
      </w:r>
    </w:p>
    <w:p>
      <w:pPr>
        <w:spacing w:after="0" w:line="184"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Auwahi Wind</w:t>
      </w:r>
    </w:p>
    <w:p>
      <w:pPr>
        <w:spacing w:after="0" w:line="205" w:lineRule="exact"/>
        <w:rPr>
          <w:sz w:val="20"/>
          <w:szCs w:val="20"/>
          <w:color w:val="auto"/>
        </w:rPr>
      </w:pPr>
    </w:p>
    <w:p>
      <w:pPr>
        <w:jc w:val="both"/>
        <w:ind w:right="220"/>
        <w:spacing w:after="0" w:line="248" w:lineRule="auto"/>
        <w:rPr>
          <w:sz w:val="20"/>
          <w:szCs w:val="20"/>
          <w:color w:val="auto"/>
        </w:rPr>
      </w:pPr>
      <w:r>
        <w:rPr>
          <w:rFonts w:ascii="Arial" w:cs="Arial" w:eastAsia="Arial" w:hAnsi="Arial"/>
          <w:sz w:val="18"/>
          <w:szCs w:val="18"/>
          <w:color w:val="auto"/>
        </w:rPr>
        <w:t>In April 2011, Sempra Generation entered into a 20-year contract with Maui Electric Company to provide 21 MW of wind energy from the Auwahi Wind project in the southeastern region of Maui. The contract was approved by the Hawaii Public Utilities Commission in June 2011. We expect construction on the project to begin in early 2012, and the project to be fully operational in late 2012.</w:t>
      </w:r>
    </w:p>
    <w:p>
      <w:pPr>
        <w:spacing w:after="0" w:line="166"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Energía Sierra Juárez</w:t>
      </w:r>
    </w:p>
    <w:p>
      <w:pPr>
        <w:spacing w:after="0" w:line="205" w:lineRule="exact"/>
        <w:rPr>
          <w:sz w:val="20"/>
          <w:szCs w:val="20"/>
          <w:color w:val="auto"/>
        </w:rPr>
      </w:pPr>
    </w:p>
    <w:p>
      <w:pPr>
        <w:ind w:right="100"/>
        <w:spacing w:after="0" w:line="248" w:lineRule="auto"/>
        <w:rPr>
          <w:sz w:val="20"/>
          <w:szCs w:val="20"/>
          <w:color w:val="auto"/>
        </w:rPr>
      </w:pPr>
      <w:r>
        <w:rPr>
          <w:rFonts w:ascii="Arial" w:cs="Arial" w:eastAsia="Arial" w:hAnsi="Arial"/>
          <w:sz w:val="18"/>
          <w:szCs w:val="18"/>
          <w:color w:val="auto"/>
        </w:rPr>
        <w:t>In April 2011, San Diego Gas &amp; Electric entered into a 20-year contract for renewable power supplied from the 156-MW first phase of Sempra Generation’s Energía Sierra Juárez wind project in Baja California, Mexico. The contract is subject to approval by the CPUC and FERC. We expect construction on the project to begin in 2012, and the project to be fully operational in 2013.</w:t>
      </w:r>
    </w:p>
    <w:p>
      <w:pPr>
        <w:spacing w:after="0" w:line="169" w:lineRule="exact"/>
        <w:rPr>
          <w:sz w:val="20"/>
          <w:szCs w:val="20"/>
          <w:color w:val="auto"/>
        </w:rPr>
      </w:pPr>
    </w:p>
    <w:p>
      <w:pPr>
        <w:ind w:right="100"/>
        <w:spacing w:after="0" w:line="262" w:lineRule="auto"/>
        <w:rPr>
          <w:sz w:val="20"/>
          <w:szCs w:val="20"/>
          <w:color w:val="auto"/>
        </w:rPr>
      </w:pPr>
      <w:r>
        <w:rPr>
          <w:rFonts w:ascii="Arial" w:cs="Arial" w:eastAsia="Arial" w:hAnsi="Arial"/>
          <w:sz w:val="18"/>
          <w:szCs w:val="18"/>
          <w:color w:val="auto"/>
        </w:rPr>
        <w:t>Sempra Generation intends to develop the project within the framework of a joint venture, and is working on a joint development agreement for the sale of a 50-percent partnership interest in the current phase of the project to BP Wind Energy.</w:t>
      </w:r>
    </w:p>
    <w:p>
      <w:pPr>
        <w:spacing w:after="0" w:line="369"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Sempra Pipelines &amp; Storage</w:t>
      </w:r>
    </w:p>
    <w:p>
      <w:pPr>
        <w:spacing w:after="0" w:line="202"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Natural Gas Storage Projects</w:t>
      </w:r>
    </w:p>
    <w:p>
      <w:pPr>
        <w:spacing w:after="0" w:line="205"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Currently, Sempra Pipelines &amp; Storage has 23 billion cubic feet (Bcf) of operational working natural gas storage capacity. We plan to develop as much as 75 Bcf of total storage capacity by 2015.</w:t>
      </w:r>
    </w:p>
    <w:p>
      <w:pPr>
        <w:sectPr>
          <w:pgSz w:w="11900" w:h="16838" w:orient="portrait"/>
          <w:cols w:equalWidth="0" w:num="1">
            <w:col w:w="11380"/>
          </w:cols>
          <w:pgMar w:left="240" w:top="125" w:right="279" w:bottom="0" w:gutter="0" w:footer="0" w:header="0"/>
        </w:sectPr>
      </w:pPr>
    </w:p>
    <w:bookmarkStart w:id="71" w:name="page72"/>
    <w:bookmarkEnd w:id="71"/>
    <w:p>
      <w:pPr>
        <w:spacing w:after="0"/>
        <w:rPr>
          <w:sz w:val="20"/>
          <w:szCs w:val="20"/>
          <w:color w:val="auto"/>
        </w:rPr>
      </w:pPr>
      <w:r>
        <w:rPr>
          <w:rFonts w:ascii="Arial" w:cs="Arial" w:eastAsia="Arial" w:hAnsi="Arial"/>
          <w:sz w:val="18"/>
          <w:szCs w:val="18"/>
          <w:color w:val="auto"/>
        </w:rPr>
        <w:t>Sempra Pipelines &amp; Storage’s natural gas storage facilities and projects include</w:t>
      </w:r>
    </w:p>
    <w:p>
      <w:pPr>
        <w:spacing w:after="0" w:line="225" w:lineRule="exact"/>
        <w:rPr>
          <w:sz w:val="20"/>
          <w:szCs w:val="20"/>
          <w:color w:val="auto"/>
        </w:rPr>
      </w:pPr>
    </w:p>
    <w:p>
      <w:pPr>
        <w:jc w:val="both"/>
        <w:ind w:left="340" w:hanging="188"/>
        <w:spacing w:after="0" w:line="264" w:lineRule="auto"/>
        <w:tabs>
          <w:tab w:leader="none" w:pos="34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Bay Gas Storage Company, a facility located 40 miles north of Mobile, Alabama, that provides underground storage and delivery of natural gas. Sempra Pipelines &amp; Storage owns 91 percent of the project. It is the easternmost salt dome storage facility on the Gulf Coast, with direct service to the Florida market and markets across the Southeast, Mid-Atlantic and Northeast regions.</w:t>
      </w:r>
    </w:p>
    <w:p>
      <w:pPr>
        <w:spacing w:after="0" w:line="208" w:lineRule="exact"/>
        <w:rPr>
          <w:rFonts w:ascii="Arial" w:cs="Arial" w:eastAsia="Arial" w:hAnsi="Arial"/>
          <w:sz w:val="18"/>
          <w:szCs w:val="18"/>
          <w:color w:val="auto"/>
        </w:rPr>
      </w:pPr>
    </w:p>
    <w:p>
      <w:pPr>
        <w:jc w:val="both"/>
        <w:ind w:left="340" w:hanging="188"/>
        <w:spacing w:after="0" w:line="342" w:lineRule="auto"/>
        <w:tabs>
          <w:tab w:leader="none" w:pos="340" w:val="left"/>
        </w:tabs>
        <w:numPr>
          <w:ilvl w:val="0"/>
          <w:numId w:val="109"/>
        </w:numPr>
        <w:rPr>
          <w:rFonts w:ascii="Arial" w:cs="Arial" w:eastAsia="Arial" w:hAnsi="Arial"/>
          <w:sz w:val="16"/>
          <w:szCs w:val="16"/>
          <w:color w:val="auto"/>
        </w:rPr>
      </w:pPr>
      <w:r>
        <w:rPr>
          <w:rFonts w:ascii="Arial" w:cs="Arial" w:eastAsia="Arial" w:hAnsi="Arial"/>
          <w:sz w:val="16"/>
          <w:szCs w:val="16"/>
          <w:color w:val="auto"/>
        </w:rPr>
        <w:t>Mississippi Hub storage facility, located 45 miles southeast of Jackson, Mississippi, an underground salt dome natural gas storage project with access to shale basins of East Texas and Louisiana, traditional gulf supplies and LNG, with multiple interconnections to serve the Southeast and Northeast regions.</w:t>
      </w:r>
    </w:p>
    <w:p>
      <w:pPr>
        <w:spacing w:after="0" w:line="150" w:lineRule="exact"/>
        <w:rPr>
          <w:rFonts w:ascii="Arial" w:cs="Arial" w:eastAsia="Arial" w:hAnsi="Arial"/>
          <w:sz w:val="16"/>
          <w:szCs w:val="16"/>
          <w:color w:val="auto"/>
        </w:rPr>
      </w:pPr>
    </w:p>
    <w:p>
      <w:pPr>
        <w:ind w:left="340" w:hanging="188"/>
        <w:spacing w:after="0" w:line="342" w:lineRule="auto"/>
        <w:tabs>
          <w:tab w:leader="none" w:pos="340" w:val="left"/>
        </w:tabs>
        <w:numPr>
          <w:ilvl w:val="0"/>
          <w:numId w:val="109"/>
        </w:numPr>
        <w:rPr>
          <w:rFonts w:ascii="Arial" w:cs="Arial" w:eastAsia="Arial" w:hAnsi="Arial"/>
          <w:sz w:val="16"/>
          <w:szCs w:val="16"/>
          <w:color w:val="auto"/>
        </w:rPr>
      </w:pPr>
      <w:r>
        <w:rPr>
          <w:rFonts w:ascii="Arial" w:cs="Arial" w:eastAsia="Arial" w:hAnsi="Arial"/>
          <w:sz w:val="16"/>
          <w:szCs w:val="16"/>
          <w:color w:val="auto"/>
        </w:rPr>
        <w:t>Liberty Gas Storage Expansion, a salt cavern development project in Cameron Parish, Louisiana. Sempra Pipelines &amp; Storage owns 75 percent of the project and ProLiance Transportation LLC owns the remaining 25 percent. The project’s location provides access to several LNG facilities in the area.</w:t>
      </w:r>
    </w:p>
    <w:p>
      <w:pPr>
        <w:spacing w:after="0" w:line="148"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South American Utilities</w:t>
      </w:r>
    </w:p>
    <w:p>
      <w:pPr>
        <w:spacing w:after="0" w:line="205" w:lineRule="exact"/>
        <w:rPr>
          <w:sz w:val="20"/>
          <w:szCs w:val="20"/>
          <w:color w:val="auto"/>
        </w:rPr>
      </w:pPr>
    </w:p>
    <w:p>
      <w:pPr>
        <w:ind w:right="640"/>
        <w:spacing w:after="0" w:line="262" w:lineRule="auto"/>
        <w:rPr>
          <w:sz w:val="20"/>
          <w:szCs w:val="20"/>
          <w:color w:val="auto"/>
        </w:rPr>
      </w:pPr>
      <w:r>
        <w:rPr>
          <w:rFonts w:ascii="Arial" w:cs="Arial" w:eastAsia="Arial" w:hAnsi="Arial"/>
          <w:sz w:val="18"/>
          <w:szCs w:val="18"/>
          <w:color w:val="auto"/>
        </w:rPr>
        <w:t>We discuss the April 2011 increase in Sempra Pipelines &amp; Storage’s investments in Chile and Peru in Note 3 of the Notes to Condensed Consolidated Financial Statements herein.</w:t>
      </w:r>
    </w:p>
    <w:p>
      <w:pPr>
        <w:spacing w:after="0" w:line="156"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i w:val="1"/>
          <w:iCs w:val="1"/>
          <w:color w:val="auto"/>
        </w:rPr>
        <w:t xml:space="preserve">Santa Teresa. </w:t>
      </w:r>
      <w:r>
        <w:rPr>
          <w:rFonts w:ascii="Arial" w:cs="Arial" w:eastAsia="Arial" w:hAnsi="Arial"/>
          <w:sz w:val="18"/>
          <w:szCs w:val="18"/>
          <w:color w:val="auto"/>
        </w:rPr>
        <w:t>In May 2011, groundbreaking took place for Santa Teresa, a project at Luz del Sur to build a 98-MW hydroelectric power plant in Peru’s Cusco</w:t>
      </w:r>
      <w:r>
        <w:rPr>
          <w:rFonts w:ascii="Arial" w:cs="Arial" w:eastAsia="Arial" w:hAnsi="Arial"/>
          <w:sz w:val="18"/>
          <w:szCs w:val="18"/>
          <w:i w:val="1"/>
          <w:iCs w:val="1"/>
          <w:color w:val="auto"/>
        </w:rPr>
        <w:t xml:space="preserve"> </w:t>
      </w:r>
      <w:r>
        <w:rPr>
          <w:rFonts w:ascii="Arial" w:cs="Arial" w:eastAsia="Arial" w:hAnsi="Arial"/>
          <w:sz w:val="18"/>
          <w:szCs w:val="18"/>
          <w:color w:val="auto"/>
        </w:rPr>
        <w:t>region. It is planned to be completed in 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340360</wp:posOffset>
            </wp:positionV>
            <wp:extent cx="7263765"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Arial" w:cs="Arial" w:eastAsia="Arial" w:hAnsi="Arial"/>
          <w:sz w:val="20"/>
          <w:szCs w:val="20"/>
          <w:color w:val="auto"/>
        </w:rPr>
        <w:t>CRITICAL ACCOUNTING POLICIES AND ESTIMATES</w:t>
      </w:r>
    </w:p>
    <w:p>
      <w:pPr>
        <w:spacing w:after="0" w:line="191"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We view certain accounting policies as critical because their application is the most relevant, judgmental, and/or material to our financial position and results of operations, and/or because they require the use of material judgments and estimates. We discuss these accounting policies in “Management’s Discussion and Analysis of Financial Condition and Results of Operations” in the Annual Report.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We describe our significant accounting policies in Note 1 of the Notes to Consolidated Financial Statements in the Annual Report.</w:t>
      </w:r>
    </w:p>
    <w:p>
      <w:pPr>
        <w:spacing w:after="0" w:line="225"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In connection with our increased interests in Chilquinta Energía and Luz del Sur, as we discuss in Note 3 of the Notes to Condensed Consolidated Financial Statements herein, Sempra Energy added $959 million in goodwill to its balance sheet as of June 30, 2011.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528955</wp:posOffset>
            </wp:positionV>
            <wp:extent cx="7246620" cy="342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SEMPRA ENERGY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IMPAIRMENT TESTING OF GOODWILL</w:t>
      </w:r>
    </w:p>
    <w:p>
      <w:pPr>
        <w:ind w:left="2120" w:right="180" w:hanging="2119"/>
        <w:spacing w:after="0" w:line="237" w:lineRule="auto"/>
        <w:tabs>
          <w:tab w:leader="none" w:pos="2100" w:val="left"/>
        </w:tabs>
        <w:rPr>
          <w:sz w:val="20"/>
          <w:szCs w:val="20"/>
          <w:color w:val="auto"/>
        </w:rPr>
      </w:pPr>
      <w:r>
        <w:rPr>
          <w:rFonts w:ascii="Arial" w:cs="Arial" w:eastAsia="Arial" w:hAnsi="Arial"/>
          <w:sz w:val="25"/>
          <w:szCs w:val="25"/>
          <w:color w:val="auto"/>
          <w:vertAlign w:val="superscript"/>
        </w:rPr>
        <w:t>Assumptions &amp; Approach Used</w:t>
      </w:r>
      <w:r>
        <w:rPr>
          <w:sz w:val="20"/>
          <w:szCs w:val="20"/>
          <w:color w:val="auto"/>
        </w:rPr>
        <w:tab/>
      </w:r>
      <w:r>
        <w:rPr>
          <w:rFonts w:ascii="Arial" w:cs="Arial" w:eastAsia="Arial" w:hAnsi="Arial"/>
          <w:sz w:val="16"/>
          <w:szCs w:val="16"/>
          <w:color w:val="auto"/>
        </w:rPr>
        <w:t>On an annual basis or whenever events or changes in circumstances necessitate an evaluation, we will consider whether goodwill may be impaired. We exercise judgment to estimate the fair value of the reporting unit and the corresponding goodwill. Critical assumptions and estimates may include</w:t>
      </w:r>
    </w:p>
    <w:p>
      <w:pPr>
        <w:spacing w:after="0" w:line="172" w:lineRule="exact"/>
        <w:rPr>
          <w:sz w:val="20"/>
          <w:szCs w:val="20"/>
          <w:color w:val="auto"/>
        </w:rPr>
      </w:pPr>
    </w:p>
    <w:p>
      <w:pPr>
        <w:ind w:left="2460"/>
        <w:spacing w:after="0"/>
        <w:tabs>
          <w:tab w:leader="none" w:pos="2720" w:val="left"/>
        </w:tabs>
        <w:rPr>
          <w:sz w:val="20"/>
          <w:szCs w:val="20"/>
          <w:color w:val="auto"/>
        </w:rPr>
      </w:pPr>
      <w:r>
        <w:rPr>
          <w:rFonts w:ascii="Arial" w:cs="Arial" w:eastAsia="Arial" w:hAnsi="Arial"/>
          <w:sz w:val="16"/>
          <w:szCs w:val="16"/>
          <w:color w:val="auto"/>
        </w:rPr>
        <w:t>§</w:t>
      </w:r>
      <w:r>
        <w:rPr>
          <w:sz w:val="20"/>
          <w:szCs w:val="20"/>
          <w:color w:val="auto"/>
        </w:rPr>
        <w:tab/>
      </w:r>
      <w:r>
        <w:rPr>
          <w:rFonts w:ascii="Arial" w:cs="Arial" w:eastAsia="Arial" w:hAnsi="Arial"/>
          <w:sz w:val="16"/>
          <w:szCs w:val="16"/>
          <w:color w:val="auto"/>
        </w:rPr>
        <w:t>future cash flows</w:t>
      </w:r>
    </w:p>
    <w:p>
      <w:pPr>
        <w:spacing w:after="0" w:line="248" w:lineRule="exact"/>
        <w:rPr>
          <w:sz w:val="20"/>
          <w:szCs w:val="20"/>
          <w:color w:val="auto"/>
        </w:rPr>
      </w:pPr>
    </w:p>
    <w:p>
      <w:pPr>
        <w:ind w:left="2460"/>
        <w:spacing w:after="0"/>
        <w:tabs>
          <w:tab w:leader="none" w:pos="2720" w:val="left"/>
        </w:tabs>
        <w:rPr>
          <w:sz w:val="20"/>
          <w:szCs w:val="20"/>
          <w:color w:val="auto"/>
        </w:rPr>
      </w:pPr>
      <w:r>
        <w:rPr>
          <w:rFonts w:ascii="Arial" w:cs="Arial" w:eastAsia="Arial" w:hAnsi="Arial"/>
          <w:sz w:val="16"/>
          <w:szCs w:val="16"/>
          <w:color w:val="auto"/>
        </w:rPr>
        <w:t>§</w:t>
      </w:r>
      <w:r>
        <w:rPr>
          <w:sz w:val="20"/>
          <w:szCs w:val="20"/>
          <w:color w:val="auto"/>
        </w:rPr>
        <w:tab/>
      </w:r>
      <w:r>
        <w:rPr>
          <w:rFonts w:ascii="Arial" w:cs="Arial" w:eastAsia="Arial" w:hAnsi="Arial"/>
          <w:sz w:val="16"/>
          <w:szCs w:val="16"/>
          <w:color w:val="auto"/>
        </w:rPr>
        <w:t>the appropriate risk-adjusted discount rate</w:t>
      </w:r>
    </w:p>
    <w:p>
      <w:pPr>
        <w:spacing w:after="0" w:line="248" w:lineRule="exact"/>
        <w:rPr>
          <w:sz w:val="20"/>
          <w:szCs w:val="20"/>
          <w:color w:val="auto"/>
        </w:rPr>
      </w:pPr>
    </w:p>
    <w:p>
      <w:pPr>
        <w:ind w:left="2460"/>
        <w:spacing w:after="0"/>
        <w:tabs>
          <w:tab w:leader="none" w:pos="2720" w:val="left"/>
        </w:tabs>
        <w:rPr>
          <w:sz w:val="20"/>
          <w:szCs w:val="20"/>
          <w:color w:val="auto"/>
        </w:rPr>
      </w:pPr>
      <w:r>
        <w:rPr>
          <w:rFonts w:ascii="Arial" w:cs="Arial" w:eastAsia="Arial" w:hAnsi="Arial"/>
          <w:sz w:val="16"/>
          <w:szCs w:val="16"/>
          <w:color w:val="auto"/>
        </w:rPr>
        <w:t>§</w:t>
      </w:r>
      <w:r>
        <w:rPr>
          <w:sz w:val="20"/>
          <w:szCs w:val="20"/>
          <w:color w:val="auto"/>
        </w:rPr>
        <w:tab/>
      </w:r>
      <w:r>
        <w:rPr>
          <w:rFonts w:ascii="Arial" w:cs="Arial" w:eastAsia="Arial" w:hAnsi="Arial"/>
          <w:sz w:val="16"/>
          <w:szCs w:val="16"/>
          <w:color w:val="auto"/>
        </w:rPr>
        <w:t>country risk</w:t>
      </w:r>
    </w:p>
    <w:p>
      <w:pPr>
        <w:spacing w:after="0" w:line="248" w:lineRule="exact"/>
        <w:rPr>
          <w:sz w:val="20"/>
          <w:szCs w:val="20"/>
          <w:color w:val="auto"/>
        </w:rPr>
      </w:pPr>
    </w:p>
    <w:p>
      <w:pPr>
        <w:ind w:left="2460"/>
        <w:spacing w:after="0"/>
        <w:tabs>
          <w:tab w:leader="none" w:pos="2720" w:val="left"/>
        </w:tabs>
        <w:rPr>
          <w:sz w:val="20"/>
          <w:szCs w:val="20"/>
          <w:color w:val="auto"/>
        </w:rPr>
      </w:pPr>
      <w:r>
        <w:rPr>
          <w:rFonts w:ascii="Arial" w:cs="Arial" w:eastAsia="Arial" w:hAnsi="Arial"/>
          <w:sz w:val="16"/>
          <w:szCs w:val="16"/>
          <w:color w:val="auto"/>
        </w:rPr>
        <w:t>§</w:t>
      </w:r>
      <w:r>
        <w:rPr>
          <w:sz w:val="20"/>
          <w:szCs w:val="20"/>
          <w:color w:val="auto"/>
        </w:rPr>
        <w:tab/>
      </w:r>
      <w:r>
        <w:rPr>
          <w:rFonts w:ascii="Arial" w:cs="Arial" w:eastAsia="Arial" w:hAnsi="Arial"/>
          <w:sz w:val="16"/>
          <w:szCs w:val="16"/>
          <w:color w:val="auto"/>
        </w:rPr>
        <w:t>entity risk</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600" w:type="dxa"/>
            <w:vAlign w:val="bottom"/>
            <w:tcBorders>
              <w:top w:val="single" w:sz="8" w:color="auto"/>
            </w:tcBorders>
          </w:tcPr>
          <w:p>
            <w:pPr>
              <w:spacing w:after="0"/>
              <w:rPr>
                <w:sz w:val="20"/>
                <w:szCs w:val="20"/>
                <w:color w:val="auto"/>
              </w:rPr>
            </w:pPr>
            <w:r>
              <w:rPr>
                <w:rFonts w:ascii="Arial" w:cs="Arial" w:eastAsia="Arial" w:hAnsi="Arial"/>
                <w:sz w:val="13"/>
                <w:szCs w:val="13"/>
                <w:color w:val="auto"/>
              </w:rPr>
              <w:t>Effect if Different</w:t>
            </w:r>
          </w:p>
        </w:tc>
        <w:tc>
          <w:tcPr>
            <w:tcW w:w="9820" w:type="dxa"/>
            <w:vAlign w:val="bottom"/>
            <w:tcBorders>
              <w:top w:val="single" w:sz="8" w:color="auto"/>
            </w:tcBorders>
          </w:tcPr>
          <w:p>
            <w:pPr>
              <w:ind w:left="520"/>
              <w:spacing w:after="0" w:line="162" w:lineRule="exact"/>
              <w:rPr>
                <w:sz w:val="20"/>
                <w:szCs w:val="20"/>
                <w:color w:val="auto"/>
              </w:rPr>
            </w:pPr>
            <w:r>
              <w:rPr>
                <w:rFonts w:ascii="Arial" w:cs="Arial" w:eastAsia="Arial" w:hAnsi="Arial"/>
                <w:sz w:val="16"/>
                <w:szCs w:val="16"/>
                <w:color w:val="auto"/>
              </w:rPr>
              <w:t>When an impairment test is required, the fair value of the reporting unit and goodwill can vary if differing estimates and</w:t>
            </w:r>
          </w:p>
        </w:tc>
      </w:tr>
      <w:tr>
        <w:trPr>
          <w:trHeight w:val="204"/>
        </w:trPr>
        <w:tc>
          <w:tcPr>
            <w:tcW w:w="1600" w:type="dxa"/>
            <w:vAlign w:val="bottom"/>
          </w:tcPr>
          <w:p>
            <w:pPr>
              <w:spacing w:after="0"/>
              <w:rPr>
                <w:sz w:val="20"/>
                <w:szCs w:val="20"/>
                <w:color w:val="auto"/>
              </w:rPr>
            </w:pPr>
            <w:r>
              <w:rPr>
                <w:rFonts w:ascii="Arial" w:cs="Arial" w:eastAsia="Arial" w:hAnsi="Arial"/>
                <w:sz w:val="13"/>
                <w:szCs w:val="13"/>
                <w:color w:val="auto"/>
              </w:rPr>
              <w:t>Assumptions Used</w:t>
            </w:r>
          </w:p>
        </w:tc>
        <w:tc>
          <w:tcPr>
            <w:tcW w:w="9820" w:type="dxa"/>
            <w:vAlign w:val="bottom"/>
          </w:tcPr>
          <w:p>
            <w:pPr>
              <w:ind w:left="520"/>
              <w:spacing w:after="0"/>
              <w:rPr>
                <w:sz w:val="20"/>
                <w:szCs w:val="20"/>
                <w:color w:val="auto"/>
              </w:rPr>
            </w:pPr>
            <w:r>
              <w:rPr>
                <w:rFonts w:ascii="Arial" w:cs="Arial" w:eastAsia="Arial" w:hAnsi="Arial"/>
                <w:sz w:val="16"/>
                <w:szCs w:val="16"/>
                <w:color w:val="auto"/>
              </w:rPr>
              <w:t>assumptions are used in the applied valuation techniques. We discuss goodwill in Notes 3 and 5 of the Notes to Condensed</w:t>
            </w:r>
          </w:p>
        </w:tc>
      </w:tr>
      <w:tr>
        <w:trPr>
          <w:trHeight w:val="194"/>
        </w:trPr>
        <w:tc>
          <w:tcPr>
            <w:tcW w:w="1600" w:type="dxa"/>
            <w:vAlign w:val="bottom"/>
            <w:tcBorders>
              <w:bottom w:val="single" w:sz="8" w:color="auto"/>
            </w:tcBorders>
          </w:tcPr>
          <w:p>
            <w:pPr>
              <w:spacing w:after="0"/>
              <w:rPr>
                <w:sz w:val="16"/>
                <w:szCs w:val="16"/>
                <w:color w:val="auto"/>
              </w:rPr>
            </w:pPr>
          </w:p>
        </w:tc>
        <w:tc>
          <w:tcPr>
            <w:tcW w:w="9820" w:type="dxa"/>
            <w:vAlign w:val="bottom"/>
            <w:tcBorders>
              <w:bottom w:val="single" w:sz="8" w:color="auto"/>
            </w:tcBorders>
          </w:tcPr>
          <w:p>
            <w:pPr>
              <w:ind w:left="520"/>
              <w:spacing w:after="0"/>
              <w:rPr>
                <w:sz w:val="20"/>
                <w:szCs w:val="20"/>
                <w:color w:val="auto"/>
              </w:rPr>
            </w:pPr>
            <w:r>
              <w:rPr>
                <w:rFonts w:ascii="Arial" w:cs="Arial" w:eastAsia="Arial" w:hAnsi="Arial"/>
                <w:sz w:val="16"/>
                <w:szCs w:val="16"/>
                <w:color w:val="auto"/>
              </w:rPr>
              <w:t>Consolidated Financial Statements herein.</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514350</wp:posOffset>
            </wp:positionV>
            <wp:extent cx="7263765"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spacing w:after="0"/>
        <w:rPr>
          <w:sz w:val="20"/>
          <w:szCs w:val="20"/>
          <w:color w:val="auto"/>
        </w:rPr>
      </w:pPr>
      <w:r>
        <w:rPr>
          <w:rFonts w:ascii="Arial" w:cs="Arial" w:eastAsia="Arial" w:hAnsi="Arial"/>
          <w:sz w:val="20"/>
          <w:szCs w:val="20"/>
          <w:color w:val="auto"/>
        </w:rPr>
        <w:t>NEW ACCOUNTING STANDARDS</w:t>
      </w:r>
    </w:p>
    <w:p>
      <w:pPr>
        <w:spacing w:after="0" w:line="191"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We discuss the relevant pronouncements that have recently become effective and have had or may have an impact on our financial statements in Note 2 of the Notes to Condensed Consolidated Financial Statements 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477520</wp:posOffset>
            </wp:positionV>
            <wp:extent cx="7263765"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20"/>
          <w:szCs w:val="20"/>
          <w:color w:val="auto"/>
        </w:rPr>
        <w:t>ITEM 3. QUANTITATIVE AND QUALITATIVE DISCLOSURES ABOUT MARKET RISK</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right="300"/>
        <w:spacing w:after="0" w:line="342" w:lineRule="auto"/>
        <w:rPr>
          <w:sz w:val="20"/>
          <w:szCs w:val="20"/>
          <w:color w:val="auto"/>
        </w:rPr>
      </w:pPr>
      <w:r>
        <w:rPr>
          <w:rFonts w:ascii="Arial" w:cs="Arial" w:eastAsia="Arial" w:hAnsi="Arial"/>
          <w:sz w:val="16"/>
          <w:szCs w:val="16"/>
          <w:color w:val="auto"/>
        </w:rPr>
        <w:t>We provide disclosure regarding derivative activity in Note 7 of the Notes to Condensed Consolidated Financial Statements herein. We discuss our market risk and risk policies in detail in "Management's Discussion and Analysis of Financial Condition and Results of Operations" in the Annual Report.</w:t>
      </w:r>
    </w:p>
    <w:p>
      <w:pPr>
        <w:spacing w:after="0" w:line="3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w:t>
      </w:r>
    </w:p>
    <w:p>
      <w:pPr>
        <w:sectPr>
          <w:pgSz w:w="11900" w:h="16838" w:orient="portrait"/>
          <w:cols w:equalWidth="0" w:num="1">
            <w:col w:w="11420"/>
          </w:cols>
          <w:pgMar w:left="240" w:top="341" w:right="239" w:bottom="0" w:gutter="0" w:footer="0" w:header="0"/>
        </w:sectPr>
      </w:pPr>
    </w:p>
    <w:bookmarkStart w:id="72" w:name="page73"/>
    <w:bookmarkEnd w:id="72"/>
    <w:p>
      <w:pPr>
        <w:ind w:right="320"/>
        <w:spacing w:after="0" w:line="277" w:lineRule="auto"/>
        <w:rPr>
          <w:sz w:val="20"/>
          <w:szCs w:val="20"/>
          <w:color w:val="auto"/>
        </w:rPr>
      </w:pPr>
      <w:r>
        <w:rPr>
          <w:rFonts w:ascii="Arial" w:cs="Arial" w:eastAsia="Arial" w:hAnsi="Arial"/>
          <w:sz w:val="18"/>
          <w:szCs w:val="18"/>
          <w:color w:val="auto"/>
        </w:rPr>
        <w:t>The table below shows the nominal amount and the one-year VaR for long-term debt, excluding commercial paper classified as long-term debt and capital lease obligations, at June 30, 2011 and December 31, 2010:</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180" w:type="dxa"/>
            <w:vAlign w:val="bottom"/>
            <w:gridSpan w:val="3"/>
          </w:tcPr>
          <w:p>
            <w:pPr>
              <w:jc w:val="right"/>
              <w:ind w:right="621"/>
              <w:spacing w:after="0"/>
              <w:rPr>
                <w:sz w:val="20"/>
                <w:szCs w:val="20"/>
                <w:color w:val="auto"/>
              </w:rPr>
            </w:pPr>
            <w:r>
              <w:rPr>
                <w:rFonts w:ascii="Arial" w:cs="Arial" w:eastAsia="Arial" w:hAnsi="Arial"/>
                <w:sz w:val="14"/>
                <w:szCs w:val="14"/>
                <w:color w:val="auto"/>
              </w:rPr>
              <w:t>Sempra Energy</w:t>
            </w:r>
          </w:p>
        </w:tc>
        <w:tc>
          <w:tcPr>
            <w:tcW w:w="2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410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180" w:type="dxa"/>
            <w:vAlign w:val="bottom"/>
            <w:tcBorders>
              <w:bottom w:val="single" w:sz="8" w:color="auto"/>
            </w:tcBorders>
            <w:gridSpan w:val="3"/>
          </w:tcPr>
          <w:p>
            <w:pPr>
              <w:jc w:val="right"/>
              <w:ind w:right="701"/>
              <w:spacing w:after="0" w:line="157" w:lineRule="exact"/>
              <w:rPr>
                <w:sz w:val="20"/>
                <w:szCs w:val="20"/>
                <w:color w:val="auto"/>
              </w:rPr>
            </w:pPr>
            <w:r>
              <w:rPr>
                <w:rFonts w:ascii="Arial" w:cs="Arial" w:eastAsia="Arial" w:hAnsi="Arial"/>
                <w:sz w:val="14"/>
                <w:szCs w:val="14"/>
                <w:color w:val="auto"/>
              </w:rPr>
              <w:t>Consolidated</w:t>
            </w:r>
          </w:p>
        </w:tc>
        <w:tc>
          <w:tcPr>
            <w:tcW w:w="24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gridSpan w:val="2"/>
          </w:tcPr>
          <w:p>
            <w:pPr>
              <w:jc w:val="right"/>
              <w:spacing w:after="0" w:line="157" w:lineRule="exact"/>
              <w:rPr>
                <w:sz w:val="20"/>
                <w:szCs w:val="20"/>
                <w:color w:val="auto"/>
              </w:rPr>
            </w:pPr>
            <w:r>
              <w:rPr>
                <w:rFonts w:ascii="Arial" w:cs="Arial" w:eastAsia="Arial" w:hAnsi="Arial"/>
                <w:sz w:val="14"/>
                <w:szCs w:val="14"/>
                <w:color w:val="auto"/>
              </w:rPr>
              <w:t>SDG&amp;E</w:t>
            </w:r>
          </w:p>
        </w:tc>
        <w:tc>
          <w:tcPr>
            <w:tcW w:w="9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260" w:type="dxa"/>
            <w:vAlign w:val="bottom"/>
            <w:tcBorders>
              <w:bottom w:val="single" w:sz="8" w:color="auto"/>
            </w:tcBorders>
            <w:gridSpan w:val="3"/>
          </w:tcPr>
          <w:p>
            <w:pPr>
              <w:jc w:val="right"/>
              <w:ind w:right="821"/>
              <w:spacing w:after="0" w:line="157" w:lineRule="exact"/>
              <w:rPr>
                <w:sz w:val="20"/>
                <w:szCs w:val="20"/>
                <w:color w:val="auto"/>
              </w:rPr>
            </w:pPr>
            <w:r>
              <w:rPr>
                <w:rFonts w:ascii="Arial" w:cs="Arial" w:eastAsia="Arial" w:hAnsi="Arial"/>
                <w:sz w:val="14"/>
                <w:szCs w:val="14"/>
                <w:color w:val="auto"/>
              </w:rPr>
              <w:t>SoCalGas</w:t>
            </w:r>
          </w:p>
        </w:tc>
        <w:tc>
          <w:tcPr>
            <w:tcW w:w="0" w:type="dxa"/>
            <w:vAlign w:val="bottom"/>
          </w:tcPr>
          <w:p>
            <w:pPr>
              <w:spacing w:after="0"/>
              <w:rPr>
                <w:sz w:val="1"/>
                <w:szCs w:val="1"/>
                <w:color w:val="auto"/>
              </w:rPr>
            </w:pPr>
          </w:p>
        </w:tc>
      </w:tr>
      <w:tr>
        <w:trPr>
          <w:trHeight w:val="180"/>
        </w:trPr>
        <w:tc>
          <w:tcPr>
            <w:tcW w:w="4100" w:type="dxa"/>
            <w:vAlign w:val="bottom"/>
            <w:vMerge w:val="restart"/>
          </w:tcPr>
          <w:p>
            <w:pPr>
              <w:spacing w:after="0"/>
              <w:rPr>
                <w:sz w:val="20"/>
                <w:szCs w:val="20"/>
                <w:color w:val="auto"/>
              </w:rPr>
            </w:pPr>
            <w:r>
              <w:rPr>
                <w:rFonts w:ascii="Arial" w:cs="Arial" w:eastAsia="Arial" w:hAnsi="Arial"/>
                <w:sz w:val="14"/>
                <w:szCs w:val="14"/>
                <w:i w:val="1"/>
                <w:iCs w:val="1"/>
                <w:color w:val="auto"/>
              </w:rPr>
              <w:t>(Dollars in millions)</w:t>
            </w:r>
          </w:p>
        </w:tc>
        <w:tc>
          <w:tcPr>
            <w:tcW w:w="220" w:type="dxa"/>
            <w:vAlign w:val="bottom"/>
          </w:tcPr>
          <w:p>
            <w:pPr>
              <w:spacing w:after="0"/>
              <w:rPr>
                <w:sz w:val="15"/>
                <w:szCs w:val="15"/>
                <w:color w:val="auto"/>
              </w:rPr>
            </w:pPr>
          </w:p>
        </w:tc>
        <w:tc>
          <w:tcPr>
            <w:tcW w:w="960" w:type="dxa"/>
            <w:vAlign w:val="bottom"/>
          </w:tcPr>
          <w:p>
            <w:pPr>
              <w:jc w:val="right"/>
              <w:ind w:right="243"/>
              <w:spacing w:after="0"/>
              <w:rPr>
                <w:sz w:val="20"/>
                <w:szCs w:val="20"/>
                <w:color w:val="auto"/>
              </w:rPr>
            </w:pPr>
            <w:r>
              <w:rPr>
                <w:rFonts w:ascii="Arial" w:cs="Arial" w:eastAsia="Arial" w:hAnsi="Arial"/>
                <w:sz w:val="14"/>
                <w:szCs w:val="14"/>
                <w:color w:val="auto"/>
              </w:rPr>
              <w:t>Nominal</w:t>
            </w:r>
          </w:p>
        </w:tc>
        <w:tc>
          <w:tcPr>
            <w:tcW w:w="220" w:type="dxa"/>
            <w:vAlign w:val="bottom"/>
          </w:tcPr>
          <w:p>
            <w:pPr>
              <w:spacing w:after="0"/>
              <w:rPr>
                <w:sz w:val="15"/>
                <w:szCs w:val="15"/>
                <w:color w:val="auto"/>
              </w:rPr>
            </w:pPr>
          </w:p>
        </w:tc>
        <w:tc>
          <w:tcPr>
            <w:tcW w:w="1000" w:type="dxa"/>
            <w:vAlign w:val="bottom"/>
          </w:tcPr>
          <w:p>
            <w:pPr>
              <w:jc w:val="right"/>
              <w:ind w:right="201"/>
              <w:spacing w:after="0"/>
              <w:rPr>
                <w:sz w:val="20"/>
                <w:szCs w:val="20"/>
                <w:color w:val="auto"/>
              </w:rPr>
            </w:pPr>
            <w:r>
              <w:rPr>
                <w:rFonts w:ascii="Arial" w:cs="Arial" w:eastAsia="Arial" w:hAnsi="Arial"/>
                <w:sz w:val="14"/>
                <w:szCs w:val="14"/>
                <w:color w:val="auto"/>
              </w:rPr>
              <w:t>One-Year</w:t>
            </w:r>
          </w:p>
        </w:tc>
        <w:tc>
          <w:tcPr>
            <w:tcW w:w="240" w:type="dxa"/>
            <w:vAlign w:val="bottom"/>
          </w:tcPr>
          <w:p>
            <w:pPr>
              <w:spacing w:after="0"/>
              <w:rPr>
                <w:sz w:val="15"/>
                <w:szCs w:val="15"/>
                <w:color w:val="auto"/>
              </w:rPr>
            </w:pPr>
          </w:p>
        </w:tc>
        <w:tc>
          <w:tcPr>
            <w:tcW w:w="980" w:type="dxa"/>
            <w:vAlign w:val="bottom"/>
          </w:tcPr>
          <w:p>
            <w:pPr>
              <w:jc w:val="right"/>
              <w:ind w:right="262"/>
              <w:spacing w:after="0"/>
              <w:rPr>
                <w:sz w:val="20"/>
                <w:szCs w:val="20"/>
                <w:color w:val="auto"/>
              </w:rPr>
            </w:pPr>
            <w:r>
              <w:rPr>
                <w:rFonts w:ascii="Arial" w:cs="Arial" w:eastAsia="Arial" w:hAnsi="Arial"/>
                <w:sz w:val="14"/>
                <w:szCs w:val="14"/>
                <w:color w:val="auto"/>
              </w:rPr>
              <w:t>Nominal</w:t>
            </w:r>
          </w:p>
        </w:tc>
        <w:tc>
          <w:tcPr>
            <w:tcW w:w="300" w:type="dxa"/>
            <w:vAlign w:val="bottom"/>
          </w:tcPr>
          <w:p>
            <w:pPr>
              <w:spacing w:after="0"/>
              <w:rPr>
                <w:sz w:val="15"/>
                <w:szCs w:val="15"/>
                <w:color w:val="auto"/>
              </w:rPr>
            </w:pPr>
          </w:p>
        </w:tc>
        <w:tc>
          <w:tcPr>
            <w:tcW w:w="900" w:type="dxa"/>
            <w:vAlign w:val="bottom"/>
          </w:tcPr>
          <w:p>
            <w:pPr>
              <w:jc w:val="right"/>
              <w:ind w:right="201"/>
              <w:spacing w:after="0"/>
              <w:rPr>
                <w:sz w:val="20"/>
                <w:szCs w:val="20"/>
                <w:color w:val="auto"/>
              </w:rPr>
            </w:pPr>
            <w:r>
              <w:rPr>
                <w:rFonts w:ascii="Arial" w:cs="Arial" w:eastAsia="Arial" w:hAnsi="Arial"/>
                <w:sz w:val="14"/>
                <w:szCs w:val="14"/>
                <w:color w:val="auto"/>
                <w:w w:val="98"/>
              </w:rPr>
              <w:t>One-Year</w:t>
            </w:r>
          </w:p>
        </w:tc>
        <w:tc>
          <w:tcPr>
            <w:tcW w:w="240" w:type="dxa"/>
            <w:vAlign w:val="bottom"/>
          </w:tcPr>
          <w:p>
            <w:pPr>
              <w:spacing w:after="0"/>
              <w:rPr>
                <w:sz w:val="15"/>
                <w:szCs w:val="15"/>
                <w:color w:val="auto"/>
              </w:rPr>
            </w:pPr>
          </w:p>
        </w:tc>
        <w:tc>
          <w:tcPr>
            <w:tcW w:w="1000" w:type="dxa"/>
            <w:vAlign w:val="bottom"/>
          </w:tcPr>
          <w:p>
            <w:pPr>
              <w:jc w:val="right"/>
              <w:ind w:right="262"/>
              <w:spacing w:after="0"/>
              <w:rPr>
                <w:sz w:val="20"/>
                <w:szCs w:val="20"/>
                <w:color w:val="auto"/>
              </w:rPr>
            </w:pPr>
            <w:r>
              <w:rPr>
                <w:rFonts w:ascii="Arial" w:cs="Arial" w:eastAsia="Arial" w:hAnsi="Arial"/>
                <w:sz w:val="14"/>
                <w:szCs w:val="14"/>
                <w:color w:val="auto"/>
              </w:rPr>
              <w:t>Nominal</w:t>
            </w:r>
          </w:p>
        </w:tc>
        <w:tc>
          <w:tcPr>
            <w:tcW w:w="220" w:type="dxa"/>
            <w:vAlign w:val="bottom"/>
          </w:tcPr>
          <w:p>
            <w:pPr>
              <w:spacing w:after="0"/>
              <w:rPr>
                <w:sz w:val="15"/>
                <w:szCs w:val="15"/>
                <w:color w:val="auto"/>
              </w:rPr>
            </w:pPr>
          </w:p>
        </w:tc>
        <w:tc>
          <w:tcPr>
            <w:tcW w:w="1040" w:type="dxa"/>
            <w:vAlign w:val="bottom"/>
          </w:tcPr>
          <w:p>
            <w:pPr>
              <w:jc w:val="right"/>
              <w:ind w:right="241"/>
              <w:spacing w:after="0"/>
              <w:rPr>
                <w:sz w:val="20"/>
                <w:szCs w:val="20"/>
                <w:color w:val="auto"/>
              </w:rPr>
            </w:pPr>
            <w:r>
              <w:rPr>
                <w:rFonts w:ascii="Arial" w:cs="Arial" w:eastAsia="Arial" w:hAnsi="Arial"/>
                <w:sz w:val="14"/>
                <w:szCs w:val="14"/>
                <w:color w:val="auto"/>
              </w:rPr>
              <w:t>One-Year</w:t>
            </w:r>
          </w:p>
        </w:tc>
        <w:tc>
          <w:tcPr>
            <w:tcW w:w="0" w:type="dxa"/>
            <w:vAlign w:val="bottom"/>
          </w:tcPr>
          <w:p>
            <w:pPr>
              <w:spacing w:after="0"/>
              <w:rPr>
                <w:sz w:val="1"/>
                <w:szCs w:val="1"/>
                <w:color w:val="auto"/>
              </w:rPr>
            </w:pPr>
          </w:p>
        </w:tc>
      </w:tr>
      <w:tr>
        <w:trPr>
          <w:trHeight w:val="164"/>
        </w:trPr>
        <w:tc>
          <w:tcPr>
            <w:tcW w:w="4100" w:type="dxa"/>
            <w:vAlign w:val="bottom"/>
            <w:tcBorders>
              <w:bottom w:val="single" w:sz="8" w:color="auto"/>
            </w:tcBorders>
            <w:vMerge w:val="continue"/>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343"/>
              <w:spacing w:after="0" w:line="157" w:lineRule="exact"/>
              <w:rPr>
                <w:sz w:val="20"/>
                <w:szCs w:val="20"/>
                <w:color w:val="auto"/>
              </w:rPr>
            </w:pPr>
            <w:r>
              <w:rPr>
                <w:rFonts w:ascii="Arial" w:cs="Arial" w:eastAsia="Arial" w:hAnsi="Arial"/>
                <w:sz w:val="14"/>
                <w:szCs w:val="14"/>
                <w:color w:val="auto"/>
              </w:rPr>
              <w:t>Debt</w:t>
            </w:r>
          </w:p>
        </w:tc>
        <w:tc>
          <w:tcPr>
            <w:tcW w:w="2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281"/>
              <w:spacing w:after="0" w:line="157" w:lineRule="exact"/>
              <w:rPr>
                <w:sz w:val="20"/>
                <w:szCs w:val="20"/>
                <w:color w:val="auto"/>
              </w:rPr>
            </w:pPr>
            <w:r>
              <w:rPr>
                <w:rFonts w:ascii="Arial" w:cs="Arial" w:eastAsia="Arial" w:hAnsi="Arial"/>
                <w:sz w:val="14"/>
                <w:szCs w:val="14"/>
                <w:color w:val="auto"/>
              </w:rPr>
              <w:t>VaR(1)</w:t>
            </w:r>
          </w:p>
        </w:tc>
        <w:tc>
          <w:tcPr>
            <w:tcW w:w="24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362"/>
              <w:spacing w:after="0" w:line="157" w:lineRule="exact"/>
              <w:rPr>
                <w:sz w:val="20"/>
                <w:szCs w:val="20"/>
                <w:color w:val="auto"/>
              </w:rPr>
            </w:pPr>
            <w:r>
              <w:rPr>
                <w:rFonts w:ascii="Arial" w:cs="Arial" w:eastAsia="Arial" w:hAnsi="Arial"/>
                <w:sz w:val="14"/>
                <w:szCs w:val="14"/>
                <w:color w:val="auto"/>
              </w:rPr>
              <w:t>Debt</w:t>
            </w:r>
          </w:p>
        </w:tc>
        <w:tc>
          <w:tcPr>
            <w:tcW w:w="3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281"/>
              <w:spacing w:after="0" w:line="157" w:lineRule="exact"/>
              <w:rPr>
                <w:sz w:val="20"/>
                <w:szCs w:val="20"/>
                <w:color w:val="auto"/>
              </w:rPr>
            </w:pPr>
            <w:r>
              <w:rPr>
                <w:rFonts w:ascii="Arial" w:cs="Arial" w:eastAsia="Arial" w:hAnsi="Arial"/>
                <w:sz w:val="14"/>
                <w:szCs w:val="14"/>
                <w:color w:val="auto"/>
              </w:rPr>
              <w:t>VaR(1)</w:t>
            </w:r>
          </w:p>
        </w:tc>
        <w:tc>
          <w:tcPr>
            <w:tcW w:w="24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362"/>
              <w:spacing w:after="0" w:line="157" w:lineRule="exact"/>
              <w:rPr>
                <w:sz w:val="20"/>
                <w:szCs w:val="20"/>
                <w:color w:val="auto"/>
              </w:rPr>
            </w:pPr>
            <w:r>
              <w:rPr>
                <w:rFonts w:ascii="Arial" w:cs="Arial" w:eastAsia="Arial" w:hAnsi="Arial"/>
                <w:sz w:val="14"/>
                <w:szCs w:val="14"/>
                <w:color w:val="auto"/>
              </w:rPr>
              <w:t>Debt</w:t>
            </w:r>
          </w:p>
        </w:tc>
        <w:tc>
          <w:tcPr>
            <w:tcW w:w="2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321"/>
              <w:spacing w:after="0" w:line="157" w:lineRule="exact"/>
              <w:rPr>
                <w:sz w:val="20"/>
                <w:szCs w:val="20"/>
                <w:color w:val="auto"/>
              </w:rPr>
            </w:pPr>
            <w:r>
              <w:rPr>
                <w:rFonts w:ascii="Arial" w:cs="Arial" w:eastAsia="Arial" w:hAnsi="Arial"/>
                <w:sz w:val="14"/>
                <w:szCs w:val="14"/>
                <w:color w:val="auto"/>
              </w:rPr>
              <w:t>VaR(1)</w:t>
            </w:r>
          </w:p>
        </w:tc>
        <w:tc>
          <w:tcPr>
            <w:tcW w:w="0" w:type="dxa"/>
            <w:vAlign w:val="bottom"/>
          </w:tcPr>
          <w:p>
            <w:pPr>
              <w:spacing w:after="0"/>
              <w:rPr>
                <w:sz w:val="1"/>
                <w:szCs w:val="1"/>
                <w:color w:val="auto"/>
              </w:rPr>
            </w:pPr>
          </w:p>
        </w:tc>
      </w:tr>
      <w:tr>
        <w:trPr>
          <w:trHeight w:val="164"/>
        </w:trPr>
        <w:tc>
          <w:tcPr>
            <w:tcW w:w="4100" w:type="dxa"/>
            <w:vAlign w:val="bottom"/>
          </w:tcPr>
          <w:p>
            <w:pPr>
              <w:spacing w:after="0" w:line="164" w:lineRule="exact"/>
              <w:rPr>
                <w:sz w:val="20"/>
                <w:szCs w:val="20"/>
                <w:color w:val="auto"/>
              </w:rPr>
            </w:pPr>
            <w:r>
              <w:rPr>
                <w:rFonts w:ascii="Arial" w:cs="Arial" w:eastAsia="Arial" w:hAnsi="Arial"/>
                <w:sz w:val="16"/>
                <w:szCs w:val="16"/>
                <w:color w:val="auto"/>
              </w:rPr>
              <w:t>At June 30, 2011:</w:t>
            </w:r>
          </w:p>
        </w:tc>
        <w:tc>
          <w:tcPr>
            <w:tcW w:w="2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4100" w:type="dxa"/>
            <w:vAlign w:val="bottom"/>
          </w:tcPr>
          <w:p>
            <w:pPr>
              <w:ind w:left="180"/>
              <w:spacing w:after="0" w:line="176" w:lineRule="exact"/>
              <w:rPr>
                <w:sz w:val="20"/>
                <w:szCs w:val="20"/>
                <w:color w:val="auto"/>
              </w:rPr>
            </w:pPr>
            <w:r>
              <w:rPr>
                <w:rFonts w:ascii="Arial" w:cs="Arial" w:eastAsia="Arial" w:hAnsi="Arial"/>
                <w:sz w:val="16"/>
                <w:szCs w:val="16"/>
                <w:color w:val="auto"/>
              </w:rPr>
              <w:t>Sempra Utilities fixed-rate</w:t>
            </w:r>
          </w:p>
        </w:tc>
        <w:tc>
          <w:tcPr>
            <w:tcW w:w="220" w:type="dxa"/>
            <w:vAlign w:val="bottom"/>
          </w:tcPr>
          <w:p>
            <w:pPr>
              <w:jc w:val="right"/>
              <w:ind w:right="39"/>
              <w:spacing w:after="0" w:line="176" w:lineRule="exact"/>
              <w:rPr>
                <w:sz w:val="20"/>
                <w:szCs w:val="20"/>
                <w:color w:val="auto"/>
              </w:rPr>
            </w:pPr>
            <w:r>
              <w:rPr>
                <w:rFonts w:ascii="Arial" w:cs="Arial" w:eastAsia="Arial" w:hAnsi="Arial"/>
                <w:sz w:val="16"/>
                <w:szCs w:val="16"/>
                <w:color w:val="auto"/>
                <w:w w:val="89"/>
              </w:rPr>
              <w:t>$</w:t>
            </w:r>
          </w:p>
        </w:tc>
        <w:tc>
          <w:tcPr>
            <w:tcW w:w="960" w:type="dxa"/>
            <w:vAlign w:val="bottom"/>
          </w:tcPr>
          <w:p>
            <w:pPr>
              <w:jc w:val="right"/>
              <w:spacing w:after="0" w:line="176" w:lineRule="exact"/>
              <w:rPr>
                <w:sz w:val="20"/>
                <w:szCs w:val="20"/>
                <w:color w:val="auto"/>
              </w:rPr>
            </w:pPr>
            <w:r>
              <w:rPr>
                <w:rFonts w:ascii="Arial" w:cs="Arial" w:eastAsia="Arial" w:hAnsi="Arial"/>
                <w:sz w:val="16"/>
                <w:szCs w:val="16"/>
                <w:color w:val="auto"/>
              </w:rPr>
              <w:t>4,016</w:t>
            </w:r>
          </w:p>
        </w:tc>
        <w:tc>
          <w:tcPr>
            <w:tcW w:w="220" w:type="dxa"/>
            <w:vAlign w:val="bottom"/>
          </w:tcPr>
          <w:p>
            <w:pPr>
              <w:jc w:val="right"/>
              <w:ind w:right="19"/>
              <w:spacing w:after="0" w:line="176" w:lineRule="exact"/>
              <w:rPr>
                <w:sz w:val="20"/>
                <w:szCs w:val="20"/>
                <w:color w:val="auto"/>
              </w:rPr>
            </w:pPr>
            <w:r>
              <w:rPr>
                <w:rFonts w:ascii="Arial" w:cs="Arial" w:eastAsia="Arial" w:hAnsi="Arial"/>
                <w:sz w:val="16"/>
                <w:szCs w:val="16"/>
                <w:color w:val="auto"/>
              </w:rPr>
              <w:t>$</w:t>
            </w:r>
          </w:p>
        </w:tc>
        <w:tc>
          <w:tcPr>
            <w:tcW w:w="1000" w:type="dxa"/>
            <w:vAlign w:val="bottom"/>
          </w:tcPr>
          <w:p>
            <w:pPr>
              <w:jc w:val="right"/>
              <w:spacing w:after="0" w:line="176" w:lineRule="exact"/>
              <w:rPr>
                <w:sz w:val="20"/>
                <w:szCs w:val="20"/>
                <w:color w:val="auto"/>
              </w:rPr>
            </w:pPr>
            <w:r>
              <w:rPr>
                <w:rFonts w:ascii="Arial" w:cs="Arial" w:eastAsia="Arial" w:hAnsi="Arial"/>
                <w:sz w:val="16"/>
                <w:szCs w:val="16"/>
                <w:color w:val="auto"/>
              </w:rPr>
              <w:t>571</w:t>
            </w:r>
          </w:p>
        </w:tc>
        <w:tc>
          <w:tcPr>
            <w:tcW w:w="240" w:type="dxa"/>
            <w:vAlign w:val="bottom"/>
          </w:tcPr>
          <w:p>
            <w:pPr>
              <w:jc w:val="right"/>
              <w:ind w:right="59"/>
              <w:spacing w:after="0" w:line="176" w:lineRule="exact"/>
              <w:rPr>
                <w:sz w:val="20"/>
                <w:szCs w:val="20"/>
                <w:color w:val="auto"/>
              </w:rPr>
            </w:pPr>
            <w:r>
              <w:rPr>
                <w:rFonts w:ascii="Arial" w:cs="Arial" w:eastAsia="Arial" w:hAnsi="Arial"/>
                <w:sz w:val="16"/>
                <w:szCs w:val="16"/>
                <w:color w:val="auto"/>
                <w:w w:val="89"/>
              </w:rPr>
              <w:t>$</w:t>
            </w:r>
          </w:p>
        </w:tc>
        <w:tc>
          <w:tcPr>
            <w:tcW w:w="980" w:type="dxa"/>
            <w:vAlign w:val="bottom"/>
          </w:tcPr>
          <w:p>
            <w:pPr>
              <w:jc w:val="right"/>
              <w:spacing w:after="0" w:line="176" w:lineRule="exact"/>
              <w:rPr>
                <w:sz w:val="20"/>
                <w:szCs w:val="20"/>
                <w:color w:val="auto"/>
              </w:rPr>
            </w:pPr>
            <w:r>
              <w:rPr>
                <w:rFonts w:ascii="Arial" w:cs="Arial" w:eastAsia="Arial" w:hAnsi="Arial"/>
                <w:sz w:val="16"/>
                <w:szCs w:val="16"/>
                <w:color w:val="auto"/>
              </w:rPr>
              <w:t>2,704</w:t>
            </w:r>
          </w:p>
        </w:tc>
        <w:tc>
          <w:tcPr>
            <w:tcW w:w="300" w:type="dxa"/>
            <w:vAlign w:val="bottom"/>
          </w:tcPr>
          <w:p>
            <w:pPr>
              <w:jc w:val="right"/>
              <w:ind w:right="119"/>
              <w:spacing w:after="0" w:line="176" w:lineRule="exact"/>
              <w:rPr>
                <w:sz w:val="20"/>
                <w:szCs w:val="20"/>
                <w:color w:val="auto"/>
              </w:rPr>
            </w:pPr>
            <w:r>
              <w:rPr>
                <w:rFonts w:ascii="Arial" w:cs="Arial" w:eastAsia="Arial" w:hAnsi="Arial"/>
                <w:sz w:val="16"/>
                <w:szCs w:val="16"/>
                <w:color w:val="auto"/>
                <w:w w:val="89"/>
              </w:rPr>
              <w:t>$</w:t>
            </w:r>
          </w:p>
        </w:tc>
        <w:tc>
          <w:tcPr>
            <w:tcW w:w="900" w:type="dxa"/>
            <w:vAlign w:val="bottom"/>
          </w:tcPr>
          <w:p>
            <w:pPr>
              <w:jc w:val="right"/>
              <w:spacing w:after="0" w:line="176" w:lineRule="exact"/>
              <w:rPr>
                <w:sz w:val="20"/>
                <w:szCs w:val="20"/>
                <w:color w:val="auto"/>
              </w:rPr>
            </w:pPr>
            <w:r>
              <w:rPr>
                <w:rFonts w:ascii="Arial" w:cs="Arial" w:eastAsia="Arial" w:hAnsi="Arial"/>
                <w:sz w:val="16"/>
                <w:szCs w:val="16"/>
                <w:color w:val="auto"/>
              </w:rPr>
              <w:t>430</w:t>
            </w:r>
          </w:p>
        </w:tc>
        <w:tc>
          <w:tcPr>
            <w:tcW w:w="240" w:type="dxa"/>
            <w:vAlign w:val="bottom"/>
          </w:tcPr>
          <w:p>
            <w:pPr>
              <w:jc w:val="right"/>
              <w:ind w:right="39"/>
              <w:spacing w:after="0" w:line="176" w:lineRule="exact"/>
              <w:rPr>
                <w:sz w:val="20"/>
                <w:szCs w:val="20"/>
                <w:color w:val="auto"/>
              </w:rPr>
            </w:pPr>
            <w:r>
              <w:rPr>
                <w:rFonts w:ascii="Arial" w:cs="Arial" w:eastAsia="Arial" w:hAnsi="Arial"/>
                <w:sz w:val="16"/>
                <w:szCs w:val="16"/>
                <w:color w:val="auto"/>
              </w:rPr>
              <w:t>$</w:t>
            </w:r>
          </w:p>
        </w:tc>
        <w:tc>
          <w:tcPr>
            <w:tcW w:w="1000" w:type="dxa"/>
            <w:vAlign w:val="bottom"/>
          </w:tcPr>
          <w:p>
            <w:pPr>
              <w:jc w:val="right"/>
              <w:spacing w:after="0" w:line="176" w:lineRule="exact"/>
              <w:rPr>
                <w:sz w:val="20"/>
                <w:szCs w:val="20"/>
                <w:color w:val="auto"/>
              </w:rPr>
            </w:pPr>
            <w:r>
              <w:rPr>
                <w:rFonts w:ascii="Arial" w:cs="Arial" w:eastAsia="Arial" w:hAnsi="Arial"/>
                <w:sz w:val="16"/>
                <w:szCs w:val="16"/>
                <w:color w:val="auto"/>
              </w:rPr>
              <w:t>1,312</w:t>
            </w:r>
          </w:p>
        </w:tc>
        <w:tc>
          <w:tcPr>
            <w:tcW w:w="220" w:type="dxa"/>
            <w:vAlign w:val="bottom"/>
          </w:tcPr>
          <w:p>
            <w:pPr>
              <w:jc w:val="right"/>
              <w:ind w:right="39"/>
              <w:spacing w:after="0" w:line="176" w:lineRule="exact"/>
              <w:rPr>
                <w:sz w:val="20"/>
                <w:szCs w:val="20"/>
                <w:color w:val="auto"/>
              </w:rPr>
            </w:pPr>
            <w:r>
              <w:rPr>
                <w:rFonts w:ascii="Arial" w:cs="Arial" w:eastAsia="Arial" w:hAnsi="Arial"/>
                <w:sz w:val="16"/>
                <w:szCs w:val="16"/>
                <w:color w:val="auto"/>
                <w:w w:val="89"/>
              </w:rPr>
              <w:t>$</w:t>
            </w:r>
          </w:p>
        </w:tc>
        <w:tc>
          <w:tcPr>
            <w:tcW w:w="1040" w:type="dxa"/>
            <w:vAlign w:val="bottom"/>
          </w:tcPr>
          <w:p>
            <w:pPr>
              <w:jc w:val="right"/>
              <w:spacing w:after="0" w:line="176" w:lineRule="exact"/>
              <w:rPr>
                <w:sz w:val="20"/>
                <w:szCs w:val="20"/>
                <w:color w:val="auto"/>
              </w:rPr>
            </w:pPr>
            <w:r>
              <w:rPr>
                <w:rFonts w:ascii="Arial" w:cs="Arial" w:eastAsia="Arial" w:hAnsi="Arial"/>
                <w:sz w:val="16"/>
                <w:szCs w:val="16"/>
                <w:color w:val="auto"/>
              </w:rPr>
              <w:t>140</w:t>
            </w:r>
          </w:p>
        </w:tc>
        <w:tc>
          <w:tcPr>
            <w:tcW w:w="0" w:type="dxa"/>
            <w:vAlign w:val="bottom"/>
          </w:tcPr>
          <w:p>
            <w:pPr>
              <w:spacing w:after="0"/>
              <w:rPr>
                <w:sz w:val="1"/>
                <w:szCs w:val="1"/>
                <w:color w:val="auto"/>
              </w:rPr>
            </w:pPr>
          </w:p>
        </w:tc>
      </w:tr>
      <w:tr>
        <w:trPr>
          <w:trHeight w:val="176"/>
        </w:trPr>
        <w:tc>
          <w:tcPr>
            <w:tcW w:w="4100" w:type="dxa"/>
            <w:vAlign w:val="bottom"/>
          </w:tcPr>
          <w:p>
            <w:pPr>
              <w:ind w:left="180"/>
              <w:spacing w:after="0" w:line="176" w:lineRule="exact"/>
              <w:rPr>
                <w:sz w:val="20"/>
                <w:szCs w:val="20"/>
                <w:color w:val="auto"/>
              </w:rPr>
            </w:pPr>
            <w:r>
              <w:rPr>
                <w:rFonts w:ascii="Arial" w:cs="Arial" w:eastAsia="Arial" w:hAnsi="Arial"/>
                <w:sz w:val="16"/>
                <w:szCs w:val="16"/>
                <w:color w:val="auto"/>
              </w:rPr>
              <w:t>Sempra Utilities variable-rate</w:t>
            </w:r>
          </w:p>
        </w:tc>
        <w:tc>
          <w:tcPr>
            <w:tcW w:w="220" w:type="dxa"/>
            <w:vAlign w:val="bottom"/>
          </w:tcPr>
          <w:p>
            <w:pPr>
              <w:spacing w:after="0"/>
              <w:rPr>
                <w:sz w:val="15"/>
                <w:szCs w:val="15"/>
                <w:color w:val="auto"/>
              </w:rPr>
            </w:pPr>
          </w:p>
        </w:tc>
        <w:tc>
          <w:tcPr>
            <w:tcW w:w="960" w:type="dxa"/>
            <w:vAlign w:val="bottom"/>
          </w:tcPr>
          <w:p>
            <w:pPr>
              <w:jc w:val="right"/>
              <w:spacing w:after="0" w:line="176" w:lineRule="exact"/>
              <w:rPr>
                <w:sz w:val="20"/>
                <w:szCs w:val="20"/>
                <w:color w:val="auto"/>
              </w:rPr>
            </w:pPr>
            <w:r>
              <w:rPr>
                <w:rFonts w:ascii="Arial" w:cs="Arial" w:eastAsia="Arial" w:hAnsi="Arial"/>
                <w:sz w:val="16"/>
                <w:szCs w:val="16"/>
                <w:color w:val="auto"/>
              </w:rPr>
              <w:t>596</w:t>
            </w:r>
          </w:p>
        </w:tc>
        <w:tc>
          <w:tcPr>
            <w:tcW w:w="220" w:type="dxa"/>
            <w:vAlign w:val="bottom"/>
          </w:tcPr>
          <w:p>
            <w:pPr>
              <w:spacing w:after="0"/>
              <w:rPr>
                <w:sz w:val="15"/>
                <w:szCs w:val="15"/>
                <w:color w:val="auto"/>
              </w:rPr>
            </w:pPr>
          </w:p>
        </w:tc>
        <w:tc>
          <w:tcPr>
            <w:tcW w:w="1000" w:type="dxa"/>
            <w:vAlign w:val="bottom"/>
          </w:tcPr>
          <w:p>
            <w:pPr>
              <w:jc w:val="right"/>
              <w:spacing w:after="0" w:line="176" w:lineRule="exact"/>
              <w:rPr>
                <w:sz w:val="20"/>
                <w:szCs w:val="20"/>
                <w:color w:val="auto"/>
              </w:rPr>
            </w:pPr>
            <w:r>
              <w:rPr>
                <w:rFonts w:ascii="Arial" w:cs="Arial" w:eastAsia="Arial" w:hAnsi="Arial"/>
                <w:sz w:val="16"/>
                <w:szCs w:val="16"/>
                <w:color w:val="auto"/>
              </w:rPr>
              <w:t>33</w:t>
            </w:r>
          </w:p>
        </w:tc>
        <w:tc>
          <w:tcPr>
            <w:tcW w:w="240" w:type="dxa"/>
            <w:vAlign w:val="bottom"/>
          </w:tcPr>
          <w:p>
            <w:pPr>
              <w:spacing w:after="0"/>
              <w:rPr>
                <w:sz w:val="15"/>
                <w:szCs w:val="15"/>
                <w:color w:val="auto"/>
              </w:rPr>
            </w:pPr>
          </w:p>
        </w:tc>
        <w:tc>
          <w:tcPr>
            <w:tcW w:w="980" w:type="dxa"/>
            <w:vAlign w:val="bottom"/>
          </w:tcPr>
          <w:p>
            <w:pPr>
              <w:jc w:val="right"/>
              <w:spacing w:after="0" w:line="176" w:lineRule="exact"/>
              <w:rPr>
                <w:sz w:val="20"/>
                <w:szCs w:val="20"/>
                <w:color w:val="auto"/>
              </w:rPr>
            </w:pPr>
            <w:r>
              <w:rPr>
                <w:rFonts w:ascii="Arial" w:cs="Arial" w:eastAsia="Arial" w:hAnsi="Arial"/>
                <w:sz w:val="16"/>
                <w:szCs w:val="16"/>
                <w:color w:val="auto"/>
              </w:rPr>
              <w:t>596</w:t>
            </w:r>
          </w:p>
        </w:tc>
        <w:tc>
          <w:tcPr>
            <w:tcW w:w="300" w:type="dxa"/>
            <w:vAlign w:val="bottom"/>
          </w:tcPr>
          <w:p>
            <w:pPr>
              <w:spacing w:after="0"/>
              <w:rPr>
                <w:sz w:val="15"/>
                <w:szCs w:val="15"/>
                <w:color w:val="auto"/>
              </w:rPr>
            </w:pPr>
          </w:p>
        </w:tc>
        <w:tc>
          <w:tcPr>
            <w:tcW w:w="900" w:type="dxa"/>
            <w:vAlign w:val="bottom"/>
          </w:tcPr>
          <w:p>
            <w:pPr>
              <w:jc w:val="right"/>
              <w:spacing w:after="0" w:line="176" w:lineRule="exact"/>
              <w:rPr>
                <w:sz w:val="20"/>
                <w:szCs w:val="20"/>
                <w:color w:val="auto"/>
              </w:rPr>
            </w:pPr>
            <w:r>
              <w:rPr>
                <w:rFonts w:ascii="Arial" w:cs="Arial" w:eastAsia="Arial" w:hAnsi="Arial"/>
                <w:sz w:val="16"/>
                <w:szCs w:val="16"/>
                <w:color w:val="auto"/>
              </w:rPr>
              <w:t>33</w:t>
            </w:r>
          </w:p>
        </w:tc>
        <w:tc>
          <w:tcPr>
            <w:tcW w:w="240" w:type="dxa"/>
            <w:vAlign w:val="bottom"/>
          </w:tcPr>
          <w:p>
            <w:pPr>
              <w:spacing w:after="0"/>
              <w:rPr>
                <w:sz w:val="15"/>
                <w:szCs w:val="15"/>
                <w:color w:val="auto"/>
              </w:rPr>
            </w:pPr>
          </w:p>
        </w:tc>
        <w:tc>
          <w:tcPr>
            <w:tcW w:w="1000" w:type="dxa"/>
            <w:vAlign w:val="bottom"/>
          </w:tcPr>
          <w:p>
            <w:pPr>
              <w:jc w:val="right"/>
              <w:spacing w:after="0" w:line="176" w:lineRule="exact"/>
              <w:rPr>
                <w:sz w:val="20"/>
                <w:szCs w:val="20"/>
                <w:color w:val="auto"/>
              </w:rPr>
            </w:pPr>
            <w:r>
              <w:rPr>
                <w:rFonts w:ascii="Arial" w:cs="Arial" w:eastAsia="Arial" w:hAnsi="Arial"/>
                <w:sz w:val="16"/>
                <w:szCs w:val="16"/>
                <w:color w:val="auto"/>
              </w:rPr>
              <w:t>―</w:t>
            </w:r>
          </w:p>
        </w:tc>
        <w:tc>
          <w:tcPr>
            <w:tcW w:w="220" w:type="dxa"/>
            <w:vAlign w:val="bottom"/>
          </w:tcPr>
          <w:p>
            <w:pPr>
              <w:spacing w:after="0"/>
              <w:rPr>
                <w:sz w:val="15"/>
                <w:szCs w:val="15"/>
                <w:color w:val="auto"/>
              </w:rPr>
            </w:pPr>
          </w:p>
        </w:tc>
        <w:tc>
          <w:tcPr>
            <w:tcW w:w="1040" w:type="dxa"/>
            <w:vAlign w:val="bottom"/>
          </w:tcPr>
          <w:p>
            <w:pPr>
              <w:jc w:val="right"/>
              <w:spacing w:after="0" w:line="176" w:lineRule="exact"/>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76"/>
        </w:trPr>
        <w:tc>
          <w:tcPr>
            <w:tcW w:w="4100" w:type="dxa"/>
            <w:vAlign w:val="bottom"/>
          </w:tcPr>
          <w:p>
            <w:pPr>
              <w:ind w:left="180"/>
              <w:spacing w:after="0" w:line="176" w:lineRule="exact"/>
              <w:rPr>
                <w:sz w:val="20"/>
                <w:szCs w:val="20"/>
                <w:color w:val="auto"/>
              </w:rPr>
            </w:pPr>
            <w:r>
              <w:rPr>
                <w:rFonts w:ascii="Arial" w:cs="Arial" w:eastAsia="Arial" w:hAnsi="Arial"/>
                <w:sz w:val="16"/>
                <w:szCs w:val="16"/>
                <w:color w:val="auto"/>
              </w:rPr>
              <w:t>All other, fixed-rate and variable-rate</w:t>
            </w:r>
          </w:p>
        </w:tc>
        <w:tc>
          <w:tcPr>
            <w:tcW w:w="220" w:type="dxa"/>
            <w:vAlign w:val="bottom"/>
          </w:tcPr>
          <w:p>
            <w:pPr>
              <w:spacing w:after="0"/>
              <w:rPr>
                <w:sz w:val="15"/>
                <w:szCs w:val="15"/>
                <w:color w:val="auto"/>
              </w:rPr>
            </w:pPr>
          </w:p>
        </w:tc>
        <w:tc>
          <w:tcPr>
            <w:tcW w:w="960" w:type="dxa"/>
            <w:vAlign w:val="bottom"/>
          </w:tcPr>
          <w:p>
            <w:pPr>
              <w:jc w:val="right"/>
              <w:spacing w:after="0" w:line="176" w:lineRule="exact"/>
              <w:rPr>
                <w:sz w:val="20"/>
                <w:szCs w:val="20"/>
                <w:color w:val="auto"/>
              </w:rPr>
            </w:pPr>
            <w:r>
              <w:rPr>
                <w:rFonts w:ascii="Arial" w:cs="Arial" w:eastAsia="Arial" w:hAnsi="Arial"/>
                <w:sz w:val="16"/>
                <w:szCs w:val="16"/>
                <w:color w:val="auto"/>
              </w:rPr>
              <w:t>4,782</w:t>
            </w:r>
          </w:p>
        </w:tc>
        <w:tc>
          <w:tcPr>
            <w:tcW w:w="220" w:type="dxa"/>
            <w:vAlign w:val="bottom"/>
          </w:tcPr>
          <w:p>
            <w:pPr>
              <w:spacing w:after="0"/>
              <w:rPr>
                <w:sz w:val="15"/>
                <w:szCs w:val="15"/>
                <w:color w:val="auto"/>
              </w:rPr>
            </w:pPr>
          </w:p>
        </w:tc>
        <w:tc>
          <w:tcPr>
            <w:tcW w:w="1000" w:type="dxa"/>
            <w:vAlign w:val="bottom"/>
          </w:tcPr>
          <w:p>
            <w:pPr>
              <w:jc w:val="right"/>
              <w:spacing w:after="0" w:line="176" w:lineRule="exact"/>
              <w:rPr>
                <w:sz w:val="20"/>
                <w:szCs w:val="20"/>
                <w:color w:val="auto"/>
              </w:rPr>
            </w:pPr>
            <w:r>
              <w:rPr>
                <w:rFonts w:ascii="Arial" w:cs="Arial" w:eastAsia="Arial" w:hAnsi="Arial"/>
                <w:sz w:val="16"/>
                <w:szCs w:val="16"/>
                <w:color w:val="auto"/>
              </w:rPr>
              <w:t>405</w:t>
            </w:r>
          </w:p>
        </w:tc>
        <w:tc>
          <w:tcPr>
            <w:tcW w:w="240" w:type="dxa"/>
            <w:vAlign w:val="bottom"/>
          </w:tcPr>
          <w:p>
            <w:pPr>
              <w:spacing w:after="0"/>
              <w:rPr>
                <w:sz w:val="15"/>
                <w:szCs w:val="15"/>
                <w:color w:val="auto"/>
              </w:rPr>
            </w:pPr>
          </w:p>
        </w:tc>
        <w:tc>
          <w:tcPr>
            <w:tcW w:w="980" w:type="dxa"/>
            <w:vAlign w:val="bottom"/>
          </w:tcPr>
          <w:p>
            <w:pPr>
              <w:jc w:val="right"/>
              <w:spacing w:after="0" w:line="176" w:lineRule="exact"/>
              <w:rPr>
                <w:sz w:val="20"/>
                <w:szCs w:val="20"/>
                <w:color w:val="auto"/>
              </w:rPr>
            </w:pPr>
            <w:r>
              <w:rPr>
                <w:rFonts w:ascii="Arial" w:cs="Arial" w:eastAsia="Arial" w:hAnsi="Arial"/>
                <w:sz w:val="16"/>
                <w:szCs w:val="16"/>
                <w:color w:val="auto"/>
              </w:rPr>
              <w:t>―</w:t>
            </w:r>
          </w:p>
        </w:tc>
        <w:tc>
          <w:tcPr>
            <w:tcW w:w="300" w:type="dxa"/>
            <w:vAlign w:val="bottom"/>
          </w:tcPr>
          <w:p>
            <w:pPr>
              <w:spacing w:after="0"/>
              <w:rPr>
                <w:sz w:val="15"/>
                <w:szCs w:val="15"/>
                <w:color w:val="auto"/>
              </w:rPr>
            </w:pPr>
          </w:p>
        </w:tc>
        <w:tc>
          <w:tcPr>
            <w:tcW w:w="900" w:type="dxa"/>
            <w:vAlign w:val="bottom"/>
          </w:tcPr>
          <w:p>
            <w:pPr>
              <w:jc w:val="right"/>
              <w:spacing w:after="0" w:line="176" w:lineRule="exact"/>
              <w:rPr>
                <w:sz w:val="20"/>
                <w:szCs w:val="20"/>
                <w:color w:val="auto"/>
              </w:rPr>
            </w:pPr>
            <w:r>
              <w:rPr>
                <w:rFonts w:ascii="Arial" w:cs="Arial" w:eastAsia="Arial" w:hAnsi="Arial"/>
                <w:sz w:val="16"/>
                <w:szCs w:val="16"/>
                <w:color w:val="auto"/>
              </w:rPr>
              <w:t>―</w:t>
            </w:r>
          </w:p>
        </w:tc>
        <w:tc>
          <w:tcPr>
            <w:tcW w:w="240" w:type="dxa"/>
            <w:vAlign w:val="bottom"/>
          </w:tcPr>
          <w:p>
            <w:pPr>
              <w:spacing w:after="0"/>
              <w:rPr>
                <w:sz w:val="15"/>
                <w:szCs w:val="15"/>
                <w:color w:val="auto"/>
              </w:rPr>
            </w:pPr>
          </w:p>
        </w:tc>
        <w:tc>
          <w:tcPr>
            <w:tcW w:w="1000" w:type="dxa"/>
            <w:vAlign w:val="bottom"/>
          </w:tcPr>
          <w:p>
            <w:pPr>
              <w:jc w:val="right"/>
              <w:spacing w:after="0" w:line="176" w:lineRule="exact"/>
              <w:rPr>
                <w:sz w:val="20"/>
                <w:szCs w:val="20"/>
                <w:color w:val="auto"/>
              </w:rPr>
            </w:pPr>
            <w:r>
              <w:rPr>
                <w:rFonts w:ascii="Arial" w:cs="Arial" w:eastAsia="Arial" w:hAnsi="Arial"/>
                <w:sz w:val="16"/>
                <w:szCs w:val="16"/>
                <w:color w:val="auto"/>
              </w:rPr>
              <w:t>―</w:t>
            </w:r>
          </w:p>
        </w:tc>
        <w:tc>
          <w:tcPr>
            <w:tcW w:w="220" w:type="dxa"/>
            <w:vAlign w:val="bottom"/>
          </w:tcPr>
          <w:p>
            <w:pPr>
              <w:spacing w:after="0"/>
              <w:rPr>
                <w:sz w:val="15"/>
                <w:szCs w:val="15"/>
                <w:color w:val="auto"/>
              </w:rPr>
            </w:pPr>
          </w:p>
        </w:tc>
        <w:tc>
          <w:tcPr>
            <w:tcW w:w="1040" w:type="dxa"/>
            <w:vAlign w:val="bottom"/>
          </w:tcPr>
          <w:p>
            <w:pPr>
              <w:jc w:val="right"/>
              <w:spacing w:after="0" w:line="176" w:lineRule="exact"/>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76"/>
        </w:trPr>
        <w:tc>
          <w:tcPr>
            <w:tcW w:w="4100" w:type="dxa"/>
            <w:vAlign w:val="bottom"/>
          </w:tcPr>
          <w:p>
            <w:pPr>
              <w:spacing w:after="0" w:line="176" w:lineRule="exact"/>
              <w:rPr>
                <w:sz w:val="20"/>
                <w:szCs w:val="20"/>
                <w:color w:val="auto"/>
              </w:rPr>
            </w:pPr>
            <w:r>
              <w:rPr>
                <w:rFonts w:ascii="Arial" w:cs="Arial" w:eastAsia="Arial" w:hAnsi="Arial"/>
                <w:sz w:val="16"/>
                <w:szCs w:val="16"/>
                <w:color w:val="auto"/>
              </w:rPr>
              <w:t>At December 31, 2010:</w:t>
            </w:r>
          </w:p>
        </w:tc>
        <w:tc>
          <w:tcPr>
            <w:tcW w:w="2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100" w:type="dxa"/>
            <w:vAlign w:val="bottom"/>
          </w:tcPr>
          <w:p>
            <w:pPr>
              <w:ind w:left="180"/>
              <w:spacing w:after="0" w:line="176" w:lineRule="exact"/>
              <w:rPr>
                <w:sz w:val="20"/>
                <w:szCs w:val="20"/>
                <w:color w:val="auto"/>
              </w:rPr>
            </w:pPr>
            <w:r>
              <w:rPr>
                <w:rFonts w:ascii="Arial" w:cs="Arial" w:eastAsia="Arial" w:hAnsi="Arial"/>
                <w:sz w:val="16"/>
                <w:szCs w:val="16"/>
                <w:color w:val="auto"/>
              </w:rPr>
              <w:t>Sempra Utilities fixed-rate</w:t>
            </w:r>
          </w:p>
        </w:tc>
        <w:tc>
          <w:tcPr>
            <w:tcW w:w="220" w:type="dxa"/>
            <w:vAlign w:val="bottom"/>
          </w:tcPr>
          <w:p>
            <w:pPr>
              <w:jc w:val="right"/>
              <w:ind w:right="39"/>
              <w:spacing w:after="0" w:line="176" w:lineRule="exact"/>
              <w:rPr>
                <w:sz w:val="20"/>
                <w:szCs w:val="20"/>
                <w:color w:val="auto"/>
              </w:rPr>
            </w:pPr>
            <w:r>
              <w:rPr>
                <w:rFonts w:ascii="Arial" w:cs="Arial" w:eastAsia="Arial" w:hAnsi="Arial"/>
                <w:sz w:val="16"/>
                <w:szCs w:val="16"/>
                <w:color w:val="auto"/>
                <w:w w:val="89"/>
              </w:rPr>
              <w:t>$</w:t>
            </w:r>
          </w:p>
        </w:tc>
        <w:tc>
          <w:tcPr>
            <w:tcW w:w="960" w:type="dxa"/>
            <w:vAlign w:val="bottom"/>
          </w:tcPr>
          <w:p>
            <w:pPr>
              <w:jc w:val="right"/>
              <w:spacing w:after="0" w:line="176" w:lineRule="exact"/>
              <w:rPr>
                <w:sz w:val="20"/>
                <w:szCs w:val="20"/>
                <w:color w:val="auto"/>
              </w:rPr>
            </w:pPr>
            <w:r>
              <w:rPr>
                <w:rFonts w:ascii="Arial" w:cs="Arial" w:eastAsia="Arial" w:hAnsi="Arial"/>
                <w:sz w:val="16"/>
                <w:szCs w:val="16"/>
                <w:color w:val="auto"/>
              </w:rPr>
              <w:t>4,117</w:t>
            </w:r>
          </w:p>
        </w:tc>
        <w:tc>
          <w:tcPr>
            <w:tcW w:w="220" w:type="dxa"/>
            <w:vAlign w:val="bottom"/>
          </w:tcPr>
          <w:p>
            <w:pPr>
              <w:jc w:val="right"/>
              <w:ind w:right="19"/>
              <w:spacing w:after="0" w:line="176" w:lineRule="exact"/>
              <w:rPr>
                <w:sz w:val="20"/>
                <w:szCs w:val="20"/>
                <w:color w:val="auto"/>
              </w:rPr>
            </w:pPr>
            <w:r>
              <w:rPr>
                <w:rFonts w:ascii="Arial" w:cs="Arial" w:eastAsia="Arial" w:hAnsi="Arial"/>
                <w:sz w:val="16"/>
                <w:szCs w:val="16"/>
                <w:color w:val="auto"/>
              </w:rPr>
              <w:t>$</w:t>
            </w:r>
          </w:p>
        </w:tc>
        <w:tc>
          <w:tcPr>
            <w:tcW w:w="1000" w:type="dxa"/>
            <w:vAlign w:val="bottom"/>
          </w:tcPr>
          <w:p>
            <w:pPr>
              <w:jc w:val="right"/>
              <w:spacing w:after="0" w:line="176" w:lineRule="exact"/>
              <w:rPr>
                <w:sz w:val="20"/>
                <w:szCs w:val="20"/>
                <w:color w:val="auto"/>
              </w:rPr>
            </w:pPr>
            <w:r>
              <w:rPr>
                <w:rFonts w:ascii="Arial" w:cs="Arial" w:eastAsia="Arial" w:hAnsi="Arial"/>
                <w:sz w:val="16"/>
                <w:szCs w:val="16"/>
                <w:color w:val="auto"/>
              </w:rPr>
              <w:t>787</w:t>
            </w:r>
          </w:p>
        </w:tc>
        <w:tc>
          <w:tcPr>
            <w:tcW w:w="240" w:type="dxa"/>
            <w:vAlign w:val="bottom"/>
          </w:tcPr>
          <w:p>
            <w:pPr>
              <w:jc w:val="right"/>
              <w:ind w:right="59"/>
              <w:spacing w:after="0" w:line="176" w:lineRule="exact"/>
              <w:rPr>
                <w:sz w:val="20"/>
                <w:szCs w:val="20"/>
                <w:color w:val="auto"/>
              </w:rPr>
            </w:pPr>
            <w:r>
              <w:rPr>
                <w:rFonts w:ascii="Arial" w:cs="Arial" w:eastAsia="Arial" w:hAnsi="Arial"/>
                <w:sz w:val="16"/>
                <w:szCs w:val="16"/>
                <w:color w:val="auto"/>
                <w:w w:val="89"/>
              </w:rPr>
              <w:t>$</w:t>
            </w:r>
          </w:p>
        </w:tc>
        <w:tc>
          <w:tcPr>
            <w:tcW w:w="980" w:type="dxa"/>
            <w:vAlign w:val="bottom"/>
          </w:tcPr>
          <w:p>
            <w:pPr>
              <w:jc w:val="right"/>
              <w:spacing w:after="0" w:line="176" w:lineRule="exact"/>
              <w:rPr>
                <w:sz w:val="20"/>
                <w:szCs w:val="20"/>
                <w:color w:val="auto"/>
              </w:rPr>
            </w:pPr>
            <w:r>
              <w:rPr>
                <w:rFonts w:ascii="Arial" w:cs="Arial" w:eastAsia="Arial" w:hAnsi="Arial"/>
                <w:sz w:val="16"/>
                <w:szCs w:val="16"/>
                <w:color w:val="auto"/>
              </w:rPr>
              <w:t>2,704</w:t>
            </w:r>
          </w:p>
        </w:tc>
        <w:tc>
          <w:tcPr>
            <w:tcW w:w="300" w:type="dxa"/>
            <w:vAlign w:val="bottom"/>
          </w:tcPr>
          <w:p>
            <w:pPr>
              <w:jc w:val="right"/>
              <w:ind w:right="119"/>
              <w:spacing w:after="0" w:line="176" w:lineRule="exact"/>
              <w:rPr>
                <w:sz w:val="20"/>
                <w:szCs w:val="20"/>
                <w:color w:val="auto"/>
              </w:rPr>
            </w:pPr>
            <w:r>
              <w:rPr>
                <w:rFonts w:ascii="Arial" w:cs="Arial" w:eastAsia="Arial" w:hAnsi="Arial"/>
                <w:sz w:val="16"/>
                <w:szCs w:val="16"/>
                <w:color w:val="auto"/>
                <w:w w:val="89"/>
              </w:rPr>
              <w:t>$</w:t>
            </w:r>
          </w:p>
        </w:tc>
        <w:tc>
          <w:tcPr>
            <w:tcW w:w="900" w:type="dxa"/>
            <w:vAlign w:val="bottom"/>
          </w:tcPr>
          <w:p>
            <w:pPr>
              <w:jc w:val="right"/>
              <w:spacing w:after="0" w:line="176" w:lineRule="exact"/>
              <w:rPr>
                <w:sz w:val="20"/>
                <w:szCs w:val="20"/>
                <w:color w:val="auto"/>
              </w:rPr>
            </w:pPr>
            <w:r>
              <w:rPr>
                <w:rFonts w:ascii="Arial" w:cs="Arial" w:eastAsia="Arial" w:hAnsi="Arial"/>
                <w:sz w:val="16"/>
                <w:szCs w:val="16"/>
                <w:color w:val="auto"/>
              </w:rPr>
              <w:t>587</w:t>
            </w:r>
          </w:p>
        </w:tc>
        <w:tc>
          <w:tcPr>
            <w:tcW w:w="240" w:type="dxa"/>
            <w:vAlign w:val="bottom"/>
          </w:tcPr>
          <w:p>
            <w:pPr>
              <w:jc w:val="right"/>
              <w:ind w:right="39"/>
              <w:spacing w:after="0" w:line="176" w:lineRule="exact"/>
              <w:rPr>
                <w:sz w:val="20"/>
                <w:szCs w:val="20"/>
                <w:color w:val="auto"/>
              </w:rPr>
            </w:pPr>
            <w:r>
              <w:rPr>
                <w:rFonts w:ascii="Arial" w:cs="Arial" w:eastAsia="Arial" w:hAnsi="Arial"/>
                <w:sz w:val="16"/>
                <w:szCs w:val="16"/>
                <w:color w:val="auto"/>
              </w:rPr>
              <w:t>$</w:t>
            </w:r>
          </w:p>
        </w:tc>
        <w:tc>
          <w:tcPr>
            <w:tcW w:w="1000" w:type="dxa"/>
            <w:vAlign w:val="bottom"/>
          </w:tcPr>
          <w:p>
            <w:pPr>
              <w:jc w:val="right"/>
              <w:spacing w:after="0" w:line="176" w:lineRule="exact"/>
              <w:rPr>
                <w:sz w:val="20"/>
                <w:szCs w:val="20"/>
                <w:color w:val="auto"/>
              </w:rPr>
            </w:pPr>
            <w:r>
              <w:rPr>
                <w:rFonts w:ascii="Arial" w:cs="Arial" w:eastAsia="Arial" w:hAnsi="Arial"/>
                <w:sz w:val="16"/>
                <w:szCs w:val="16"/>
                <w:color w:val="auto"/>
              </w:rPr>
              <w:t>1,413</w:t>
            </w:r>
          </w:p>
        </w:tc>
        <w:tc>
          <w:tcPr>
            <w:tcW w:w="220" w:type="dxa"/>
            <w:vAlign w:val="bottom"/>
          </w:tcPr>
          <w:p>
            <w:pPr>
              <w:jc w:val="right"/>
              <w:ind w:right="39"/>
              <w:spacing w:after="0" w:line="176" w:lineRule="exact"/>
              <w:rPr>
                <w:sz w:val="20"/>
                <w:szCs w:val="20"/>
                <w:color w:val="auto"/>
              </w:rPr>
            </w:pPr>
            <w:r>
              <w:rPr>
                <w:rFonts w:ascii="Arial" w:cs="Arial" w:eastAsia="Arial" w:hAnsi="Arial"/>
                <w:sz w:val="16"/>
                <w:szCs w:val="16"/>
                <w:color w:val="auto"/>
                <w:w w:val="89"/>
              </w:rPr>
              <w:t>$</w:t>
            </w:r>
          </w:p>
        </w:tc>
        <w:tc>
          <w:tcPr>
            <w:tcW w:w="1040" w:type="dxa"/>
            <w:vAlign w:val="bottom"/>
          </w:tcPr>
          <w:p>
            <w:pPr>
              <w:jc w:val="right"/>
              <w:spacing w:after="0" w:line="176" w:lineRule="exact"/>
              <w:rPr>
                <w:sz w:val="20"/>
                <w:szCs w:val="20"/>
                <w:color w:val="auto"/>
              </w:rPr>
            </w:pPr>
            <w:r>
              <w:rPr>
                <w:rFonts w:ascii="Arial" w:cs="Arial" w:eastAsia="Arial" w:hAnsi="Arial"/>
                <w:sz w:val="16"/>
                <w:szCs w:val="16"/>
                <w:color w:val="auto"/>
              </w:rPr>
              <w:t>200</w:t>
            </w:r>
          </w:p>
        </w:tc>
        <w:tc>
          <w:tcPr>
            <w:tcW w:w="0" w:type="dxa"/>
            <w:vAlign w:val="bottom"/>
          </w:tcPr>
          <w:p>
            <w:pPr>
              <w:spacing w:after="0"/>
              <w:rPr>
                <w:sz w:val="1"/>
                <w:szCs w:val="1"/>
                <w:color w:val="auto"/>
              </w:rPr>
            </w:pPr>
          </w:p>
        </w:tc>
      </w:tr>
      <w:tr>
        <w:trPr>
          <w:trHeight w:val="176"/>
        </w:trPr>
        <w:tc>
          <w:tcPr>
            <w:tcW w:w="4100" w:type="dxa"/>
            <w:vAlign w:val="bottom"/>
          </w:tcPr>
          <w:p>
            <w:pPr>
              <w:ind w:left="180"/>
              <w:spacing w:after="0" w:line="176" w:lineRule="exact"/>
              <w:rPr>
                <w:sz w:val="20"/>
                <w:szCs w:val="20"/>
                <w:color w:val="auto"/>
              </w:rPr>
            </w:pPr>
            <w:r>
              <w:rPr>
                <w:rFonts w:ascii="Arial" w:cs="Arial" w:eastAsia="Arial" w:hAnsi="Arial"/>
                <w:sz w:val="16"/>
                <w:szCs w:val="16"/>
                <w:color w:val="auto"/>
              </w:rPr>
              <w:t>Sempra Utilities variable-rate</w:t>
            </w:r>
          </w:p>
        </w:tc>
        <w:tc>
          <w:tcPr>
            <w:tcW w:w="220" w:type="dxa"/>
            <w:vAlign w:val="bottom"/>
          </w:tcPr>
          <w:p>
            <w:pPr>
              <w:spacing w:after="0"/>
              <w:rPr>
                <w:sz w:val="15"/>
                <w:szCs w:val="15"/>
                <w:color w:val="auto"/>
              </w:rPr>
            </w:pPr>
          </w:p>
        </w:tc>
        <w:tc>
          <w:tcPr>
            <w:tcW w:w="960" w:type="dxa"/>
            <w:vAlign w:val="bottom"/>
          </w:tcPr>
          <w:p>
            <w:pPr>
              <w:jc w:val="right"/>
              <w:spacing w:after="0" w:line="176" w:lineRule="exact"/>
              <w:rPr>
                <w:sz w:val="20"/>
                <w:szCs w:val="20"/>
                <w:color w:val="auto"/>
              </w:rPr>
            </w:pPr>
            <w:r>
              <w:rPr>
                <w:rFonts w:ascii="Arial" w:cs="Arial" w:eastAsia="Arial" w:hAnsi="Arial"/>
                <w:sz w:val="16"/>
                <w:szCs w:val="16"/>
                <w:color w:val="auto"/>
              </w:rPr>
              <w:t>751</w:t>
            </w:r>
          </w:p>
        </w:tc>
        <w:tc>
          <w:tcPr>
            <w:tcW w:w="220" w:type="dxa"/>
            <w:vAlign w:val="bottom"/>
          </w:tcPr>
          <w:p>
            <w:pPr>
              <w:spacing w:after="0"/>
              <w:rPr>
                <w:sz w:val="15"/>
                <w:szCs w:val="15"/>
                <w:color w:val="auto"/>
              </w:rPr>
            </w:pPr>
          </w:p>
        </w:tc>
        <w:tc>
          <w:tcPr>
            <w:tcW w:w="1000" w:type="dxa"/>
            <w:vAlign w:val="bottom"/>
          </w:tcPr>
          <w:p>
            <w:pPr>
              <w:jc w:val="right"/>
              <w:spacing w:after="0" w:line="176" w:lineRule="exact"/>
              <w:rPr>
                <w:sz w:val="20"/>
                <w:szCs w:val="20"/>
                <w:color w:val="auto"/>
              </w:rPr>
            </w:pPr>
            <w:r>
              <w:rPr>
                <w:rFonts w:ascii="Arial" w:cs="Arial" w:eastAsia="Arial" w:hAnsi="Arial"/>
                <w:sz w:val="16"/>
                <w:szCs w:val="16"/>
                <w:color w:val="auto"/>
              </w:rPr>
              <w:t>59</w:t>
            </w:r>
          </w:p>
        </w:tc>
        <w:tc>
          <w:tcPr>
            <w:tcW w:w="240" w:type="dxa"/>
            <w:vAlign w:val="bottom"/>
          </w:tcPr>
          <w:p>
            <w:pPr>
              <w:spacing w:after="0"/>
              <w:rPr>
                <w:sz w:val="15"/>
                <w:szCs w:val="15"/>
                <w:color w:val="auto"/>
              </w:rPr>
            </w:pPr>
          </w:p>
        </w:tc>
        <w:tc>
          <w:tcPr>
            <w:tcW w:w="980" w:type="dxa"/>
            <w:vAlign w:val="bottom"/>
          </w:tcPr>
          <w:p>
            <w:pPr>
              <w:jc w:val="right"/>
              <w:spacing w:after="0" w:line="176" w:lineRule="exact"/>
              <w:rPr>
                <w:sz w:val="20"/>
                <w:szCs w:val="20"/>
                <w:color w:val="auto"/>
              </w:rPr>
            </w:pPr>
            <w:r>
              <w:rPr>
                <w:rFonts w:ascii="Arial" w:cs="Arial" w:eastAsia="Arial" w:hAnsi="Arial"/>
                <w:sz w:val="16"/>
                <w:szCs w:val="16"/>
                <w:color w:val="auto"/>
              </w:rPr>
              <w:t>601</w:t>
            </w:r>
          </w:p>
        </w:tc>
        <w:tc>
          <w:tcPr>
            <w:tcW w:w="300" w:type="dxa"/>
            <w:vAlign w:val="bottom"/>
          </w:tcPr>
          <w:p>
            <w:pPr>
              <w:spacing w:after="0"/>
              <w:rPr>
                <w:sz w:val="15"/>
                <w:szCs w:val="15"/>
                <w:color w:val="auto"/>
              </w:rPr>
            </w:pPr>
          </w:p>
        </w:tc>
        <w:tc>
          <w:tcPr>
            <w:tcW w:w="900" w:type="dxa"/>
            <w:vAlign w:val="bottom"/>
          </w:tcPr>
          <w:p>
            <w:pPr>
              <w:jc w:val="right"/>
              <w:spacing w:after="0" w:line="176" w:lineRule="exact"/>
              <w:rPr>
                <w:sz w:val="20"/>
                <w:szCs w:val="20"/>
                <w:color w:val="auto"/>
              </w:rPr>
            </w:pPr>
            <w:r>
              <w:rPr>
                <w:rFonts w:ascii="Arial" w:cs="Arial" w:eastAsia="Arial" w:hAnsi="Arial"/>
                <w:sz w:val="16"/>
                <w:szCs w:val="16"/>
                <w:color w:val="auto"/>
              </w:rPr>
              <w:t>59</w:t>
            </w:r>
          </w:p>
        </w:tc>
        <w:tc>
          <w:tcPr>
            <w:tcW w:w="240" w:type="dxa"/>
            <w:vAlign w:val="bottom"/>
          </w:tcPr>
          <w:p>
            <w:pPr>
              <w:spacing w:after="0"/>
              <w:rPr>
                <w:sz w:val="15"/>
                <w:szCs w:val="15"/>
                <w:color w:val="auto"/>
              </w:rPr>
            </w:pPr>
          </w:p>
        </w:tc>
        <w:tc>
          <w:tcPr>
            <w:tcW w:w="1000" w:type="dxa"/>
            <w:vAlign w:val="bottom"/>
          </w:tcPr>
          <w:p>
            <w:pPr>
              <w:jc w:val="right"/>
              <w:spacing w:after="0" w:line="176" w:lineRule="exact"/>
              <w:rPr>
                <w:sz w:val="20"/>
                <w:szCs w:val="20"/>
                <w:color w:val="auto"/>
              </w:rPr>
            </w:pPr>
            <w:r>
              <w:rPr>
                <w:rFonts w:ascii="Arial" w:cs="Arial" w:eastAsia="Arial" w:hAnsi="Arial"/>
                <w:sz w:val="16"/>
                <w:szCs w:val="16"/>
                <w:color w:val="auto"/>
              </w:rPr>
              <w:t>150</w:t>
            </w:r>
          </w:p>
        </w:tc>
        <w:tc>
          <w:tcPr>
            <w:tcW w:w="220" w:type="dxa"/>
            <w:vAlign w:val="bottom"/>
          </w:tcPr>
          <w:p>
            <w:pPr>
              <w:spacing w:after="0"/>
              <w:rPr>
                <w:sz w:val="15"/>
                <w:szCs w:val="15"/>
                <w:color w:val="auto"/>
              </w:rPr>
            </w:pPr>
          </w:p>
        </w:tc>
        <w:tc>
          <w:tcPr>
            <w:tcW w:w="1040" w:type="dxa"/>
            <w:vAlign w:val="bottom"/>
          </w:tcPr>
          <w:p>
            <w:pPr>
              <w:jc w:val="right"/>
              <w:spacing w:after="0" w:line="176" w:lineRule="exact"/>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5"/>
        </w:trPr>
        <w:tc>
          <w:tcPr>
            <w:tcW w:w="4100" w:type="dxa"/>
            <w:vAlign w:val="bottom"/>
          </w:tcPr>
          <w:p>
            <w:pPr>
              <w:ind w:left="180"/>
              <w:spacing w:after="0"/>
              <w:rPr>
                <w:sz w:val="20"/>
                <w:szCs w:val="20"/>
                <w:color w:val="auto"/>
              </w:rPr>
            </w:pPr>
            <w:r>
              <w:rPr>
                <w:rFonts w:ascii="Arial" w:cs="Arial" w:eastAsia="Arial" w:hAnsi="Arial"/>
                <w:sz w:val="16"/>
                <w:szCs w:val="16"/>
                <w:color w:val="auto"/>
              </w:rPr>
              <w:t>All other, fixed-rate and variable-rate</w:t>
            </w:r>
          </w:p>
        </w:tc>
        <w:tc>
          <w:tcPr>
            <w:tcW w:w="22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3,459</w:t>
            </w:r>
          </w:p>
        </w:tc>
        <w:tc>
          <w:tcPr>
            <w:tcW w:w="2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509</w:t>
            </w:r>
          </w:p>
        </w:tc>
        <w:tc>
          <w:tcPr>
            <w:tcW w:w="24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wp:posOffset>
            </wp:positionV>
            <wp:extent cx="7246620" cy="171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rPr>
          <w:sz w:val="20"/>
          <w:szCs w:val="20"/>
          <w:color w:val="auto"/>
        </w:rPr>
      </w:pPr>
      <w:r>
        <w:rPr>
          <w:rFonts w:ascii="Arial" w:cs="Arial" w:eastAsia="Arial" w:hAnsi="Arial"/>
          <w:sz w:val="14"/>
          <w:szCs w:val="14"/>
          <w:i w:val="1"/>
          <w:iCs w:val="1"/>
          <w:color w:val="auto"/>
        </w:rPr>
        <w:t>(1) After the effects of interest rate swaps.</w:t>
      </w:r>
    </w:p>
    <w:p>
      <w:pPr>
        <w:spacing w:after="0" w:line="239" w:lineRule="exact"/>
        <w:rPr>
          <w:sz w:val="20"/>
          <w:szCs w:val="20"/>
          <w:color w:val="auto"/>
        </w:rPr>
      </w:pPr>
    </w:p>
    <w:p>
      <w:pPr>
        <w:ind w:right="340"/>
        <w:spacing w:after="0" w:line="264" w:lineRule="auto"/>
        <w:rPr>
          <w:sz w:val="20"/>
          <w:szCs w:val="20"/>
          <w:color w:val="auto"/>
        </w:rPr>
      </w:pPr>
      <w:r>
        <w:rPr>
          <w:rFonts w:ascii="Arial" w:cs="Arial" w:eastAsia="Arial" w:hAnsi="Arial"/>
          <w:sz w:val="18"/>
          <w:szCs w:val="18"/>
          <w:color w:val="auto"/>
        </w:rPr>
        <w:t>At June 30, 2011, the net notional amount of interest rate swap transactions ranged from $15 million to $305 million at Sempra Energy (ranges relate to amortizing notional amounts). We provide additional information about interest rate swap transactions in Note 7 of the Notes to Condensed Consolidated Financial Statements herein.</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 RATE RISK</w:t>
      </w:r>
    </w:p>
    <w:p>
      <w:pPr>
        <w:spacing w:after="0" w:line="234" w:lineRule="exact"/>
        <w:rPr>
          <w:sz w:val="20"/>
          <w:szCs w:val="20"/>
          <w:color w:val="auto"/>
        </w:rPr>
      </w:pPr>
    </w:p>
    <w:p>
      <w:pPr>
        <w:jc w:val="both"/>
        <w:ind w:right="520"/>
        <w:spacing w:after="0" w:line="270" w:lineRule="auto"/>
        <w:rPr>
          <w:sz w:val="20"/>
          <w:szCs w:val="20"/>
          <w:color w:val="auto"/>
        </w:rPr>
      </w:pPr>
      <w:r>
        <w:rPr>
          <w:rFonts w:ascii="Arial" w:cs="Arial" w:eastAsia="Arial" w:hAnsi="Arial"/>
          <w:sz w:val="17"/>
          <w:szCs w:val="17"/>
          <w:color w:val="auto"/>
        </w:rPr>
        <w:t>We discuss our foreign currency rate risk in detail in "Management's Discussion and Analysis of Financial Condition and Results of Operations" in the Annual Report. Given our increased investment in companies in Chile and Peru, discussed in Note 3 of the Notes to Condensed Consolidated Financial Statements herein, our exposure to the Chilean Peso and the Peruvian Nuevo Sol has increased proportionately.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336550</wp:posOffset>
            </wp:positionV>
            <wp:extent cx="7263765"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20"/>
          <w:szCs w:val="20"/>
          <w:color w:val="auto"/>
        </w:rPr>
        <w:t>ITEM 4. CONTROLS AND PROCEDURES</w:t>
      </w: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34"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Sempra Energy, SDG&amp;E and SoCalGas have designed and maintain disclosure controls and procedures to ensure that information required to be disclosed in their respective reports is recorded, processed, summarized and reported within the time periods specified in the rules and forms of the Securities and Exchange Commission and is accumulated and communicated to the management of each company, including each respective Chief Executive Officer and Chief Financial Officer, to allow timely decisions regarding required disclosure. In designing and evaluating these controls and procedures, the management of each company recognizes that any system of controls and procedures, no matter how well designed and operated, can provide only reasonable assurance of achieving the desired control objectives; therefore, the management of each company applies judgment in evaluating the cost-benefit relationship of other possible controls and procedures.</w:t>
      </w:r>
    </w:p>
    <w:p>
      <w:pPr>
        <w:spacing w:after="0" w:line="189" w:lineRule="exact"/>
        <w:rPr>
          <w:sz w:val="20"/>
          <w:szCs w:val="20"/>
          <w:color w:val="auto"/>
        </w:rPr>
      </w:pPr>
    </w:p>
    <w:p>
      <w:pPr>
        <w:ind w:right="200"/>
        <w:spacing w:after="0" w:line="302" w:lineRule="auto"/>
        <w:rPr>
          <w:sz w:val="20"/>
          <w:szCs w:val="20"/>
          <w:color w:val="auto"/>
        </w:rPr>
      </w:pPr>
      <w:r>
        <w:rPr>
          <w:rFonts w:ascii="Arial" w:cs="Arial" w:eastAsia="Arial" w:hAnsi="Arial"/>
          <w:sz w:val="16"/>
          <w:szCs w:val="16"/>
          <w:color w:val="auto"/>
        </w:rPr>
        <w:t>Under the supervision and with the participation of management, including the Chief Executive Officers and Chief Financial Officers of Sempra Energy, SDG&amp;E and SoCalGas, each company evaluated the effectiveness of the design and operation of its disclosure controls and procedures as of June 30, 2011, the end of the period covered by this report. Based on these evaluations, the Chief Executive Officers and Chief Financial Officers of Sempra Energy, SDG&amp;E and SoCalGas concluded that their respective company's disclosure controls and procedures were effective at the reasonable assurance level.</w:t>
      </w:r>
    </w:p>
    <w:p>
      <w:pPr>
        <w:spacing w:after="0" w:line="3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INTERNAL CONTROL OVER FINANCIAL REPORTING</w:t>
      </w:r>
    </w:p>
    <w:p>
      <w:pPr>
        <w:spacing w:after="0" w:line="234"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Other than changes which may be associated with the acquisition described below (which did not impact SDG&amp;E or SoCalGas), there have been no changes in the companies' internal control over financial reporting during the most recent fiscal quarter that have materially affected, or are reasonably likely to materially affect, the companies' internal control over financial reporting.</w:t>
      </w:r>
    </w:p>
    <w:p>
      <w:pPr>
        <w:spacing w:after="0" w:line="181"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On April 6, 2011, as we discuss in Note 3 of the Notes to Condensed Consolidated Financial Statements herein, we acquired AEI's interests in Chilquinta Energía S.A. in Chile, Luz del Sur S.A.A. in Peru and related, smaller companies. The net assets acquired of these companies, at fair value, were $2.0 billion, or six percent of total Sempra Energy assets at June 30, 2011. Earnings of these companies from the date of acquisition through June 30, 2011, were $40 million, or eight percent of total Sempra Energy earnings for the quarter ended June 30, 2011. We are in the process of integrating these companies. Our management is analyzing, evaluating and, where necessary, will implement changes in controls and procedures. Due to the limited period of time since the acquisition date, we have not had sufficient time to assess the internal controls of the acquired companies for the quarter and year-to-date periods ended June 30, 2011. Therefore, we excluded them from our evaluation of internal control over financial reporting contained in this quarterly report. We intend to include these companies in the overall assessment of, and report on, internal control over financial reporting as of December 31, 2011.</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Arial" w:cs="Arial" w:eastAsia="Arial" w:hAnsi="Arial"/>
          <w:sz w:val="23"/>
          <w:szCs w:val="23"/>
          <w:color w:val="auto"/>
        </w:rPr>
        <w:t>PART II – OTHER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378460</wp:posOffset>
            </wp:positionV>
            <wp:extent cx="7263765"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Arial" w:cs="Arial" w:eastAsia="Arial" w:hAnsi="Arial"/>
          <w:sz w:val="20"/>
          <w:szCs w:val="20"/>
          <w:color w:val="auto"/>
        </w:rPr>
        <w:t>ITEM 1. LEGAL PROCEEDINGS</w:t>
      </w:r>
    </w:p>
    <w:p>
      <w:pPr>
        <w:sectPr>
          <w:pgSz w:w="11900" w:h="16838" w:orient="portrait"/>
          <w:cols w:equalWidth="0" w:num="1">
            <w:col w:w="11420"/>
          </w:cols>
          <w:pgMar w:left="240" w:top="125" w:right="239" w:bottom="0" w:gutter="0" w:footer="0" w:header="0"/>
        </w:sectPr>
      </w:pPr>
    </w:p>
    <w:p>
      <w:pPr>
        <w:spacing w:after="0" w:line="191" w:lineRule="exact"/>
        <w:rPr>
          <w:sz w:val="20"/>
          <w:szCs w:val="20"/>
          <w:color w:val="auto"/>
        </w:rPr>
      </w:pPr>
    </w:p>
    <w:p>
      <w:pPr>
        <w:ind w:right="180"/>
        <w:spacing w:after="0" w:line="342" w:lineRule="auto"/>
        <w:rPr>
          <w:sz w:val="20"/>
          <w:szCs w:val="20"/>
          <w:color w:val="auto"/>
        </w:rPr>
      </w:pPr>
      <w:r>
        <w:rPr>
          <w:rFonts w:ascii="Arial" w:cs="Arial" w:eastAsia="Arial" w:hAnsi="Arial"/>
          <w:sz w:val="16"/>
          <w:szCs w:val="16"/>
          <w:color w:val="auto"/>
        </w:rPr>
        <w:t>We are not party to, and our property is not the subject of, any material pending legal proceedings (other than ordinary routine litigation incidental to our businesses) except for the matters 1) described in Notes 9 and 10 of the Notes to Condensed Consolidated Financial Statements herein and Notes 14, 15 and</w:t>
      </w:r>
    </w:p>
    <w:p>
      <w:pPr>
        <w:sectPr>
          <w:pgSz w:w="11900" w:h="16838" w:orient="portrait"/>
          <w:cols w:equalWidth="0" w:num="1">
            <w:col w:w="11420"/>
          </w:cols>
          <w:pgMar w:left="240" w:top="125" w:right="239" w:bottom="0" w:gutter="0" w:footer="0" w:header="0"/>
          <w:type w:val="continuous"/>
        </w:sectPr>
      </w:pPr>
    </w:p>
    <w:bookmarkStart w:id="73" w:name="page74"/>
    <w:bookmarkEnd w:id="73"/>
    <w:p>
      <w:pPr>
        <w:ind w:right="680"/>
        <w:spacing w:after="0" w:line="277" w:lineRule="auto"/>
        <w:rPr>
          <w:sz w:val="20"/>
          <w:szCs w:val="20"/>
          <w:color w:val="auto"/>
        </w:rPr>
      </w:pPr>
      <w:r>
        <w:rPr>
          <w:rFonts w:ascii="Arial" w:cs="Arial" w:eastAsia="Arial" w:hAnsi="Arial"/>
          <w:sz w:val="18"/>
          <w:szCs w:val="18"/>
          <w:color w:val="auto"/>
        </w:rPr>
        <w:t>16 of the Notes to Consolidated Financial Statements in the Annual Report, or 2) referred to in "Management's Discussion and Analysis of Financial Condition and Results of Operations" herein and in the Annual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323215</wp:posOffset>
            </wp:positionV>
            <wp:extent cx="7263765"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20"/>
          <w:szCs w:val="20"/>
          <w:color w:val="auto"/>
        </w:rPr>
        <w:t>ITEM 1A. RISK FACTORS</w:t>
      </w:r>
    </w:p>
    <w:p>
      <w:pPr>
        <w:spacing w:after="0" w:line="191"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There have not been any material changes from the risk factors previously disclosed in our Annual Report on Form 10-K for the year ended December 31, 2010.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323215</wp:posOffset>
            </wp:positionV>
            <wp:extent cx="7263765"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20"/>
          <w:szCs w:val="20"/>
          <w:color w:val="auto"/>
        </w:rPr>
        <w:t>ITEM 6. EXHIBITS</w:t>
      </w:r>
    </w:p>
    <w:p>
      <w:pPr>
        <w:spacing w:after="0" w:line="191" w:lineRule="exact"/>
        <w:rPr>
          <w:sz w:val="20"/>
          <w:szCs w:val="20"/>
          <w:color w:val="auto"/>
        </w:rPr>
      </w:pPr>
    </w:p>
    <w:p>
      <w:pPr>
        <w:ind w:right="160"/>
        <w:spacing w:after="0" w:line="262" w:lineRule="auto"/>
        <w:rPr>
          <w:sz w:val="20"/>
          <w:szCs w:val="20"/>
          <w:color w:val="auto"/>
        </w:rPr>
      </w:pPr>
      <w:r>
        <w:rPr>
          <w:rFonts w:ascii="Arial" w:cs="Arial" w:eastAsia="Arial" w:hAnsi="Arial"/>
          <w:sz w:val="18"/>
          <w:szCs w:val="18"/>
          <w:color w:val="auto"/>
        </w:rPr>
        <w:t>The exhibits filed under Forms 8-K and Form 8-K/A that are incorporated herein by reference were filed under Commission File Number 1-14201 (Sempra Energy).</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exhibits relate to each registrant as indicated.</w:t>
      </w:r>
    </w:p>
    <w:p>
      <w:pPr>
        <w:spacing w:after="0" w:line="3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EXHIBIT 10 -- MATERIAL CONTRACTS</w:t>
      </w:r>
    </w:p>
    <w:p>
      <w:pPr>
        <w:spacing w:after="0" w:line="245"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Sempra Energy</w:t>
      </w:r>
    </w:p>
    <w:p>
      <w:pPr>
        <w:spacing w:after="0" w:line="5" w:lineRule="exact"/>
        <w:rPr>
          <w:sz w:val="20"/>
          <w:szCs w:val="20"/>
          <w:color w:val="auto"/>
        </w:rPr>
      </w:pPr>
    </w:p>
    <w:p>
      <w:pPr>
        <w:ind w:left="1420" w:hanging="404"/>
        <w:spacing w:after="0" w:line="243" w:lineRule="auto"/>
        <w:rPr>
          <w:sz w:val="20"/>
          <w:szCs w:val="20"/>
          <w:color w:val="auto"/>
        </w:rPr>
      </w:pPr>
      <w:r>
        <w:rPr>
          <w:rFonts w:ascii="Arial" w:cs="Arial" w:eastAsia="Arial" w:hAnsi="Arial"/>
          <w:sz w:val="18"/>
          <w:szCs w:val="18"/>
          <w:color w:val="auto"/>
        </w:rPr>
        <w:t>10.1 Amended and Restated Sempra Energy Severance Pay Agreement between Sempra Energy and Debra L. Reed (Sempra Energy Form 8-K filed on July 1, 2011, Exhibit 10.1).</w:t>
      </w:r>
    </w:p>
    <w:p>
      <w:pPr>
        <w:spacing w:after="0" w:line="186" w:lineRule="exact"/>
        <w:rPr>
          <w:sz w:val="20"/>
          <w:szCs w:val="20"/>
          <w:color w:val="auto"/>
        </w:rPr>
      </w:pPr>
    </w:p>
    <w:p>
      <w:pPr>
        <w:ind w:left="1020"/>
        <w:spacing w:after="0"/>
        <w:rPr>
          <w:sz w:val="20"/>
          <w:szCs w:val="20"/>
          <w:color w:val="auto"/>
        </w:rPr>
      </w:pPr>
      <w:r>
        <w:rPr>
          <w:rFonts w:ascii="Arial" w:cs="Arial" w:eastAsia="Arial" w:hAnsi="Arial"/>
          <w:sz w:val="16"/>
          <w:szCs w:val="16"/>
          <w:color w:val="auto"/>
        </w:rPr>
        <w:t>10.2 Letter Agreement, dated as of April 15, 2011, by and among The Royal Bank of Scotland plc, Sempra Energy, Sempra Commodities, Inc.</w:t>
      </w:r>
    </w:p>
    <w:p>
      <w:pPr>
        <w:spacing w:after="0" w:line="35"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and Sempra Energy Holdings VII B.V. (Sempra Energy Form 8-K/A filed on April 15, 2011, Exhibit 10.1).</w:t>
      </w:r>
    </w:p>
    <w:p>
      <w:pPr>
        <w:spacing w:after="0" w:line="196" w:lineRule="exact"/>
        <w:rPr>
          <w:sz w:val="20"/>
          <w:szCs w:val="20"/>
          <w:color w:val="auto"/>
        </w:rPr>
      </w:pPr>
    </w:p>
    <w:p>
      <w:pPr>
        <w:ind w:left="1420" w:right="60" w:hanging="404"/>
        <w:spacing w:after="0" w:line="262" w:lineRule="auto"/>
        <w:rPr>
          <w:sz w:val="20"/>
          <w:szCs w:val="20"/>
          <w:color w:val="auto"/>
        </w:rPr>
      </w:pPr>
      <w:r>
        <w:rPr>
          <w:rFonts w:ascii="Arial" w:cs="Arial" w:eastAsia="Arial" w:hAnsi="Arial"/>
          <w:sz w:val="18"/>
          <w:szCs w:val="18"/>
          <w:color w:val="auto"/>
        </w:rPr>
        <w:t>10.3 Fourth Amendment to Indemnity Agreement, dated as of April 15, 2011, by and among The Royal Bank of Scotland plc, Sempra Energy, Pacific Enterprises and Enova Corporation (Sempra Energy Form 8-K filed on April 15, 2011, Exhibit 10.2).</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EXHIBIT 12 – STATEMENTS RE: COMPUTATION OF RATIOS</w:t>
      </w:r>
    </w:p>
    <w:p>
      <w:pPr>
        <w:spacing w:after="0" w:line="245"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Sempra Energy</w:t>
      </w:r>
    </w:p>
    <w:p>
      <w:pPr>
        <w:spacing w:after="0" w:line="5"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12.1 Sempra Energy Computation of Ratio of Earnings to Combined Fixed Charges and Preferred Stock Dividends.</w:t>
      </w:r>
    </w:p>
    <w:p>
      <w:pPr>
        <w:spacing w:after="0" w:line="207"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San Diego Gas &amp; Electric Company</w:t>
      </w:r>
    </w:p>
    <w:p>
      <w:pPr>
        <w:spacing w:after="0" w:line="5" w:lineRule="exact"/>
        <w:rPr>
          <w:sz w:val="20"/>
          <w:szCs w:val="20"/>
          <w:color w:val="auto"/>
        </w:rPr>
      </w:pPr>
    </w:p>
    <w:p>
      <w:pPr>
        <w:ind w:left="1020"/>
        <w:spacing w:after="0"/>
        <w:rPr>
          <w:sz w:val="20"/>
          <w:szCs w:val="20"/>
          <w:color w:val="auto"/>
        </w:rPr>
      </w:pPr>
      <w:r>
        <w:rPr>
          <w:rFonts w:ascii="Arial" w:cs="Arial" w:eastAsia="Arial" w:hAnsi="Arial"/>
          <w:sz w:val="17"/>
          <w:szCs w:val="17"/>
          <w:color w:val="auto"/>
        </w:rPr>
        <w:t>12.2 San Diego Gas &amp; Electric Company Computation of Ratio of Earnings to Combined Fixed Charges and Preferred Stock Dividends.</w:t>
      </w:r>
    </w:p>
    <w:p>
      <w:pPr>
        <w:spacing w:after="0" w:line="23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Southern California Gas Company</w:t>
      </w:r>
    </w:p>
    <w:p>
      <w:pPr>
        <w:spacing w:after="0" w:line="5" w:lineRule="exact"/>
        <w:rPr>
          <w:sz w:val="20"/>
          <w:szCs w:val="20"/>
          <w:color w:val="auto"/>
        </w:rPr>
      </w:pPr>
    </w:p>
    <w:p>
      <w:pPr>
        <w:ind w:left="1020"/>
        <w:spacing w:after="0"/>
        <w:rPr>
          <w:sz w:val="20"/>
          <w:szCs w:val="20"/>
          <w:color w:val="auto"/>
        </w:rPr>
      </w:pPr>
      <w:r>
        <w:rPr>
          <w:rFonts w:ascii="Arial" w:cs="Arial" w:eastAsia="Arial" w:hAnsi="Arial"/>
          <w:sz w:val="17"/>
          <w:szCs w:val="17"/>
          <w:color w:val="auto"/>
        </w:rPr>
        <w:t>12.3 Southern California Gas Company Computation of Ratio of Earnings to Combined Fixed Charges and Preferred Stock Dividends.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EXHIBIT 31 -- SECTION 302 CERTIFICATIONS</w:t>
      </w:r>
    </w:p>
    <w:p>
      <w:pPr>
        <w:spacing w:after="0" w:line="245"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Sempra Energy</w:t>
      </w:r>
    </w:p>
    <w:p>
      <w:pPr>
        <w:spacing w:after="0" w:line="5" w:lineRule="exact"/>
        <w:rPr>
          <w:sz w:val="20"/>
          <w:szCs w:val="20"/>
          <w:color w:val="auto"/>
        </w:rPr>
      </w:pPr>
    </w:p>
    <w:p>
      <w:pPr>
        <w:ind w:left="1020"/>
        <w:spacing w:after="0"/>
        <w:rPr>
          <w:sz w:val="20"/>
          <w:szCs w:val="20"/>
          <w:color w:val="auto"/>
        </w:rPr>
      </w:pPr>
      <w:r>
        <w:rPr>
          <w:rFonts w:ascii="Arial" w:cs="Arial" w:eastAsia="Arial" w:hAnsi="Arial"/>
          <w:sz w:val="17"/>
          <w:szCs w:val="17"/>
          <w:color w:val="auto"/>
        </w:rPr>
        <w:t>31.1 Statement of Sempra Energy's Chief Executive Officer pursuant to Rules 13a-14 and 15d-14 of the Securities Exchange Act of 1934.</w:t>
      </w:r>
    </w:p>
    <w:p>
      <w:pPr>
        <w:spacing w:after="0" w:line="207" w:lineRule="exact"/>
        <w:rPr>
          <w:sz w:val="20"/>
          <w:szCs w:val="20"/>
          <w:color w:val="auto"/>
        </w:rPr>
      </w:pPr>
    </w:p>
    <w:p>
      <w:pPr>
        <w:ind w:left="1020"/>
        <w:spacing w:after="0"/>
        <w:rPr>
          <w:sz w:val="20"/>
          <w:szCs w:val="20"/>
          <w:color w:val="auto"/>
        </w:rPr>
      </w:pPr>
      <w:r>
        <w:rPr>
          <w:rFonts w:ascii="Arial" w:cs="Arial" w:eastAsia="Arial" w:hAnsi="Arial"/>
          <w:sz w:val="17"/>
          <w:szCs w:val="17"/>
          <w:color w:val="auto"/>
        </w:rPr>
        <w:t>31.2 Statement of Sempra Energy's Chief Financial Officer pursuant to Rules 13a-14 and 15d-14 of the Securities Exchange Act of 1934.</w:t>
      </w:r>
    </w:p>
    <w:p>
      <w:pPr>
        <w:spacing w:after="0" w:line="234"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San Diego Gas &amp; Electric Company</w:t>
      </w:r>
    </w:p>
    <w:p>
      <w:pPr>
        <w:spacing w:after="0" w:line="5" w:lineRule="exact"/>
        <w:rPr>
          <w:sz w:val="20"/>
          <w:szCs w:val="20"/>
          <w:color w:val="auto"/>
        </w:rPr>
      </w:pPr>
    </w:p>
    <w:p>
      <w:pPr>
        <w:ind w:left="1420" w:right="580" w:hanging="404"/>
        <w:spacing w:after="0" w:line="243" w:lineRule="auto"/>
        <w:rPr>
          <w:sz w:val="20"/>
          <w:szCs w:val="20"/>
          <w:color w:val="auto"/>
        </w:rPr>
      </w:pPr>
      <w:r>
        <w:rPr>
          <w:rFonts w:ascii="Arial" w:cs="Arial" w:eastAsia="Arial" w:hAnsi="Arial"/>
          <w:sz w:val="18"/>
          <w:szCs w:val="18"/>
          <w:color w:val="auto"/>
        </w:rPr>
        <w:t>31.3 Statement of San Diego Gas &amp; Electric Company's Chief Executive Officer pursuant to Rules 13a-14 and 15d-14 of the Securities Exchange Act of 1934.</w:t>
      </w:r>
    </w:p>
    <w:p>
      <w:pPr>
        <w:spacing w:after="0" w:line="186" w:lineRule="exact"/>
        <w:rPr>
          <w:sz w:val="20"/>
          <w:szCs w:val="20"/>
          <w:color w:val="auto"/>
        </w:rPr>
      </w:pPr>
    </w:p>
    <w:p>
      <w:pPr>
        <w:ind w:left="1420" w:right="640" w:hanging="404"/>
        <w:spacing w:after="0" w:line="262" w:lineRule="auto"/>
        <w:rPr>
          <w:sz w:val="20"/>
          <w:szCs w:val="20"/>
          <w:color w:val="auto"/>
        </w:rPr>
      </w:pPr>
      <w:r>
        <w:rPr>
          <w:rFonts w:ascii="Arial" w:cs="Arial" w:eastAsia="Arial" w:hAnsi="Arial"/>
          <w:sz w:val="18"/>
          <w:szCs w:val="18"/>
          <w:color w:val="auto"/>
        </w:rPr>
        <w:t>31.4 Statement of San Diego Gas &amp; Electric Company's Chief Financial Officer pursuant to Rules 13a-14 and 15d-14 of the Securities Exchange Act of 1934.</w:t>
      </w:r>
    </w:p>
    <w:p>
      <w:pPr>
        <w:spacing w:after="0" w:line="180"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Southern California Gas Company</w:t>
      </w:r>
    </w:p>
    <w:p>
      <w:pPr>
        <w:spacing w:after="0" w:line="5" w:lineRule="exact"/>
        <w:rPr>
          <w:sz w:val="20"/>
          <w:szCs w:val="20"/>
          <w:color w:val="auto"/>
        </w:rPr>
      </w:pPr>
    </w:p>
    <w:p>
      <w:pPr>
        <w:ind w:left="1420" w:right="700" w:hanging="404"/>
        <w:spacing w:after="0" w:line="243" w:lineRule="auto"/>
        <w:rPr>
          <w:sz w:val="20"/>
          <w:szCs w:val="20"/>
          <w:color w:val="auto"/>
        </w:rPr>
      </w:pPr>
      <w:r>
        <w:rPr>
          <w:rFonts w:ascii="Arial" w:cs="Arial" w:eastAsia="Arial" w:hAnsi="Arial"/>
          <w:sz w:val="18"/>
          <w:szCs w:val="18"/>
          <w:color w:val="auto"/>
        </w:rPr>
        <w:t>31.5 Statement of Southern California Gas Company's Chief Executive Officer pursuant to Rules 13a-14 and 15d-14 of the Securities Exchange Act of 1934.</w:t>
      </w:r>
    </w:p>
    <w:p>
      <w:pPr>
        <w:spacing w:after="0" w:line="186" w:lineRule="exact"/>
        <w:rPr>
          <w:sz w:val="20"/>
          <w:szCs w:val="20"/>
          <w:color w:val="auto"/>
        </w:rPr>
      </w:pPr>
    </w:p>
    <w:p>
      <w:pPr>
        <w:ind w:left="1420" w:hanging="404"/>
        <w:spacing w:after="0" w:line="262" w:lineRule="auto"/>
        <w:rPr>
          <w:sz w:val="20"/>
          <w:szCs w:val="20"/>
          <w:color w:val="auto"/>
        </w:rPr>
      </w:pPr>
      <w:r>
        <w:rPr>
          <w:rFonts w:ascii="Arial" w:cs="Arial" w:eastAsia="Arial" w:hAnsi="Arial"/>
          <w:sz w:val="18"/>
          <w:szCs w:val="18"/>
          <w:color w:val="auto"/>
        </w:rPr>
        <w:t>31.6 Statement of Southern California Gas Company's Chief Financial Officer pursuant to Rules 13a-14 and 15d-14 of the Securities Exchange Act of 1934.</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EXHIBIT 32 -- SECTION 906 CERTIFICATIONS</w:t>
      </w:r>
    </w:p>
    <w:p>
      <w:pPr>
        <w:spacing w:after="0" w:line="245"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Sempra Energy</w:t>
      </w:r>
    </w:p>
    <w:p>
      <w:pPr>
        <w:spacing w:after="0" w:line="5"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32.1 Statement of Sempra Energy's Chief Executive Officer pursuant to 18 U.S.C. Sec. 1350.</w:t>
      </w:r>
    </w:p>
    <w:p>
      <w:pPr>
        <w:spacing w:after="0" w:line="196"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32.2 Statement of Sempra Energy's Chief Financial Officer pursuant to 18 U.S.C. Sec. 1350.</w:t>
      </w:r>
    </w:p>
    <w:p>
      <w:pPr>
        <w:spacing w:after="0" w:line="223"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San Diego Gas &amp; Electric Company</w:t>
      </w:r>
    </w:p>
    <w:p>
      <w:pPr>
        <w:spacing w:after="0" w:line="5"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32.3 Statement of San Diego Gas &amp; Electric Company's Chief Executive Officer pursuant to 18 U.S.C. Sec. 1350.</w:t>
      </w:r>
    </w:p>
    <w:p>
      <w:pPr>
        <w:spacing w:after="0" w:line="196"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32.4 Statement of San Diego Gas &amp; Electric Company's Chief Financial Officer pursuant to 18 U.S.C. Sec. 1350.</w:t>
      </w:r>
    </w:p>
    <w:p>
      <w:pPr>
        <w:sectPr>
          <w:pgSz w:w="11900" w:h="16838" w:orient="portrait"/>
          <w:cols w:equalWidth="0" w:num="1">
            <w:col w:w="11380"/>
          </w:cols>
          <w:pgMar w:left="240" w:top="125" w:right="279" w:bottom="0" w:gutter="0" w:footer="0" w:header="0"/>
        </w:sectPr>
      </w:pPr>
    </w:p>
    <w:p>
      <w:pPr>
        <w:spacing w:after="0" w:line="22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Southern California Gas Company</w:t>
      </w:r>
    </w:p>
    <w:p>
      <w:pPr>
        <w:sectPr>
          <w:pgSz w:w="11900" w:h="16838" w:orient="portrait"/>
          <w:cols w:equalWidth="0" w:num="1">
            <w:col w:w="11380"/>
          </w:cols>
          <w:pgMar w:left="240" w:top="125" w:right="279" w:bottom="0" w:gutter="0" w:footer="0" w:header="0"/>
          <w:type w:val="continuous"/>
        </w:sectPr>
      </w:pPr>
    </w:p>
    <w:bookmarkStart w:id="74" w:name="page75"/>
    <w:bookmarkEnd w:id="74"/>
    <w:p>
      <w:pPr>
        <w:jc w:val="center"/>
        <w:ind w:right="39"/>
        <w:spacing w:after="0"/>
        <w:rPr>
          <w:sz w:val="20"/>
          <w:szCs w:val="20"/>
          <w:color w:val="auto"/>
        </w:rPr>
      </w:pPr>
      <w:r>
        <w:rPr>
          <w:rFonts w:ascii="Arial" w:cs="Arial" w:eastAsia="Arial" w:hAnsi="Arial"/>
          <w:sz w:val="16"/>
          <w:szCs w:val="16"/>
          <w:color w:val="auto"/>
        </w:rPr>
        <w:t>32.5 Statement of Southern California Gas Company's Chief Executive Officer pursuant to 18 U.S.C. Sec. 1350.</w:t>
      </w:r>
    </w:p>
    <w:p>
      <w:pPr>
        <w:spacing w:after="0" w:line="235" w:lineRule="exact"/>
        <w:rPr>
          <w:sz w:val="20"/>
          <w:szCs w:val="20"/>
          <w:color w:val="auto"/>
        </w:rPr>
      </w:pPr>
    </w:p>
    <w:p>
      <w:pPr>
        <w:ind w:left="1020"/>
        <w:spacing w:after="0"/>
        <w:rPr>
          <w:sz w:val="20"/>
          <w:szCs w:val="20"/>
          <w:color w:val="auto"/>
        </w:rPr>
      </w:pPr>
      <w:r>
        <w:rPr>
          <w:rFonts w:ascii="Arial" w:cs="Arial" w:eastAsia="Arial" w:hAnsi="Arial"/>
          <w:sz w:val="16"/>
          <w:szCs w:val="16"/>
          <w:color w:val="auto"/>
        </w:rPr>
        <w:t>32.6 Statement of Southern California Gas Company's Chief Financial Officer pursuant to 18 U.S.C. Sec. 1350.</w:t>
      </w: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EXHIBIT 101 -- INTERACTIVE DATA FILE</w:t>
      </w:r>
    </w:p>
    <w:p>
      <w:pPr>
        <w:spacing w:after="0" w:line="234" w:lineRule="exact"/>
        <w:rPr>
          <w:sz w:val="20"/>
          <w:szCs w:val="20"/>
          <w:color w:val="auto"/>
        </w:rPr>
      </w:pPr>
    </w:p>
    <w:p>
      <w:pPr>
        <w:ind w:left="740"/>
        <w:spacing w:after="0"/>
        <w:rPr>
          <w:sz w:val="20"/>
          <w:szCs w:val="20"/>
          <w:color w:val="auto"/>
        </w:rPr>
      </w:pPr>
      <w:r>
        <w:rPr>
          <w:rFonts w:ascii="Arial" w:cs="Arial" w:eastAsia="Arial" w:hAnsi="Arial"/>
          <w:sz w:val="18"/>
          <w:szCs w:val="18"/>
          <w:color w:val="auto"/>
        </w:rPr>
        <w:t>101.INS XBRL Instance Document</w:t>
      </w:r>
    </w:p>
    <w:p>
      <w:pPr>
        <w:spacing w:after="0" w:line="212" w:lineRule="exact"/>
        <w:rPr>
          <w:sz w:val="20"/>
          <w:szCs w:val="20"/>
          <w:color w:val="auto"/>
        </w:rPr>
      </w:pPr>
    </w:p>
    <w:p>
      <w:pPr>
        <w:ind w:left="680"/>
        <w:spacing w:after="0"/>
        <w:rPr>
          <w:sz w:val="20"/>
          <w:szCs w:val="20"/>
          <w:color w:val="auto"/>
        </w:rPr>
      </w:pPr>
      <w:r>
        <w:rPr>
          <w:rFonts w:ascii="Arial" w:cs="Arial" w:eastAsia="Arial" w:hAnsi="Arial"/>
          <w:sz w:val="18"/>
          <w:szCs w:val="18"/>
          <w:color w:val="auto"/>
        </w:rPr>
        <w:t>101.SCH XBRL Taxonomy Extension Schema Document</w:t>
      </w:r>
    </w:p>
    <w:p>
      <w:pPr>
        <w:spacing w:after="0" w:line="21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101.CAL XBRL Taxonomy Extension Calculation Linkbase Document</w:t>
      </w:r>
    </w:p>
    <w:p>
      <w:pPr>
        <w:spacing w:after="0" w:line="212" w:lineRule="exact"/>
        <w:rPr>
          <w:sz w:val="20"/>
          <w:szCs w:val="20"/>
          <w:color w:val="auto"/>
        </w:rPr>
      </w:pPr>
    </w:p>
    <w:p>
      <w:pPr>
        <w:ind w:left="680"/>
        <w:spacing w:after="0"/>
        <w:rPr>
          <w:sz w:val="20"/>
          <w:szCs w:val="20"/>
          <w:color w:val="auto"/>
        </w:rPr>
      </w:pPr>
      <w:r>
        <w:rPr>
          <w:rFonts w:ascii="Arial" w:cs="Arial" w:eastAsia="Arial" w:hAnsi="Arial"/>
          <w:sz w:val="18"/>
          <w:szCs w:val="18"/>
          <w:color w:val="auto"/>
        </w:rPr>
        <w:t>101.DEF XBRL Taxonomy Extension Definition Linkbase Document</w:t>
      </w:r>
    </w:p>
    <w:p>
      <w:pPr>
        <w:spacing w:after="0" w:line="21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101.LAB XBRL Taxonomy Extension Label Linkbase Document</w:t>
      </w:r>
    </w:p>
    <w:p>
      <w:pPr>
        <w:spacing w:after="0" w:line="212" w:lineRule="exact"/>
        <w:rPr>
          <w:sz w:val="20"/>
          <w:szCs w:val="20"/>
          <w:color w:val="auto"/>
        </w:rPr>
      </w:pPr>
    </w:p>
    <w:p>
      <w:pPr>
        <w:ind w:left="700"/>
        <w:spacing w:after="0"/>
        <w:rPr>
          <w:sz w:val="20"/>
          <w:szCs w:val="20"/>
          <w:color w:val="auto"/>
        </w:rPr>
      </w:pPr>
      <w:r>
        <w:rPr>
          <w:rFonts w:ascii="Arial" w:cs="Arial" w:eastAsia="Arial" w:hAnsi="Arial"/>
          <w:sz w:val="18"/>
          <w:szCs w:val="18"/>
          <w:color w:val="auto"/>
        </w:rPr>
        <w:t>101.PRE XBRL Taxonomy Extension Presentation Linkbase Document</w:t>
      </w:r>
    </w:p>
    <w:p>
      <w:pPr>
        <w:sectPr>
          <w:pgSz w:w="11900" w:h="16838" w:orient="portrait"/>
          <w:cols w:equalWidth="0" w:num="1">
            <w:col w:w="10219"/>
          </w:cols>
          <w:pgMar w:left="240" w:top="125" w:right="1440" w:bottom="1440" w:gutter="0" w:footer="0" w:header="0"/>
        </w:sectPr>
      </w:pPr>
    </w:p>
    <w:bookmarkStart w:id="75" w:name="page76"/>
    <w:bookmarkEnd w:id="75"/>
    <w:p>
      <w:pPr>
        <w:jc w:val="center"/>
        <w:ind w:right="-59"/>
        <w:spacing w:after="0"/>
        <w:rPr>
          <w:sz w:val="20"/>
          <w:szCs w:val="20"/>
          <w:color w:val="auto"/>
        </w:rPr>
      </w:pPr>
      <w:r>
        <w:rPr>
          <w:rFonts w:ascii="Arial" w:cs="Arial" w:eastAsia="Arial" w:hAnsi="Arial"/>
          <w:sz w:val="18"/>
          <w:szCs w:val="18"/>
          <w:b w:val="1"/>
          <w:bCs w:val="1"/>
          <w:color w:val="auto"/>
        </w:rPr>
        <w:t>SIGNATURES</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Sempra Energy:</w:t>
      </w:r>
    </w:p>
    <w:p>
      <w:pPr>
        <w:spacing w:after="0" w:line="196"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69"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SEMPRA ENERGY,</w:t>
      </w:r>
    </w:p>
    <w:p>
      <w:pPr>
        <w:spacing w:after="0" w:line="12"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(Registrant)</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1940"/>
        <w:spacing w:after="0"/>
        <w:tabs>
          <w:tab w:leader="none" w:pos="6020" w:val="left"/>
        </w:tabs>
        <w:rPr>
          <w:sz w:val="20"/>
          <w:szCs w:val="20"/>
          <w:color w:val="auto"/>
        </w:rPr>
      </w:pPr>
      <w:r>
        <w:rPr>
          <w:rFonts w:ascii="Arial" w:cs="Arial" w:eastAsia="Arial" w:hAnsi="Arial"/>
          <w:sz w:val="18"/>
          <w:szCs w:val="18"/>
          <w:color w:val="auto"/>
        </w:rPr>
        <w:t>Date: August 9, 2011</w:t>
      </w:r>
      <w:r>
        <w:rPr>
          <w:sz w:val="20"/>
          <w:szCs w:val="20"/>
          <w:color w:val="auto"/>
        </w:rPr>
        <w:tab/>
      </w:r>
      <w:r>
        <w:rPr>
          <w:rFonts w:ascii="Arial" w:cs="Arial" w:eastAsia="Arial" w:hAnsi="Arial"/>
          <w:sz w:val="16"/>
          <w:szCs w:val="16"/>
          <w:color w:val="auto"/>
        </w:rPr>
        <w:t>By: /s/ Joseph A. Householder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3838575</wp:posOffset>
            </wp:positionH>
            <wp:positionV relativeFrom="paragraph">
              <wp:posOffset>6350</wp:posOffset>
            </wp:positionV>
            <wp:extent cx="3413125" cy="171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3413125" cy="17145"/>
                    </a:xfrm>
                    <a:prstGeom prst="rect">
                      <a:avLst/>
                    </a:prstGeom>
                    <a:noFill/>
                  </pic:spPr>
                </pic:pic>
              </a:graphicData>
            </a:graphic>
          </wp:anchor>
        </w:drawing>
      </w:r>
    </w:p>
    <w:p>
      <w:pPr>
        <w:spacing w:after="0" w:line="14"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Joseph A. Householder</w:t>
      </w:r>
    </w:p>
    <w:p>
      <w:pPr>
        <w:ind w:left="6040"/>
        <w:spacing w:after="0" w:line="234" w:lineRule="auto"/>
        <w:rPr>
          <w:sz w:val="20"/>
          <w:szCs w:val="20"/>
          <w:color w:val="auto"/>
        </w:rPr>
      </w:pPr>
      <w:r>
        <w:rPr>
          <w:rFonts w:ascii="Arial" w:cs="Arial" w:eastAsia="Arial" w:hAnsi="Arial"/>
          <w:sz w:val="18"/>
          <w:szCs w:val="18"/>
          <w:color w:val="auto"/>
        </w:rPr>
        <w:t>Senior Vice President, Controller and</w:t>
      </w:r>
    </w:p>
    <w:p>
      <w:pPr>
        <w:spacing w:after="0" w:line="1"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Chief Accounting Officer</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San Diego Gas &amp; Electric Company:</w:t>
      </w:r>
    </w:p>
    <w:p>
      <w:pPr>
        <w:spacing w:after="0" w:line="216"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69" w:lineRule="exact"/>
        <w:rPr>
          <w:sz w:val="20"/>
          <w:szCs w:val="20"/>
          <w:color w:val="auto"/>
        </w:rPr>
      </w:pPr>
    </w:p>
    <w:p>
      <w:pPr>
        <w:ind w:left="5900"/>
        <w:spacing w:after="0"/>
        <w:rPr>
          <w:sz w:val="20"/>
          <w:szCs w:val="20"/>
          <w:color w:val="auto"/>
        </w:rPr>
      </w:pPr>
      <w:r>
        <w:rPr>
          <w:rFonts w:ascii="Arial" w:cs="Arial" w:eastAsia="Arial" w:hAnsi="Arial"/>
          <w:sz w:val="18"/>
          <w:szCs w:val="18"/>
          <w:color w:val="auto"/>
        </w:rPr>
        <w:t>SAN DIEGO GAS &amp; ELECTRIC COMPANY,</w:t>
      </w:r>
    </w:p>
    <w:p>
      <w:pPr>
        <w:spacing w:after="0" w:line="12" w:lineRule="exact"/>
        <w:rPr>
          <w:sz w:val="20"/>
          <w:szCs w:val="20"/>
          <w:color w:val="auto"/>
        </w:rPr>
      </w:pPr>
    </w:p>
    <w:p>
      <w:pPr>
        <w:ind w:left="5900"/>
        <w:spacing w:after="0"/>
        <w:rPr>
          <w:sz w:val="20"/>
          <w:szCs w:val="20"/>
          <w:color w:val="auto"/>
        </w:rPr>
      </w:pPr>
      <w:r>
        <w:rPr>
          <w:rFonts w:ascii="Arial" w:cs="Arial" w:eastAsia="Arial" w:hAnsi="Arial"/>
          <w:sz w:val="18"/>
          <w:szCs w:val="18"/>
          <w:color w:val="auto"/>
        </w:rPr>
        <w:t>(Registrant)</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1860"/>
        <w:spacing w:after="0"/>
        <w:tabs>
          <w:tab w:leader="none" w:pos="5880" w:val="left"/>
        </w:tabs>
        <w:rPr>
          <w:sz w:val="20"/>
          <w:szCs w:val="20"/>
          <w:color w:val="auto"/>
        </w:rPr>
      </w:pPr>
      <w:r>
        <w:rPr>
          <w:rFonts w:ascii="Arial" w:cs="Arial" w:eastAsia="Arial" w:hAnsi="Arial"/>
          <w:sz w:val="18"/>
          <w:szCs w:val="18"/>
          <w:color w:val="auto"/>
        </w:rPr>
        <w:t>Date: August 9, 2011</w:t>
      </w:r>
      <w:r>
        <w:rPr>
          <w:sz w:val="20"/>
          <w:szCs w:val="20"/>
          <w:color w:val="auto"/>
        </w:rPr>
        <w:tab/>
      </w:r>
      <w:r>
        <w:rPr>
          <w:rFonts w:ascii="Arial" w:cs="Arial" w:eastAsia="Arial" w:hAnsi="Arial"/>
          <w:sz w:val="17"/>
          <w:szCs w:val="17"/>
          <w:color w:val="auto"/>
        </w:rPr>
        <w:t>By: /s/ Robert M. Schlax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3752850</wp:posOffset>
            </wp:positionH>
            <wp:positionV relativeFrom="paragraph">
              <wp:posOffset>6350</wp:posOffset>
            </wp:positionV>
            <wp:extent cx="3498850" cy="171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3498850" cy="17145"/>
                    </a:xfrm>
                    <a:prstGeom prst="rect">
                      <a:avLst/>
                    </a:prstGeom>
                    <a:noFill/>
                  </pic:spPr>
                </pic:pic>
              </a:graphicData>
            </a:graphic>
          </wp:anchor>
        </w:drawing>
      </w:r>
    </w:p>
    <w:p>
      <w:pPr>
        <w:spacing w:after="0" w:line="14" w:lineRule="exact"/>
        <w:rPr>
          <w:sz w:val="20"/>
          <w:szCs w:val="20"/>
          <w:color w:val="auto"/>
        </w:rPr>
      </w:pPr>
    </w:p>
    <w:p>
      <w:pPr>
        <w:ind w:left="5900"/>
        <w:spacing w:after="0"/>
        <w:rPr>
          <w:sz w:val="20"/>
          <w:szCs w:val="20"/>
          <w:color w:val="auto"/>
        </w:rPr>
      </w:pPr>
      <w:r>
        <w:rPr>
          <w:rFonts w:ascii="Arial" w:cs="Arial" w:eastAsia="Arial" w:hAnsi="Arial"/>
          <w:sz w:val="18"/>
          <w:szCs w:val="18"/>
          <w:color w:val="auto"/>
        </w:rPr>
        <w:t>Robert M. Schlax</w:t>
      </w:r>
    </w:p>
    <w:p>
      <w:pPr>
        <w:ind w:left="5900"/>
        <w:spacing w:after="0" w:line="234" w:lineRule="auto"/>
        <w:rPr>
          <w:sz w:val="20"/>
          <w:szCs w:val="20"/>
          <w:color w:val="auto"/>
        </w:rPr>
      </w:pPr>
      <w:r>
        <w:rPr>
          <w:rFonts w:ascii="Arial" w:cs="Arial" w:eastAsia="Arial" w:hAnsi="Arial"/>
          <w:sz w:val="18"/>
          <w:szCs w:val="18"/>
          <w:color w:val="auto"/>
        </w:rPr>
        <w:t>Vice President, Controller, Chief Financial Officer and Chief</w:t>
      </w:r>
    </w:p>
    <w:p>
      <w:pPr>
        <w:spacing w:after="0" w:line="1" w:lineRule="exact"/>
        <w:rPr>
          <w:sz w:val="20"/>
          <w:szCs w:val="20"/>
          <w:color w:val="auto"/>
        </w:rPr>
      </w:pPr>
    </w:p>
    <w:p>
      <w:pPr>
        <w:ind w:left="5900"/>
        <w:spacing w:after="0"/>
        <w:rPr>
          <w:sz w:val="20"/>
          <w:szCs w:val="20"/>
          <w:color w:val="auto"/>
        </w:rPr>
      </w:pPr>
      <w:r>
        <w:rPr>
          <w:rFonts w:ascii="Arial" w:cs="Arial" w:eastAsia="Arial" w:hAnsi="Arial"/>
          <w:sz w:val="18"/>
          <w:szCs w:val="18"/>
          <w:color w:val="auto"/>
        </w:rPr>
        <w:t>Accounting Officer</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Southern California Gas Company:</w:t>
      </w:r>
    </w:p>
    <w:p>
      <w:pPr>
        <w:spacing w:after="0" w:line="216"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69" w:lineRule="exact"/>
        <w:rPr>
          <w:sz w:val="20"/>
          <w:szCs w:val="20"/>
          <w:color w:val="auto"/>
        </w:rPr>
      </w:pPr>
    </w:p>
    <w:p>
      <w:pPr>
        <w:ind w:left="5900"/>
        <w:spacing w:after="0"/>
        <w:rPr>
          <w:sz w:val="20"/>
          <w:szCs w:val="20"/>
          <w:color w:val="auto"/>
        </w:rPr>
      </w:pPr>
      <w:r>
        <w:rPr>
          <w:rFonts w:ascii="Arial" w:cs="Arial" w:eastAsia="Arial" w:hAnsi="Arial"/>
          <w:sz w:val="18"/>
          <w:szCs w:val="18"/>
          <w:color w:val="auto"/>
        </w:rPr>
        <w:t>SOUTHERN CALIFORNIA GAS COMPANY,</w:t>
      </w:r>
    </w:p>
    <w:p>
      <w:pPr>
        <w:spacing w:after="0" w:line="12" w:lineRule="exact"/>
        <w:rPr>
          <w:sz w:val="20"/>
          <w:szCs w:val="20"/>
          <w:color w:val="auto"/>
        </w:rPr>
      </w:pPr>
    </w:p>
    <w:p>
      <w:pPr>
        <w:ind w:left="5900"/>
        <w:spacing w:after="0"/>
        <w:rPr>
          <w:sz w:val="20"/>
          <w:szCs w:val="20"/>
          <w:color w:val="auto"/>
        </w:rPr>
      </w:pPr>
      <w:r>
        <w:rPr>
          <w:rFonts w:ascii="Arial" w:cs="Arial" w:eastAsia="Arial" w:hAnsi="Arial"/>
          <w:sz w:val="18"/>
          <w:szCs w:val="18"/>
          <w:color w:val="auto"/>
        </w:rPr>
        <w:t>(Registrant)</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1860"/>
        <w:spacing w:after="0"/>
        <w:tabs>
          <w:tab w:leader="none" w:pos="5880" w:val="left"/>
        </w:tabs>
        <w:rPr>
          <w:sz w:val="20"/>
          <w:szCs w:val="20"/>
          <w:color w:val="auto"/>
        </w:rPr>
      </w:pPr>
      <w:r>
        <w:rPr>
          <w:rFonts w:ascii="Arial" w:cs="Arial" w:eastAsia="Arial" w:hAnsi="Arial"/>
          <w:sz w:val="18"/>
          <w:szCs w:val="18"/>
          <w:color w:val="auto"/>
        </w:rPr>
        <w:t>Date: August 9, 2011</w:t>
      </w:r>
      <w:r>
        <w:rPr>
          <w:sz w:val="20"/>
          <w:szCs w:val="20"/>
          <w:color w:val="auto"/>
        </w:rPr>
        <w:tab/>
      </w:r>
      <w:r>
        <w:rPr>
          <w:rFonts w:ascii="Arial" w:cs="Arial" w:eastAsia="Arial" w:hAnsi="Arial"/>
          <w:sz w:val="17"/>
          <w:szCs w:val="17"/>
          <w:color w:val="auto"/>
        </w:rPr>
        <w:t>By: /s/ Robert M. Schlax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3752850</wp:posOffset>
            </wp:positionH>
            <wp:positionV relativeFrom="paragraph">
              <wp:posOffset>6350</wp:posOffset>
            </wp:positionV>
            <wp:extent cx="3498850" cy="171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3498850" cy="17145"/>
                    </a:xfrm>
                    <a:prstGeom prst="rect">
                      <a:avLst/>
                    </a:prstGeom>
                    <a:noFill/>
                  </pic:spPr>
                </pic:pic>
              </a:graphicData>
            </a:graphic>
          </wp:anchor>
        </w:drawing>
      </w:r>
    </w:p>
    <w:p>
      <w:pPr>
        <w:spacing w:after="0" w:line="14" w:lineRule="exact"/>
        <w:rPr>
          <w:sz w:val="20"/>
          <w:szCs w:val="20"/>
          <w:color w:val="auto"/>
        </w:rPr>
      </w:pPr>
    </w:p>
    <w:p>
      <w:pPr>
        <w:ind w:left="5900"/>
        <w:spacing w:after="0"/>
        <w:rPr>
          <w:sz w:val="20"/>
          <w:szCs w:val="20"/>
          <w:color w:val="auto"/>
        </w:rPr>
      </w:pPr>
      <w:r>
        <w:rPr>
          <w:rFonts w:ascii="Arial" w:cs="Arial" w:eastAsia="Arial" w:hAnsi="Arial"/>
          <w:sz w:val="18"/>
          <w:szCs w:val="18"/>
          <w:color w:val="auto"/>
        </w:rPr>
        <w:t>Robert M. Schlax</w:t>
      </w:r>
    </w:p>
    <w:p>
      <w:pPr>
        <w:ind w:left="5900"/>
        <w:spacing w:after="0" w:line="234" w:lineRule="auto"/>
        <w:rPr>
          <w:sz w:val="20"/>
          <w:szCs w:val="20"/>
          <w:color w:val="auto"/>
        </w:rPr>
      </w:pPr>
      <w:r>
        <w:rPr>
          <w:rFonts w:ascii="Arial" w:cs="Arial" w:eastAsia="Arial" w:hAnsi="Arial"/>
          <w:sz w:val="18"/>
          <w:szCs w:val="18"/>
          <w:color w:val="auto"/>
        </w:rPr>
        <w:t>Vice President, Controller, Chief Financial Officer and Chief</w:t>
      </w:r>
    </w:p>
    <w:p>
      <w:pPr>
        <w:spacing w:after="0" w:line="1" w:lineRule="exact"/>
        <w:rPr>
          <w:sz w:val="20"/>
          <w:szCs w:val="20"/>
          <w:color w:val="auto"/>
        </w:rPr>
      </w:pPr>
    </w:p>
    <w:p>
      <w:pPr>
        <w:ind w:left="5900"/>
        <w:spacing w:after="0"/>
        <w:rPr>
          <w:sz w:val="20"/>
          <w:szCs w:val="20"/>
          <w:color w:val="auto"/>
        </w:rPr>
      </w:pPr>
      <w:r>
        <w:rPr>
          <w:rFonts w:ascii="Arial" w:cs="Arial" w:eastAsia="Arial" w:hAnsi="Arial"/>
          <w:sz w:val="18"/>
          <w:szCs w:val="18"/>
          <w:color w:val="auto"/>
        </w:rPr>
        <w:t>Accounting Officer</w:t>
      </w:r>
    </w:p>
    <w:p>
      <w:pPr>
        <w:sectPr>
          <w:pgSz w:w="11900" w:h="16838" w:orient="portrait"/>
          <w:cols w:equalWidth="0" w:num="1">
            <w:col w:w="10720"/>
          </w:cols>
          <w:pgMar w:left="240" w:top="513" w:right="939" w:bottom="1440" w:gutter="0" w:footer="0" w:header="0"/>
        </w:sectPr>
      </w:pPr>
    </w:p>
    <w:bookmarkStart w:id="76" w:name="page77"/>
    <w:bookmarkEnd w:id="76"/>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77" w:name="page78"/>
    <w:bookmarkEnd w:id="77"/>
    <w:p>
      <w:pPr>
        <w:jc w:val="center"/>
        <w:ind w:right="140"/>
        <w:spacing w:after="0"/>
        <w:rPr>
          <w:sz w:val="20"/>
          <w:szCs w:val="20"/>
          <w:color w:val="auto"/>
        </w:rPr>
      </w:pPr>
      <w:r>
        <w:rPr>
          <w:rFonts w:ascii="Arial" w:cs="Arial" w:eastAsia="Arial" w:hAnsi="Arial"/>
          <w:sz w:val="18"/>
          <w:szCs w:val="18"/>
          <w:b w:val="1"/>
          <w:bCs w:val="1"/>
          <w:color w:val="auto"/>
        </w:rPr>
        <w:t>EXHIBIT 12.1</w:t>
      </w:r>
    </w:p>
    <w:p>
      <w:pPr>
        <w:spacing w:after="0" w:line="13" w:lineRule="exact"/>
        <w:rPr>
          <w:sz w:val="20"/>
          <w:szCs w:val="20"/>
          <w:color w:val="auto"/>
        </w:rPr>
      </w:pPr>
    </w:p>
    <w:p>
      <w:pPr>
        <w:jc w:val="center"/>
        <w:ind w:right="140"/>
        <w:spacing w:after="0"/>
        <w:rPr>
          <w:sz w:val="20"/>
          <w:szCs w:val="20"/>
          <w:color w:val="auto"/>
        </w:rPr>
      </w:pPr>
      <w:r>
        <w:rPr>
          <w:rFonts w:ascii="Arial" w:cs="Arial" w:eastAsia="Arial" w:hAnsi="Arial"/>
          <w:sz w:val="18"/>
          <w:szCs w:val="18"/>
          <w:b w:val="1"/>
          <w:bCs w:val="1"/>
          <w:color w:val="auto"/>
        </w:rPr>
        <w:t>SEMPRA ENERGY</w:t>
      </w:r>
    </w:p>
    <w:p>
      <w:pPr>
        <w:jc w:val="center"/>
        <w:ind w:right="140"/>
        <w:spacing w:after="0" w:line="234" w:lineRule="auto"/>
        <w:rPr>
          <w:sz w:val="20"/>
          <w:szCs w:val="20"/>
          <w:color w:val="auto"/>
        </w:rPr>
      </w:pPr>
      <w:r>
        <w:rPr>
          <w:rFonts w:ascii="Arial" w:cs="Arial" w:eastAsia="Arial" w:hAnsi="Arial"/>
          <w:sz w:val="18"/>
          <w:szCs w:val="18"/>
          <w:b w:val="1"/>
          <w:bCs w:val="1"/>
          <w:color w:val="auto"/>
        </w:rPr>
        <w:t>COMPUTATION OF RATIO OF EARNINGS TO COMBINED FIXED CHARGES</w:t>
      </w:r>
    </w:p>
    <w:p>
      <w:pPr>
        <w:jc w:val="center"/>
        <w:ind w:right="140"/>
        <w:spacing w:after="0" w:line="235" w:lineRule="auto"/>
        <w:rPr>
          <w:sz w:val="20"/>
          <w:szCs w:val="20"/>
          <w:color w:val="auto"/>
        </w:rPr>
      </w:pPr>
      <w:r>
        <w:rPr>
          <w:rFonts w:ascii="Arial" w:cs="Arial" w:eastAsia="Arial" w:hAnsi="Arial"/>
          <w:sz w:val="18"/>
          <w:szCs w:val="18"/>
          <w:b w:val="1"/>
          <w:bCs w:val="1"/>
          <w:color w:val="auto"/>
        </w:rPr>
        <w:t>AND PREFERRED STOCK DIVIDENDS</w:t>
      </w:r>
    </w:p>
    <w:p>
      <w:pPr>
        <w:spacing w:after="0" w:line="1" w:lineRule="exact"/>
        <w:rPr>
          <w:sz w:val="20"/>
          <w:szCs w:val="20"/>
          <w:color w:val="auto"/>
        </w:rPr>
      </w:pPr>
    </w:p>
    <w:p>
      <w:pPr>
        <w:jc w:val="center"/>
        <w:ind w:right="140"/>
        <w:spacing w:after="0"/>
        <w:rPr>
          <w:sz w:val="20"/>
          <w:szCs w:val="20"/>
          <w:color w:val="auto"/>
        </w:rPr>
      </w:pPr>
      <w:r>
        <w:rPr>
          <w:rFonts w:ascii="Arial" w:cs="Arial" w:eastAsia="Arial" w:hAnsi="Arial"/>
          <w:sz w:val="18"/>
          <w:szCs w:val="18"/>
          <w:b w:val="1"/>
          <w:bCs w:val="1"/>
          <w:color w:val="auto"/>
        </w:rPr>
        <w:t>(Dollars in millions)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jc w:val="right"/>
              <w:ind w:right="190"/>
              <w:spacing w:after="0"/>
              <w:rPr>
                <w:sz w:val="20"/>
                <w:szCs w:val="20"/>
                <w:color w:val="auto"/>
              </w:rPr>
            </w:pPr>
            <w:r>
              <w:rPr>
                <w:rFonts w:ascii="Arial" w:cs="Arial" w:eastAsia="Arial" w:hAnsi="Arial"/>
                <w:sz w:val="18"/>
                <w:szCs w:val="18"/>
                <w:color w:val="auto"/>
                <w:w w:val="98"/>
              </w:rPr>
              <w:t>June 30,</w:t>
            </w:r>
          </w:p>
        </w:tc>
        <w:tc>
          <w:tcPr>
            <w:tcW w:w="0" w:type="dxa"/>
            <w:vAlign w:val="bottom"/>
          </w:tcPr>
          <w:p>
            <w:pPr>
              <w:spacing w:after="0"/>
              <w:rPr>
                <w:sz w:val="1"/>
                <w:szCs w:val="1"/>
                <w:color w:val="auto"/>
              </w:rPr>
            </w:pPr>
          </w:p>
        </w:tc>
      </w:tr>
      <w:tr>
        <w:trPr>
          <w:trHeight w:val="203"/>
        </w:trPr>
        <w:tc>
          <w:tcPr>
            <w:tcW w:w="2160" w:type="dxa"/>
            <w:vAlign w:val="bottom"/>
            <w:vMerge w:val="restart"/>
          </w:tcPr>
          <w:p>
            <w:pPr>
              <w:spacing w:after="0"/>
              <w:rPr>
                <w:sz w:val="20"/>
                <w:szCs w:val="20"/>
                <w:color w:val="auto"/>
              </w:rPr>
            </w:pPr>
            <w:r>
              <w:rPr>
                <w:rFonts w:ascii="Arial" w:cs="Arial" w:eastAsia="Arial" w:hAnsi="Arial"/>
                <w:sz w:val="18"/>
                <w:szCs w:val="18"/>
                <w:color w:val="auto"/>
              </w:rPr>
              <w:t>Fixed charges and</w:t>
            </w:r>
          </w:p>
        </w:tc>
        <w:tc>
          <w:tcPr>
            <w:tcW w:w="3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330"/>
              <w:spacing w:after="0" w:line="203" w:lineRule="exact"/>
              <w:rPr>
                <w:sz w:val="20"/>
                <w:szCs w:val="20"/>
                <w:color w:val="auto"/>
              </w:rPr>
            </w:pPr>
            <w:r>
              <w:rPr>
                <w:rFonts w:ascii="Arial" w:cs="Arial" w:eastAsia="Arial" w:hAnsi="Arial"/>
                <w:sz w:val="18"/>
                <w:szCs w:val="18"/>
                <w:color w:val="auto"/>
              </w:rPr>
              <w:t>2006</w:t>
            </w:r>
          </w:p>
        </w:tc>
        <w:tc>
          <w:tcPr>
            <w:tcW w:w="32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330"/>
              <w:spacing w:after="0" w:line="203" w:lineRule="exact"/>
              <w:rPr>
                <w:sz w:val="20"/>
                <w:szCs w:val="20"/>
                <w:color w:val="auto"/>
              </w:rPr>
            </w:pPr>
            <w:r>
              <w:rPr>
                <w:rFonts w:ascii="Arial" w:cs="Arial" w:eastAsia="Arial" w:hAnsi="Arial"/>
                <w:sz w:val="18"/>
                <w:szCs w:val="18"/>
                <w:color w:val="auto"/>
              </w:rPr>
              <w:t>2007</w:t>
            </w:r>
          </w:p>
        </w:tc>
        <w:tc>
          <w:tcPr>
            <w:tcW w:w="34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330"/>
              <w:spacing w:after="0" w:line="203" w:lineRule="exact"/>
              <w:rPr>
                <w:sz w:val="20"/>
                <w:szCs w:val="20"/>
                <w:color w:val="auto"/>
              </w:rPr>
            </w:pPr>
            <w:r>
              <w:rPr>
                <w:rFonts w:ascii="Arial" w:cs="Arial" w:eastAsia="Arial" w:hAnsi="Arial"/>
                <w:sz w:val="18"/>
                <w:szCs w:val="18"/>
                <w:color w:val="auto"/>
              </w:rPr>
              <w:t>2008</w:t>
            </w:r>
          </w:p>
        </w:tc>
        <w:tc>
          <w:tcPr>
            <w:tcW w:w="34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330"/>
              <w:spacing w:after="0" w:line="203" w:lineRule="exact"/>
              <w:rPr>
                <w:sz w:val="20"/>
                <w:szCs w:val="20"/>
                <w:color w:val="auto"/>
              </w:rPr>
            </w:pPr>
            <w:r>
              <w:rPr>
                <w:rFonts w:ascii="Arial" w:cs="Arial" w:eastAsia="Arial" w:hAnsi="Arial"/>
                <w:sz w:val="18"/>
                <w:szCs w:val="18"/>
                <w:color w:val="auto"/>
              </w:rPr>
              <w:t>2009</w:t>
            </w:r>
          </w:p>
        </w:tc>
        <w:tc>
          <w:tcPr>
            <w:tcW w:w="34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330"/>
              <w:spacing w:after="0" w:line="203" w:lineRule="exact"/>
              <w:rPr>
                <w:sz w:val="20"/>
                <w:szCs w:val="20"/>
                <w:color w:val="auto"/>
              </w:rPr>
            </w:pPr>
            <w:r>
              <w:rPr>
                <w:rFonts w:ascii="Arial" w:cs="Arial" w:eastAsia="Arial" w:hAnsi="Arial"/>
                <w:sz w:val="18"/>
                <w:szCs w:val="18"/>
                <w:color w:val="auto"/>
              </w:rPr>
              <w:t>2010</w:t>
            </w:r>
          </w:p>
        </w:tc>
        <w:tc>
          <w:tcPr>
            <w:tcW w:w="34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330"/>
              <w:spacing w:after="0" w:line="203" w:lineRule="exact"/>
              <w:rPr>
                <w:sz w:val="20"/>
                <w:szCs w:val="20"/>
                <w:color w:val="auto"/>
              </w:rPr>
            </w:pPr>
            <w:r>
              <w:rPr>
                <w:rFonts w:ascii="Arial" w:cs="Arial" w:eastAsia="Arial" w:hAnsi="Arial"/>
                <w:sz w:val="18"/>
                <w:szCs w:val="18"/>
                <w:color w:val="auto"/>
              </w:rPr>
              <w:t>2011</w:t>
            </w:r>
          </w:p>
        </w:tc>
        <w:tc>
          <w:tcPr>
            <w:tcW w:w="0" w:type="dxa"/>
            <w:vAlign w:val="bottom"/>
          </w:tcPr>
          <w:p>
            <w:pPr>
              <w:spacing w:after="0"/>
              <w:rPr>
                <w:sz w:val="1"/>
                <w:szCs w:val="1"/>
                <w:color w:val="auto"/>
              </w:rPr>
            </w:pPr>
          </w:p>
        </w:tc>
      </w:tr>
      <w:tr>
        <w:trPr>
          <w:trHeight w:val="195"/>
        </w:trPr>
        <w:tc>
          <w:tcPr>
            <w:tcW w:w="2160" w:type="dxa"/>
            <w:vAlign w:val="bottom"/>
            <w:vMerge w:val="continue"/>
          </w:tcPr>
          <w:p>
            <w:pPr>
              <w:spacing w:after="0"/>
              <w:rPr>
                <w:sz w:val="16"/>
                <w:szCs w:val="16"/>
                <w:color w:val="auto"/>
              </w:rPr>
            </w:pPr>
          </w:p>
        </w:tc>
        <w:tc>
          <w:tcPr>
            <w:tcW w:w="3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160" w:type="dxa"/>
            <w:vAlign w:val="bottom"/>
          </w:tcPr>
          <w:p>
            <w:pPr>
              <w:ind w:left="260"/>
              <w:spacing w:after="0" w:line="202" w:lineRule="exact"/>
              <w:rPr>
                <w:sz w:val="20"/>
                <w:szCs w:val="20"/>
                <w:color w:val="auto"/>
              </w:rPr>
            </w:pPr>
            <w:r>
              <w:rPr>
                <w:rFonts w:ascii="Arial" w:cs="Arial" w:eastAsia="Arial" w:hAnsi="Arial"/>
                <w:sz w:val="18"/>
                <w:szCs w:val="18"/>
                <w:color w:val="auto"/>
              </w:rPr>
              <w:t>preferred stock</w:t>
            </w:r>
          </w:p>
        </w:tc>
        <w:tc>
          <w:tcPr>
            <w:tcW w:w="3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160" w:type="dxa"/>
            <w:vAlign w:val="bottom"/>
          </w:tcPr>
          <w:p>
            <w:pPr>
              <w:ind w:left="260"/>
              <w:spacing w:after="0"/>
              <w:rPr>
                <w:sz w:val="20"/>
                <w:szCs w:val="20"/>
                <w:color w:val="auto"/>
              </w:rPr>
            </w:pPr>
            <w:r>
              <w:rPr>
                <w:rFonts w:ascii="Arial" w:cs="Arial" w:eastAsia="Arial" w:hAnsi="Arial"/>
                <w:sz w:val="18"/>
                <w:szCs w:val="18"/>
                <w:color w:val="auto"/>
              </w:rPr>
              <w:t>dividends:</w:t>
            </w:r>
          </w:p>
        </w:tc>
        <w:tc>
          <w:tcPr>
            <w:tcW w:w="3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160" w:type="dxa"/>
            <w:vAlign w:val="bottom"/>
          </w:tcPr>
          <w:p>
            <w:pPr>
              <w:spacing w:after="0" w:line="202" w:lineRule="exact"/>
              <w:rPr>
                <w:sz w:val="20"/>
                <w:szCs w:val="20"/>
                <w:color w:val="auto"/>
              </w:rPr>
            </w:pPr>
            <w:r>
              <w:rPr>
                <w:rFonts w:ascii="Arial" w:cs="Arial" w:eastAsia="Arial" w:hAnsi="Arial"/>
                <w:sz w:val="18"/>
                <w:szCs w:val="18"/>
                <w:color w:val="auto"/>
              </w:rPr>
              <w:t>Interest</w:t>
            </w:r>
          </w:p>
        </w:tc>
        <w:tc>
          <w:tcPr>
            <w:tcW w:w="3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900" w:type="dxa"/>
            <w:vAlign w:val="bottom"/>
          </w:tcPr>
          <w:p>
            <w:pPr>
              <w:jc w:val="right"/>
              <w:ind w:right="50"/>
              <w:spacing w:after="0" w:line="202" w:lineRule="exact"/>
              <w:rPr>
                <w:sz w:val="20"/>
                <w:szCs w:val="20"/>
                <w:color w:val="auto"/>
              </w:rPr>
            </w:pPr>
            <w:r>
              <w:rPr>
                <w:rFonts w:ascii="Arial" w:cs="Arial" w:eastAsia="Arial" w:hAnsi="Arial"/>
                <w:sz w:val="18"/>
                <w:szCs w:val="18"/>
                <w:color w:val="auto"/>
              </w:rPr>
              <w:t>413</w:t>
            </w:r>
          </w:p>
        </w:tc>
        <w:tc>
          <w:tcPr>
            <w:tcW w:w="66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w:t>
            </w:r>
          </w:p>
        </w:tc>
        <w:tc>
          <w:tcPr>
            <w:tcW w:w="900" w:type="dxa"/>
            <w:vAlign w:val="bottom"/>
          </w:tcPr>
          <w:p>
            <w:pPr>
              <w:jc w:val="right"/>
              <w:ind w:right="30"/>
              <w:spacing w:after="0" w:line="202" w:lineRule="exact"/>
              <w:rPr>
                <w:sz w:val="20"/>
                <w:szCs w:val="20"/>
                <w:color w:val="auto"/>
              </w:rPr>
            </w:pPr>
            <w:r>
              <w:rPr>
                <w:rFonts w:ascii="Arial" w:cs="Arial" w:eastAsia="Arial" w:hAnsi="Arial"/>
                <w:sz w:val="18"/>
                <w:szCs w:val="18"/>
                <w:color w:val="auto"/>
              </w:rPr>
              <w:t>379</w:t>
            </w:r>
          </w:p>
        </w:tc>
        <w:tc>
          <w:tcPr>
            <w:tcW w:w="68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w:t>
            </w:r>
          </w:p>
        </w:tc>
        <w:tc>
          <w:tcPr>
            <w:tcW w:w="900" w:type="dxa"/>
            <w:vAlign w:val="bottom"/>
          </w:tcPr>
          <w:p>
            <w:pPr>
              <w:jc w:val="right"/>
              <w:ind w:right="30"/>
              <w:spacing w:after="0" w:line="202" w:lineRule="exact"/>
              <w:rPr>
                <w:sz w:val="20"/>
                <w:szCs w:val="20"/>
                <w:color w:val="auto"/>
              </w:rPr>
            </w:pPr>
            <w:r>
              <w:rPr>
                <w:rFonts w:ascii="Arial" w:cs="Arial" w:eastAsia="Arial" w:hAnsi="Arial"/>
                <w:sz w:val="18"/>
                <w:szCs w:val="18"/>
                <w:color w:val="auto"/>
              </w:rPr>
              <w:t>353</w:t>
            </w:r>
          </w:p>
        </w:tc>
        <w:tc>
          <w:tcPr>
            <w:tcW w:w="68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w:t>
            </w:r>
          </w:p>
        </w:tc>
        <w:tc>
          <w:tcPr>
            <w:tcW w:w="900" w:type="dxa"/>
            <w:vAlign w:val="bottom"/>
          </w:tcPr>
          <w:p>
            <w:pPr>
              <w:jc w:val="right"/>
              <w:ind w:right="30"/>
              <w:spacing w:after="0" w:line="202" w:lineRule="exact"/>
              <w:rPr>
                <w:sz w:val="20"/>
                <w:szCs w:val="20"/>
                <w:color w:val="auto"/>
              </w:rPr>
            </w:pPr>
            <w:r>
              <w:rPr>
                <w:rFonts w:ascii="Arial" w:cs="Arial" w:eastAsia="Arial" w:hAnsi="Arial"/>
                <w:sz w:val="18"/>
                <w:szCs w:val="18"/>
                <w:color w:val="auto"/>
              </w:rPr>
              <w:t>455</w:t>
            </w:r>
          </w:p>
        </w:tc>
        <w:tc>
          <w:tcPr>
            <w:tcW w:w="68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w:t>
            </w:r>
          </w:p>
        </w:tc>
        <w:tc>
          <w:tcPr>
            <w:tcW w:w="900" w:type="dxa"/>
            <w:vAlign w:val="bottom"/>
          </w:tcPr>
          <w:p>
            <w:pPr>
              <w:jc w:val="right"/>
              <w:ind w:right="30"/>
              <w:spacing w:after="0" w:line="202" w:lineRule="exact"/>
              <w:rPr>
                <w:sz w:val="20"/>
                <w:szCs w:val="20"/>
                <w:color w:val="auto"/>
              </w:rPr>
            </w:pPr>
            <w:r>
              <w:rPr>
                <w:rFonts w:ascii="Arial" w:cs="Arial" w:eastAsia="Arial" w:hAnsi="Arial"/>
                <w:sz w:val="18"/>
                <w:szCs w:val="18"/>
                <w:color w:val="auto"/>
              </w:rPr>
              <w:t>492</w:t>
            </w:r>
          </w:p>
        </w:tc>
        <w:tc>
          <w:tcPr>
            <w:tcW w:w="6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980" w:type="dxa"/>
            <w:vAlign w:val="bottom"/>
          </w:tcPr>
          <w:p>
            <w:pPr>
              <w:jc w:val="right"/>
              <w:ind w:right="30"/>
              <w:spacing w:after="0" w:line="202" w:lineRule="exact"/>
              <w:rPr>
                <w:sz w:val="20"/>
                <w:szCs w:val="20"/>
                <w:color w:val="auto"/>
              </w:rPr>
            </w:pPr>
            <w:r>
              <w:rPr>
                <w:rFonts w:ascii="Arial" w:cs="Arial" w:eastAsia="Arial" w:hAnsi="Arial"/>
                <w:sz w:val="18"/>
                <w:szCs w:val="18"/>
                <w:color w:val="auto"/>
              </w:rPr>
              <w:t>256</w:t>
            </w:r>
          </w:p>
        </w:tc>
        <w:tc>
          <w:tcPr>
            <w:tcW w:w="0" w:type="dxa"/>
            <w:vAlign w:val="bottom"/>
          </w:tcPr>
          <w:p>
            <w:pPr>
              <w:spacing w:after="0"/>
              <w:rPr>
                <w:sz w:val="1"/>
                <w:szCs w:val="1"/>
                <w:color w:val="auto"/>
              </w:rPr>
            </w:pPr>
          </w:p>
        </w:tc>
      </w:tr>
      <w:tr>
        <w:trPr>
          <w:trHeight w:val="203"/>
        </w:trPr>
        <w:tc>
          <w:tcPr>
            <w:tcW w:w="2160" w:type="dxa"/>
            <w:vAlign w:val="bottom"/>
          </w:tcPr>
          <w:p>
            <w:pPr>
              <w:spacing w:after="0" w:line="202" w:lineRule="exact"/>
              <w:rPr>
                <w:sz w:val="20"/>
                <w:szCs w:val="20"/>
                <w:color w:val="auto"/>
              </w:rPr>
            </w:pPr>
            <w:r>
              <w:rPr>
                <w:rFonts w:ascii="Arial" w:cs="Arial" w:eastAsia="Arial" w:hAnsi="Arial"/>
                <w:sz w:val="18"/>
                <w:szCs w:val="18"/>
                <w:color w:val="auto"/>
              </w:rPr>
              <w:t>Interest portion of</w:t>
            </w:r>
          </w:p>
        </w:tc>
        <w:tc>
          <w:tcPr>
            <w:tcW w:w="3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160" w:type="dxa"/>
            <w:vAlign w:val="bottom"/>
          </w:tcPr>
          <w:p>
            <w:pPr>
              <w:ind w:left="260"/>
              <w:spacing w:after="0" w:line="202" w:lineRule="exact"/>
              <w:rPr>
                <w:sz w:val="20"/>
                <w:szCs w:val="20"/>
                <w:color w:val="auto"/>
              </w:rPr>
            </w:pPr>
            <w:r>
              <w:rPr>
                <w:rFonts w:ascii="Arial" w:cs="Arial" w:eastAsia="Arial" w:hAnsi="Arial"/>
                <w:sz w:val="18"/>
                <w:szCs w:val="18"/>
                <w:color w:val="auto"/>
              </w:rPr>
              <w:t>annual rentals</w:t>
            </w:r>
          </w:p>
        </w:tc>
        <w:tc>
          <w:tcPr>
            <w:tcW w:w="340" w:type="dxa"/>
            <w:vAlign w:val="bottom"/>
          </w:tcPr>
          <w:p>
            <w:pPr>
              <w:spacing w:after="0"/>
              <w:rPr>
                <w:sz w:val="17"/>
                <w:szCs w:val="17"/>
                <w:color w:val="auto"/>
              </w:rPr>
            </w:pPr>
          </w:p>
        </w:tc>
        <w:tc>
          <w:tcPr>
            <w:tcW w:w="900" w:type="dxa"/>
            <w:vAlign w:val="bottom"/>
          </w:tcPr>
          <w:p>
            <w:pPr>
              <w:jc w:val="right"/>
              <w:ind w:right="50"/>
              <w:spacing w:after="0" w:line="202" w:lineRule="exact"/>
              <w:rPr>
                <w:sz w:val="20"/>
                <w:szCs w:val="20"/>
                <w:color w:val="auto"/>
              </w:rPr>
            </w:pPr>
            <w:r>
              <w:rPr>
                <w:rFonts w:ascii="Arial" w:cs="Arial" w:eastAsia="Arial" w:hAnsi="Arial"/>
                <w:sz w:val="18"/>
                <w:szCs w:val="18"/>
                <w:color w:val="auto"/>
              </w:rPr>
              <w:t>6</w:t>
            </w:r>
          </w:p>
        </w:tc>
        <w:tc>
          <w:tcPr>
            <w:tcW w:w="3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00" w:type="dxa"/>
            <w:vAlign w:val="bottom"/>
          </w:tcPr>
          <w:p>
            <w:pPr>
              <w:jc w:val="right"/>
              <w:ind w:right="30"/>
              <w:spacing w:after="0" w:line="202" w:lineRule="exact"/>
              <w:rPr>
                <w:sz w:val="20"/>
                <w:szCs w:val="20"/>
                <w:color w:val="auto"/>
              </w:rPr>
            </w:pPr>
            <w:r>
              <w:rPr>
                <w:rFonts w:ascii="Arial" w:cs="Arial" w:eastAsia="Arial" w:hAnsi="Arial"/>
                <w:sz w:val="18"/>
                <w:szCs w:val="18"/>
                <w:color w:val="auto"/>
              </w:rPr>
              <w:t>6</w:t>
            </w:r>
          </w:p>
        </w:tc>
        <w:tc>
          <w:tcPr>
            <w:tcW w:w="3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00" w:type="dxa"/>
            <w:vAlign w:val="bottom"/>
          </w:tcPr>
          <w:p>
            <w:pPr>
              <w:jc w:val="right"/>
              <w:ind w:right="30"/>
              <w:spacing w:after="0" w:line="202" w:lineRule="exact"/>
              <w:rPr>
                <w:sz w:val="20"/>
                <w:szCs w:val="20"/>
                <w:color w:val="auto"/>
              </w:rPr>
            </w:pPr>
            <w:r>
              <w:rPr>
                <w:rFonts w:ascii="Arial" w:cs="Arial" w:eastAsia="Arial" w:hAnsi="Arial"/>
                <w:sz w:val="18"/>
                <w:szCs w:val="18"/>
                <w:color w:val="auto"/>
              </w:rPr>
              <w:t>3</w:t>
            </w:r>
          </w:p>
        </w:tc>
        <w:tc>
          <w:tcPr>
            <w:tcW w:w="3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00" w:type="dxa"/>
            <w:vAlign w:val="bottom"/>
          </w:tcPr>
          <w:p>
            <w:pPr>
              <w:jc w:val="right"/>
              <w:ind w:right="30"/>
              <w:spacing w:after="0" w:line="202" w:lineRule="exact"/>
              <w:rPr>
                <w:sz w:val="20"/>
                <w:szCs w:val="20"/>
                <w:color w:val="auto"/>
              </w:rPr>
            </w:pPr>
            <w:r>
              <w:rPr>
                <w:rFonts w:ascii="Arial" w:cs="Arial" w:eastAsia="Arial" w:hAnsi="Arial"/>
                <w:sz w:val="18"/>
                <w:szCs w:val="18"/>
                <w:color w:val="auto"/>
              </w:rPr>
              <w:t>2</w:t>
            </w:r>
          </w:p>
        </w:tc>
        <w:tc>
          <w:tcPr>
            <w:tcW w:w="3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00" w:type="dxa"/>
            <w:vAlign w:val="bottom"/>
          </w:tcPr>
          <w:p>
            <w:pPr>
              <w:jc w:val="right"/>
              <w:ind w:right="30"/>
              <w:spacing w:after="0" w:line="202" w:lineRule="exact"/>
              <w:rPr>
                <w:sz w:val="20"/>
                <w:szCs w:val="20"/>
                <w:color w:val="auto"/>
              </w:rPr>
            </w:pPr>
            <w:r>
              <w:rPr>
                <w:rFonts w:ascii="Arial" w:cs="Arial" w:eastAsia="Arial" w:hAnsi="Arial"/>
                <w:sz w:val="18"/>
                <w:szCs w:val="18"/>
                <w:color w:val="auto"/>
              </w:rPr>
              <w:t>3</w:t>
            </w:r>
          </w:p>
        </w:tc>
        <w:tc>
          <w:tcPr>
            <w:tcW w:w="3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jc w:val="right"/>
              <w:ind w:right="30"/>
              <w:spacing w:after="0" w:line="202" w:lineRule="exact"/>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3"/>
        </w:trPr>
        <w:tc>
          <w:tcPr>
            <w:tcW w:w="2160" w:type="dxa"/>
            <w:vAlign w:val="bottom"/>
          </w:tcPr>
          <w:p>
            <w:pPr>
              <w:spacing w:after="0" w:line="202" w:lineRule="exact"/>
              <w:rPr>
                <w:sz w:val="20"/>
                <w:szCs w:val="20"/>
                <w:color w:val="auto"/>
              </w:rPr>
            </w:pPr>
            <w:r>
              <w:rPr>
                <w:rFonts w:ascii="Arial" w:cs="Arial" w:eastAsia="Arial" w:hAnsi="Arial"/>
                <w:sz w:val="18"/>
                <w:szCs w:val="18"/>
                <w:color w:val="auto"/>
              </w:rPr>
              <w:t>Preferred dividends</w:t>
            </w:r>
          </w:p>
        </w:tc>
        <w:tc>
          <w:tcPr>
            <w:tcW w:w="340" w:type="dxa"/>
            <w:vAlign w:val="bottom"/>
          </w:tcPr>
          <w:p>
            <w:pPr>
              <w:spacing w:after="0"/>
              <w:rPr>
                <w:sz w:val="17"/>
                <w:szCs w:val="17"/>
                <w:color w:val="auto"/>
              </w:rPr>
            </w:pPr>
          </w:p>
        </w:tc>
        <w:tc>
          <w:tcPr>
            <w:tcW w:w="900" w:type="dxa"/>
            <w:vAlign w:val="bottom"/>
            <w:vMerge w:val="restart"/>
          </w:tcPr>
          <w:p>
            <w:pPr>
              <w:jc w:val="right"/>
              <w:ind w:right="50"/>
              <w:spacing w:after="0"/>
              <w:rPr>
                <w:sz w:val="20"/>
                <w:szCs w:val="20"/>
                <w:color w:val="auto"/>
              </w:rPr>
            </w:pPr>
            <w:r>
              <w:rPr>
                <w:rFonts w:ascii="Arial" w:cs="Arial" w:eastAsia="Arial" w:hAnsi="Arial"/>
                <w:sz w:val="18"/>
                <w:szCs w:val="18"/>
                <w:color w:val="auto"/>
              </w:rPr>
              <w:t>15</w:t>
            </w:r>
          </w:p>
        </w:tc>
        <w:tc>
          <w:tcPr>
            <w:tcW w:w="3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00" w:type="dxa"/>
            <w:vAlign w:val="bottom"/>
            <w:vMerge w:val="restart"/>
          </w:tcPr>
          <w:p>
            <w:pPr>
              <w:jc w:val="right"/>
              <w:ind w:right="30"/>
              <w:spacing w:after="0"/>
              <w:rPr>
                <w:sz w:val="20"/>
                <w:szCs w:val="20"/>
                <w:color w:val="auto"/>
              </w:rPr>
            </w:pPr>
            <w:r>
              <w:rPr>
                <w:rFonts w:ascii="Arial" w:cs="Arial" w:eastAsia="Arial" w:hAnsi="Arial"/>
                <w:sz w:val="18"/>
                <w:szCs w:val="18"/>
                <w:color w:val="auto"/>
              </w:rPr>
              <w:t>14</w:t>
            </w:r>
          </w:p>
        </w:tc>
        <w:tc>
          <w:tcPr>
            <w:tcW w:w="3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00" w:type="dxa"/>
            <w:vAlign w:val="bottom"/>
            <w:vMerge w:val="restart"/>
          </w:tcPr>
          <w:p>
            <w:pPr>
              <w:jc w:val="right"/>
              <w:ind w:right="30"/>
              <w:spacing w:after="0"/>
              <w:rPr>
                <w:sz w:val="20"/>
                <w:szCs w:val="20"/>
                <w:color w:val="auto"/>
              </w:rPr>
            </w:pPr>
            <w:r>
              <w:rPr>
                <w:rFonts w:ascii="Arial" w:cs="Arial" w:eastAsia="Arial" w:hAnsi="Arial"/>
                <w:sz w:val="18"/>
                <w:szCs w:val="18"/>
                <w:color w:val="auto"/>
              </w:rPr>
              <w:t>13</w:t>
            </w:r>
          </w:p>
        </w:tc>
        <w:tc>
          <w:tcPr>
            <w:tcW w:w="3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00" w:type="dxa"/>
            <w:vAlign w:val="bottom"/>
            <w:vMerge w:val="restart"/>
          </w:tcPr>
          <w:p>
            <w:pPr>
              <w:jc w:val="right"/>
              <w:ind w:right="30"/>
              <w:spacing w:after="0"/>
              <w:rPr>
                <w:sz w:val="20"/>
                <w:szCs w:val="20"/>
                <w:color w:val="auto"/>
              </w:rPr>
            </w:pPr>
            <w:r>
              <w:rPr>
                <w:rFonts w:ascii="Arial" w:cs="Arial" w:eastAsia="Arial" w:hAnsi="Arial"/>
                <w:sz w:val="18"/>
                <w:szCs w:val="18"/>
                <w:color w:val="auto"/>
              </w:rPr>
              <w:t>13</w:t>
            </w:r>
          </w:p>
        </w:tc>
        <w:tc>
          <w:tcPr>
            <w:tcW w:w="3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00" w:type="dxa"/>
            <w:vAlign w:val="bottom"/>
            <w:vMerge w:val="restart"/>
          </w:tcPr>
          <w:p>
            <w:pPr>
              <w:jc w:val="right"/>
              <w:ind w:right="30"/>
              <w:spacing w:after="0"/>
              <w:rPr>
                <w:sz w:val="20"/>
                <w:szCs w:val="20"/>
                <w:color w:val="auto"/>
              </w:rPr>
            </w:pPr>
            <w:r>
              <w:rPr>
                <w:rFonts w:ascii="Arial" w:cs="Arial" w:eastAsia="Arial" w:hAnsi="Arial"/>
                <w:sz w:val="18"/>
                <w:szCs w:val="18"/>
                <w:color w:val="auto"/>
              </w:rPr>
              <w:t>11</w:t>
            </w:r>
          </w:p>
        </w:tc>
        <w:tc>
          <w:tcPr>
            <w:tcW w:w="3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vMerge w:val="restart"/>
          </w:tcPr>
          <w:p>
            <w:pPr>
              <w:jc w:val="right"/>
              <w:ind w:right="3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190"/>
        </w:trPr>
        <w:tc>
          <w:tcPr>
            <w:tcW w:w="2160" w:type="dxa"/>
            <w:vAlign w:val="bottom"/>
          </w:tcPr>
          <w:p>
            <w:pPr>
              <w:ind w:left="260"/>
              <w:spacing w:after="0" w:line="190" w:lineRule="exact"/>
              <w:rPr>
                <w:sz w:val="20"/>
                <w:szCs w:val="20"/>
                <w:color w:val="auto"/>
              </w:rPr>
            </w:pPr>
            <w:r>
              <w:rPr>
                <w:rFonts w:ascii="Arial" w:cs="Arial" w:eastAsia="Arial" w:hAnsi="Arial"/>
                <w:sz w:val="18"/>
                <w:szCs w:val="18"/>
                <w:color w:val="auto"/>
              </w:rPr>
              <w:t>of subsidiaries (1)</w:t>
            </w:r>
          </w:p>
        </w:tc>
        <w:tc>
          <w:tcPr>
            <w:tcW w:w="3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vMerge w:val="continue"/>
          </w:tcPr>
          <w:p>
            <w:pPr>
              <w:spacing w:after="0"/>
              <w:rPr>
                <w:sz w:val="16"/>
                <w:szCs w:val="16"/>
                <w:color w:val="auto"/>
              </w:rPr>
            </w:pPr>
          </w:p>
        </w:tc>
        <w:tc>
          <w:tcPr>
            <w:tcW w:w="3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vMerge w:val="continue"/>
          </w:tcPr>
          <w:p>
            <w:pPr>
              <w:spacing w:after="0"/>
              <w:rPr>
                <w:sz w:val="16"/>
                <w:szCs w:val="16"/>
                <w:color w:val="auto"/>
              </w:rPr>
            </w:pPr>
          </w:p>
        </w:tc>
        <w:tc>
          <w:tcPr>
            <w:tcW w:w="34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vMerge w:val="continue"/>
          </w:tcPr>
          <w:p>
            <w:pPr>
              <w:spacing w:after="0"/>
              <w:rPr>
                <w:sz w:val="16"/>
                <w:szCs w:val="16"/>
                <w:color w:val="auto"/>
              </w:rPr>
            </w:pPr>
          </w:p>
        </w:tc>
        <w:tc>
          <w:tcPr>
            <w:tcW w:w="34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vMerge w:val="continue"/>
          </w:tcPr>
          <w:p>
            <w:pPr>
              <w:spacing w:after="0"/>
              <w:rPr>
                <w:sz w:val="16"/>
                <w:szCs w:val="16"/>
                <w:color w:val="auto"/>
              </w:rPr>
            </w:pPr>
          </w:p>
        </w:tc>
        <w:tc>
          <w:tcPr>
            <w:tcW w:w="34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vMerge w:val="continue"/>
          </w:tcPr>
          <w:p>
            <w:pPr>
              <w:spacing w:after="0"/>
              <w:rPr>
                <w:sz w:val="16"/>
                <w:szCs w:val="16"/>
                <w:color w:val="auto"/>
              </w:rPr>
            </w:pPr>
          </w:p>
        </w:tc>
        <w:tc>
          <w:tcPr>
            <w:tcW w:w="3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160" w:type="dxa"/>
            <w:vAlign w:val="bottom"/>
          </w:tcPr>
          <w:p>
            <w:pPr>
              <w:ind w:left="240"/>
              <w:spacing w:after="0" w:line="195" w:lineRule="exact"/>
              <w:rPr>
                <w:sz w:val="20"/>
                <w:szCs w:val="20"/>
                <w:color w:val="auto"/>
              </w:rPr>
            </w:pPr>
            <w:r>
              <w:rPr>
                <w:rFonts w:ascii="Arial" w:cs="Arial" w:eastAsia="Arial" w:hAnsi="Arial"/>
                <w:sz w:val="18"/>
                <w:szCs w:val="18"/>
                <w:color w:val="auto"/>
              </w:rPr>
              <w:t>Total fixed</w:t>
            </w:r>
          </w:p>
        </w:tc>
        <w:tc>
          <w:tcPr>
            <w:tcW w:w="3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160" w:type="dxa"/>
            <w:vAlign w:val="bottom"/>
          </w:tcPr>
          <w:p>
            <w:pPr>
              <w:ind w:left="260"/>
              <w:spacing w:after="0" w:line="202" w:lineRule="exact"/>
              <w:rPr>
                <w:sz w:val="20"/>
                <w:szCs w:val="20"/>
                <w:color w:val="auto"/>
              </w:rPr>
            </w:pPr>
            <w:r>
              <w:rPr>
                <w:rFonts w:ascii="Arial" w:cs="Arial" w:eastAsia="Arial" w:hAnsi="Arial"/>
                <w:sz w:val="18"/>
                <w:szCs w:val="18"/>
                <w:color w:val="auto"/>
              </w:rPr>
              <w:t>charges</w:t>
            </w:r>
          </w:p>
        </w:tc>
        <w:tc>
          <w:tcPr>
            <w:tcW w:w="340" w:type="dxa"/>
            <w:vAlign w:val="bottom"/>
          </w:tcPr>
          <w:p>
            <w:pPr>
              <w:spacing w:after="0"/>
              <w:rPr>
                <w:sz w:val="17"/>
                <w:szCs w:val="17"/>
                <w:color w:val="auto"/>
              </w:rPr>
            </w:pPr>
          </w:p>
        </w:tc>
        <w:tc>
          <w:tcPr>
            <w:tcW w:w="900" w:type="dxa"/>
            <w:vAlign w:val="bottom"/>
          </w:tcPr>
          <w:p>
            <w:pPr>
              <w:jc w:val="right"/>
              <w:ind w:right="50"/>
              <w:spacing w:after="0" w:line="202" w:lineRule="exact"/>
              <w:rPr>
                <w:sz w:val="20"/>
                <w:szCs w:val="20"/>
                <w:color w:val="auto"/>
              </w:rPr>
            </w:pPr>
            <w:r>
              <w:rPr>
                <w:rFonts w:ascii="Arial" w:cs="Arial" w:eastAsia="Arial" w:hAnsi="Arial"/>
                <w:sz w:val="18"/>
                <w:szCs w:val="18"/>
                <w:color w:val="auto"/>
              </w:rPr>
              <w:t>434</w:t>
            </w:r>
          </w:p>
        </w:tc>
        <w:tc>
          <w:tcPr>
            <w:tcW w:w="3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00" w:type="dxa"/>
            <w:vAlign w:val="bottom"/>
          </w:tcPr>
          <w:p>
            <w:pPr>
              <w:jc w:val="right"/>
              <w:ind w:right="30"/>
              <w:spacing w:after="0" w:line="202" w:lineRule="exact"/>
              <w:rPr>
                <w:sz w:val="20"/>
                <w:szCs w:val="20"/>
                <w:color w:val="auto"/>
              </w:rPr>
            </w:pPr>
            <w:r>
              <w:rPr>
                <w:rFonts w:ascii="Arial" w:cs="Arial" w:eastAsia="Arial" w:hAnsi="Arial"/>
                <w:sz w:val="18"/>
                <w:szCs w:val="18"/>
                <w:color w:val="auto"/>
              </w:rPr>
              <w:t>399</w:t>
            </w:r>
          </w:p>
        </w:tc>
        <w:tc>
          <w:tcPr>
            <w:tcW w:w="3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00" w:type="dxa"/>
            <w:vAlign w:val="bottom"/>
          </w:tcPr>
          <w:p>
            <w:pPr>
              <w:jc w:val="right"/>
              <w:ind w:right="30"/>
              <w:spacing w:after="0" w:line="202" w:lineRule="exact"/>
              <w:rPr>
                <w:sz w:val="20"/>
                <w:szCs w:val="20"/>
                <w:color w:val="auto"/>
              </w:rPr>
            </w:pPr>
            <w:r>
              <w:rPr>
                <w:rFonts w:ascii="Arial" w:cs="Arial" w:eastAsia="Arial" w:hAnsi="Arial"/>
                <w:sz w:val="18"/>
                <w:szCs w:val="18"/>
                <w:color w:val="auto"/>
              </w:rPr>
              <w:t>369</w:t>
            </w:r>
          </w:p>
        </w:tc>
        <w:tc>
          <w:tcPr>
            <w:tcW w:w="3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00" w:type="dxa"/>
            <w:vAlign w:val="bottom"/>
          </w:tcPr>
          <w:p>
            <w:pPr>
              <w:jc w:val="right"/>
              <w:ind w:right="30"/>
              <w:spacing w:after="0" w:line="202" w:lineRule="exact"/>
              <w:rPr>
                <w:sz w:val="20"/>
                <w:szCs w:val="20"/>
                <w:color w:val="auto"/>
              </w:rPr>
            </w:pPr>
            <w:r>
              <w:rPr>
                <w:rFonts w:ascii="Arial" w:cs="Arial" w:eastAsia="Arial" w:hAnsi="Arial"/>
                <w:sz w:val="18"/>
                <w:szCs w:val="18"/>
                <w:color w:val="auto"/>
              </w:rPr>
              <w:t>470</w:t>
            </w:r>
          </w:p>
        </w:tc>
        <w:tc>
          <w:tcPr>
            <w:tcW w:w="3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00" w:type="dxa"/>
            <w:vAlign w:val="bottom"/>
          </w:tcPr>
          <w:p>
            <w:pPr>
              <w:jc w:val="right"/>
              <w:ind w:right="30"/>
              <w:spacing w:after="0" w:line="202" w:lineRule="exact"/>
              <w:rPr>
                <w:sz w:val="20"/>
                <w:szCs w:val="20"/>
                <w:color w:val="auto"/>
              </w:rPr>
            </w:pPr>
            <w:r>
              <w:rPr>
                <w:rFonts w:ascii="Arial" w:cs="Arial" w:eastAsia="Arial" w:hAnsi="Arial"/>
                <w:sz w:val="18"/>
                <w:szCs w:val="18"/>
                <w:color w:val="auto"/>
              </w:rPr>
              <w:t>506</w:t>
            </w:r>
          </w:p>
        </w:tc>
        <w:tc>
          <w:tcPr>
            <w:tcW w:w="3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jc w:val="right"/>
              <w:ind w:right="30"/>
              <w:spacing w:after="0" w:line="202" w:lineRule="exact"/>
              <w:rPr>
                <w:sz w:val="20"/>
                <w:szCs w:val="20"/>
                <w:color w:val="auto"/>
              </w:rPr>
            </w:pPr>
            <w:r>
              <w:rPr>
                <w:rFonts w:ascii="Arial" w:cs="Arial" w:eastAsia="Arial" w:hAnsi="Arial"/>
                <w:sz w:val="18"/>
                <w:szCs w:val="18"/>
                <w:color w:val="auto"/>
              </w:rPr>
              <w:t>263</w:t>
            </w:r>
          </w:p>
        </w:tc>
        <w:tc>
          <w:tcPr>
            <w:tcW w:w="0" w:type="dxa"/>
            <w:vAlign w:val="bottom"/>
          </w:tcPr>
          <w:p>
            <w:pPr>
              <w:spacing w:after="0"/>
              <w:rPr>
                <w:sz w:val="1"/>
                <w:szCs w:val="1"/>
                <w:color w:val="auto"/>
              </w:rPr>
            </w:pPr>
          </w:p>
        </w:tc>
      </w:tr>
      <w:tr>
        <w:trPr>
          <w:trHeight w:val="203"/>
        </w:trPr>
        <w:tc>
          <w:tcPr>
            <w:tcW w:w="2160" w:type="dxa"/>
            <w:vAlign w:val="bottom"/>
          </w:tcPr>
          <w:p>
            <w:pPr>
              <w:spacing w:after="0" w:line="202" w:lineRule="exact"/>
              <w:rPr>
                <w:sz w:val="20"/>
                <w:szCs w:val="20"/>
                <w:color w:val="auto"/>
              </w:rPr>
            </w:pPr>
            <w:r>
              <w:rPr>
                <w:rFonts w:ascii="Arial" w:cs="Arial" w:eastAsia="Arial" w:hAnsi="Arial"/>
                <w:sz w:val="18"/>
                <w:szCs w:val="18"/>
                <w:color w:val="auto"/>
              </w:rPr>
              <w:t>Preferred dividends</w:t>
            </w:r>
          </w:p>
        </w:tc>
        <w:tc>
          <w:tcPr>
            <w:tcW w:w="3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160" w:type="dxa"/>
            <w:vAlign w:val="bottom"/>
          </w:tcPr>
          <w:p>
            <w:pPr>
              <w:ind w:left="260"/>
              <w:spacing w:after="0" w:line="202" w:lineRule="exact"/>
              <w:rPr>
                <w:sz w:val="20"/>
                <w:szCs w:val="20"/>
                <w:color w:val="auto"/>
              </w:rPr>
            </w:pPr>
            <w:r>
              <w:rPr>
                <w:rFonts w:ascii="Arial" w:cs="Arial" w:eastAsia="Arial" w:hAnsi="Arial"/>
                <w:sz w:val="18"/>
                <w:szCs w:val="18"/>
                <w:color w:val="auto"/>
              </w:rPr>
              <w:t>for purpose of</w:t>
            </w:r>
          </w:p>
        </w:tc>
        <w:tc>
          <w:tcPr>
            <w:tcW w:w="340" w:type="dxa"/>
            <w:vAlign w:val="bottom"/>
          </w:tcPr>
          <w:p>
            <w:pPr>
              <w:spacing w:after="0"/>
              <w:rPr>
                <w:sz w:val="17"/>
                <w:szCs w:val="17"/>
                <w:color w:val="auto"/>
              </w:rPr>
            </w:pPr>
          </w:p>
        </w:tc>
        <w:tc>
          <w:tcPr>
            <w:tcW w:w="900" w:type="dxa"/>
            <w:vAlign w:val="bottom"/>
            <w:vMerge w:val="restart"/>
          </w:tcPr>
          <w:p>
            <w:pPr>
              <w:jc w:val="right"/>
              <w:ind w:right="5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00" w:type="dxa"/>
            <w:vAlign w:val="bottom"/>
            <w:vMerge w:val="restart"/>
          </w:tcPr>
          <w:p>
            <w:pPr>
              <w:jc w:val="right"/>
              <w:ind w:right="3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00" w:type="dxa"/>
            <w:vAlign w:val="bottom"/>
            <w:vMerge w:val="restart"/>
          </w:tcPr>
          <w:p>
            <w:pPr>
              <w:jc w:val="right"/>
              <w:ind w:right="3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00" w:type="dxa"/>
            <w:vAlign w:val="bottom"/>
            <w:vMerge w:val="restart"/>
          </w:tcPr>
          <w:p>
            <w:pPr>
              <w:jc w:val="right"/>
              <w:ind w:right="3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00" w:type="dxa"/>
            <w:vAlign w:val="bottom"/>
            <w:vMerge w:val="restart"/>
          </w:tcPr>
          <w:p>
            <w:pPr>
              <w:jc w:val="right"/>
              <w:ind w:right="3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160" w:type="dxa"/>
            <w:vAlign w:val="bottom"/>
          </w:tcPr>
          <w:p>
            <w:pPr>
              <w:ind w:left="260"/>
              <w:spacing w:after="0" w:line="190" w:lineRule="exact"/>
              <w:rPr>
                <w:sz w:val="20"/>
                <w:szCs w:val="20"/>
                <w:color w:val="auto"/>
              </w:rPr>
            </w:pPr>
            <w:r>
              <w:rPr>
                <w:rFonts w:ascii="Arial" w:cs="Arial" w:eastAsia="Arial" w:hAnsi="Arial"/>
                <w:sz w:val="18"/>
                <w:szCs w:val="18"/>
                <w:color w:val="auto"/>
              </w:rPr>
              <w:t>ratio</w:t>
            </w:r>
          </w:p>
        </w:tc>
        <w:tc>
          <w:tcPr>
            <w:tcW w:w="3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vMerge w:val="continue"/>
          </w:tcPr>
          <w:p>
            <w:pPr>
              <w:spacing w:after="0"/>
              <w:rPr>
                <w:sz w:val="17"/>
                <w:szCs w:val="17"/>
                <w:color w:val="auto"/>
              </w:rPr>
            </w:pPr>
          </w:p>
        </w:tc>
        <w:tc>
          <w:tcPr>
            <w:tcW w:w="32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vMerge w:val="continue"/>
          </w:tcPr>
          <w:p>
            <w:pPr>
              <w:spacing w:after="0"/>
              <w:rPr>
                <w:sz w:val="17"/>
                <w:szCs w:val="17"/>
                <w:color w:val="auto"/>
              </w:rPr>
            </w:pPr>
          </w:p>
        </w:tc>
        <w:tc>
          <w:tcPr>
            <w:tcW w:w="34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vMerge w:val="continue"/>
          </w:tcPr>
          <w:p>
            <w:pPr>
              <w:spacing w:after="0"/>
              <w:rPr>
                <w:sz w:val="17"/>
                <w:szCs w:val="17"/>
                <w:color w:val="auto"/>
              </w:rPr>
            </w:pPr>
          </w:p>
        </w:tc>
        <w:tc>
          <w:tcPr>
            <w:tcW w:w="34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vMerge w:val="continue"/>
          </w:tcPr>
          <w:p>
            <w:pPr>
              <w:spacing w:after="0"/>
              <w:rPr>
                <w:sz w:val="17"/>
                <w:szCs w:val="17"/>
                <w:color w:val="auto"/>
              </w:rPr>
            </w:pPr>
          </w:p>
        </w:tc>
        <w:tc>
          <w:tcPr>
            <w:tcW w:w="34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vMerge w:val="continue"/>
          </w:tcPr>
          <w:p>
            <w:pPr>
              <w:spacing w:after="0"/>
              <w:rPr>
                <w:sz w:val="17"/>
                <w:szCs w:val="17"/>
                <w:color w:val="auto"/>
              </w:rPr>
            </w:pPr>
          </w:p>
        </w:tc>
        <w:tc>
          <w:tcPr>
            <w:tcW w:w="34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30"/>
              <w:spacing w:after="0" w:line="190"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88"/>
        </w:trPr>
        <w:tc>
          <w:tcPr>
            <w:tcW w:w="2160" w:type="dxa"/>
            <w:vAlign w:val="bottom"/>
          </w:tcPr>
          <w:p>
            <w:pPr>
              <w:spacing w:after="0" w:line="189" w:lineRule="exact"/>
              <w:rPr>
                <w:sz w:val="20"/>
                <w:szCs w:val="20"/>
                <w:color w:val="auto"/>
              </w:rPr>
            </w:pPr>
            <w:r>
              <w:rPr>
                <w:rFonts w:ascii="Arial" w:cs="Arial" w:eastAsia="Arial" w:hAnsi="Arial"/>
                <w:sz w:val="18"/>
                <w:szCs w:val="18"/>
                <w:color w:val="auto"/>
              </w:rPr>
              <w:t>Total fixed charges</w:t>
            </w:r>
          </w:p>
        </w:tc>
        <w:tc>
          <w:tcPr>
            <w:tcW w:w="3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160" w:type="dxa"/>
            <w:vAlign w:val="bottom"/>
          </w:tcPr>
          <w:p>
            <w:pPr>
              <w:ind w:left="260"/>
              <w:spacing w:after="0" w:line="202" w:lineRule="exact"/>
              <w:rPr>
                <w:sz w:val="20"/>
                <w:szCs w:val="20"/>
                <w:color w:val="auto"/>
              </w:rPr>
            </w:pPr>
            <w:r>
              <w:rPr>
                <w:rFonts w:ascii="Arial" w:cs="Arial" w:eastAsia="Arial" w:hAnsi="Arial"/>
                <w:sz w:val="18"/>
                <w:szCs w:val="18"/>
                <w:color w:val="auto"/>
              </w:rPr>
              <w:t>and preferred</w:t>
            </w:r>
          </w:p>
        </w:tc>
        <w:tc>
          <w:tcPr>
            <w:tcW w:w="3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160" w:type="dxa"/>
            <w:vAlign w:val="bottom"/>
          </w:tcPr>
          <w:p>
            <w:pPr>
              <w:ind w:left="260"/>
              <w:spacing w:after="0" w:line="202" w:lineRule="exact"/>
              <w:rPr>
                <w:sz w:val="20"/>
                <w:szCs w:val="20"/>
                <w:color w:val="auto"/>
              </w:rPr>
            </w:pPr>
            <w:r>
              <w:rPr>
                <w:rFonts w:ascii="Arial" w:cs="Arial" w:eastAsia="Arial" w:hAnsi="Arial"/>
                <w:sz w:val="18"/>
                <w:szCs w:val="18"/>
                <w:color w:val="auto"/>
              </w:rPr>
              <w:t>dividends for</w:t>
            </w:r>
          </w:p>
        </w:tc>
        <w:tc>
          <w:tcPr>
            <w:tcW w:w="3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2160" w:type="dxa"/>
            <w:vAlign w:val="bottom"/>
          </w:tcPr>
          <w:p>
            <w:pPr>
              <w:ind w:left="260"/>
              <w:spacing w:after="0"/>
              <w:rPr>
                <w:sz w:val="20"/>
                <w:szCs w:val="20"/>
                <w:color w:val="auto"/>
              </w:rPr>
            </w:pPr>
            <w:r>
              <w:rPr>
                <w:rFonts w:ascii="Arial" w:cs="Arial" w:eastAsia="Arial" w:hAnsi="Arial"/>
                <w:sz w:val="18"/>
                <w:szCs w:val="18"/>
                <w:color w:val="auto"/>
              </w:rPr>
              <w:t>purpose of ratio</w:t>
            </w:r>
          </w:p>
        </w:tc>
        <w:tc>
          <w:tcPr>
            <w:tcW w:w="34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900" w:type="dxa"/>
            <w:vAlign w:val="bottom"/>
            <w:vMerge w:val="restart"/>
          </w:tcPr>
          <w:p>
            <w:pPr>
              <w:jc w:val="right"/>
              <w:ind w:right="50"/>
              <w:spacing w:after="0"/>
              <w:rPr>
                <w:sz w:val="20"/>
                <w:szCs w:val="20"/>
                <w:color w:val="auto"/>
              </w:rPr>
            </w:pPr>
            <w:r>
              <w:rPr>
                <w:rFonts w:ascii="Arial" w:cs="Arial" w:eastAsia="Arial" w:hAnsi="Arial"/>
                <w:sz w:val="18"/>
                <w:szCs w:val="18"/>
                <w:color w:val="auto"/>
              </w:rPr>
              <w:t>434</w:t>
            </w:r>
          </w:p>
        </w:tc>
        <w:tc>
          <w:tcPr>
            <w:tcW w:w="660" w:type="dxa"/>
            <w:vAlign w:val="bottom"/>
            <w:gridSpan w:val="2"/>
            <w:vMerge w:val="restart"/>
          </w:tcPr>
          <w:p>
            <w:pPr>
              <w:jc w:val="right"/>
              <w:ind w:right="80"/>
              <w:spacing w:after="0"/>
              <w:rPr>
                <w:sz w:val="20"/>
                <w:szCs w:val="20"/>
                <w:color w:val="auto"/>
              </w:rPr>
            </w:pPr>
            <w:r>
              <w:rPr>
                <w:rFonts w:ascii="Arial" w:cs="Arial" w:eastAsia="Arial" w:hAnsi="Arial"/>
                <w:sz w:val="18"/>
                <w:szCs w:val="18"/>
                <w:color w:val="auto"/>
              </w:rPr>
              <w:t>$</w:t>
            </w:r>
          </w:p>
        </w:tc>
        <w:tc>
          <w:tcPr>
            <w:tcW w:w="900" w:type="dxa"/>
            <w:vAlign w:val="bottom"/>
            <w:vMerge w:val="restart"/>
          </w:tcPr>
          <w:p>
            <w:pPr>
              <w:jc w:val="right"/>
              <w:ind w:right="30"/>
              <w:spacing w:after="0"/>
              <w:rPr>
                <w:sz w:val="20"/>
                <w:szCs w:val="20"/>
                <w:color w:val="auto"/>
              </w:rPr>
            </w:pPr>
            <w:r>
              <w:rPr>
                <w:rFonts w:ascii="Arial" w:cs="Arial" w:eastAsia="Arial" w:hAnsi="Arial"/>
                <w:sz w:val="18"/>
                <w:szCs w:val="18"/>
                <w:color w:val="auto"/>
              </w:rPr>
              <w:t>399</w:t>
            </w:r>
          </w:p>
        </w:tc>
        <w:tc>
          <w:tcPr>
            <w:tcW w:w="680" w:type="dxa"/>
            <w:vAlign w:val="bottom"/>
            <w:gridSpan w:val="2"/>
            <w:vMerge w:val="restart"/>
          </w:tcPr>
          <w:p>
            <w:pPr>
              <w:jc w:val="right"/>
              <w:ind w:right="80"/>
              <w:spacing w:after="0"/>
              <w:rPr>
                <w:sz w:val="20"/>
                <w:szCs w:val="20"/>
                <w:color w:val="auto"/>
              </w:rPr>
            </w:pPr>
            <w:r>
              <w:rPr>
                <w:rFonts w:ascii="Arial" w:cs="Arial" w:eastAsia="Arial" w:hAnsi="Arial"/>
                <w:sz w:val="18"/>
                <w:szCs w:val="18"/>
                <w:color w:val="auto"/>
              </w:rPr>
              <w:t>$</w:t>
            </w:r>
          </w:p>
        </w:tc>
        <w:tc>
          <w:tcPr>
            <w:tcW w:w="900" w:type="dxa"/>
            <w:vAlign w:val="bottom"/>
            <w:vMerge w:val="restart"/>
          </w:tcPr>
          <w:p>
            <w:pPr>
              <w:jc w:val="right"/>
              <w:ind w:right="30"/>
              <w:spacing w:after="0"/>
              <w:rPr>
                <w:sz w:val="20"/>
                <w:szCs w:val="20"/>
                <w:color w:val="auto"/>
              </w:rPr>
            </w:pPr>
            <w:r>
              <w:rPr>
                <w:rFonts w:ascii="Arial" w:cs="Arial" w:eastAsia="Arial" w:hAnsi="Arial"/>
                <w:sz w:val="18"/>
                <w:szCs w:val="18"/>
                <w:color w:val="auto"/>
              </w:rPr>
              <w:t>369</w:t>
            </w:r>
          </w:p>
        </w:tc>
        <w:tc>
          <w:tcPr>
            <w:tcW w:w="680" w:type="dxa"/>
            <w:vAlign w:val="bottom"/>
            <w:gridSpan w:val="2"/>
            <w:vMerge w:val="restart"/>
          </w:tcPr>
          <w:p>
            <w:pPr>
              <w:jc w:val="right"/>
              <w:ind w:right="80"/>
              <w:spacing w:after="0"/>
              <w:rPr>
                <w:sz w:val="20"/>
                <w:szCs w:val="20"/>
                <w:color w:val="auto"/>
              </w:rPr>
            </w:pPr>
            <w:r>
              <w:rPr>
                <w:rFonts w:ascii="Arial" w:cs="Arial" w:eastAsia="Arial" w:hAnsi="Arial"/>
                <w:sz w:val="18"/>
                <w:szCs w:val="18"/>
                <w:color w:val="auto"/>
              </w:rPr>
              <w:t>$</w:t>
            </w:r>
          </w:p>
        </w:tc>
        <w:tc>
          <w:tcPr>
            <w:tcW w:w="900" w:type="dxa"/>
            <w:vAlign w:val="bottom"/>
            <w:vMerge w:val="restart"/>
          </w:tcPr>
          <w:p>
            <w:pPr>
              <w:jc w:val="right"/>
              <w:ind w:right="30"/>
              <w:spacing w:after="0"/>
              <w:rPr>
                <w:sz w:val="20"/>
                <w:szCs w:val="20"/>
                <w:color w:val="auto"/>
              </w:rPr>
            </w:pPr>
            <w:r>
              <w:rPr>
                <w:rFonts w:ascii="Arial" w:cs="Arial" w:eastAsia="Arial" w:hAnsi="Arial"/>
                <w:sz w:val="18"/>
                <w:szCs w:val="18"/>
                <w:color w:val="auto"/>
              </w:rPr>
              <w:t>470</w:t>
            </w:r>
          </w:p>
        </w:tc>
        <w:tc>
          <w:tcPr>
            <w:tcW w:w="680" w:type="dxa"/>
            <w:vAlign w:val="bottom"/>
            <w:gridSpan w:val="2"/>
            <w:vMerge w:val="restart"/>
          </w:tcPr>
          <w:p>
            <w:pPr>
              <w:jc w:val="right"/>
              <w:ind w:right="80"/>
              <w:spacing w:after="0"/>
              <w:rPr>
                <w:sz w:val="20"/>
                <w:szCs w:val="20"/>
                <w:color w:val="auto"/>
              </w:rPr>
            </w:pPr>
            <w:r>
              <w:rPr>
                <w:rFonts w:ascii="Arial" w:cs="Arial" w:eastAsia="Arial" w:hAnsi="Arial"/>
                <w:sz w:val="18"/>
                <w:szCs w:val="18"/>
                <w:color w:val="auto"/>
              </w:rPr>
              <w:t>$</w:t>
            </w:r>
          </w:p>
        </w:tc>
        <w:tc>
          <w:tcPr>
            <w:tcW w:w="900" w:type="dxa"/>
            <w:vAlign w:val="bottom"/>
            <w:vMerge w:val="restart"/>
          </w:tcPr>
          <w:p>
            <w:pPr>
              <w:jc w:val="right"/>
              <w:ind w:right="30"/>
              <w:spacing w:after="0"/>
              <w:rPr>
                <w:sz w:val="20"/>
                <w:szCs w:val="20"/>
                <w:color w:val="auto"/>
              </w:rPr>
            </w:pPr>
            <w:r>
              <w:rPr>
                <w:rFonts w:ascii="Arial" w:cs="Arial" w:eastAsia="Arial" w:hAnsi="Arial"/>
                <w:sz w:val="18"/>
                <w:szCs w:val="18"/>
                <w:color w:val="auto"/>
              </w:rPr>
              <w:t>506</w:t>
            </w:r>
          </w:p>
        </w:tc>
        <w:tc>
          <w:tcPr>
            <w:tcW w:w="60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980" w:type="dxa"/>
            <w:vAlign w:val="bottom"/>
            <w:vMerge w:val="restart"/>
          </w:tcPr>
          <w:p>
            <w:pPr>
              <w:jc w:val="right"/>
              <w:ind w:right="30"/>
              <w:spacing w:after="0"/>
              <w:rPr>
                <w:sz w:val="20"/>
                <w:szCs w:val="20"/>
                <w:color w:val="auto"/>
              </w:rPr>
            </w:pPr>
            <w:r>
              <w:rPr>
                <w:rFonts w:ascii="Arial" w:cs="Arial" w:eastAsia="Arial" w:hAnsi="Arial"/>
                <w:sz w:val="18"/>
                <w:szCs w:val="18"/>
                <w:color w:val="auto"/>
              </w:rPr>
              <w:t>263</w:t>
            </w:r>
          </w:p>
        </w:tc>
        <w:tc>
          <w:tcPr>
            <w:tcW w:w="0" w:type="dxa"/>
            <w:vAlign w:val="bottom"/>
          </w:tcPr>
          <w:p>
            <w:pPr>
              <w:spacing w:after="0"/>
              <w:rPr>
                <w:sz w:val="1"/>
                <w:szCs w:val="1"/>
                <w:color w:val="auto"/>
              </w:rPr>
            </w:pPr>
          </w:p>
        </w:tc>
      </w:tr>
      <w:tr>
        <w:trPr>
          <w:trHeight w:val="149"/>
        </w:trPr>
        <w:tc>
          <w:tcPr>
            <w:tcW w:w="2160" w:type="dxa"/>
            <w:vAlign w:val="bottom"/>
          </w:tcPr>
          <w:p>
            <w:pPr>
              <w:spacing w:after="0"/>
              <w:rPr>
                <w:sz w:val="12"/>
                <w:szCs w:val="12"/>
                <w:color w:val="auto"/>
              </w:rPr>
            </w:pPr>
          </w:p>
        </w:tc>
        <w:tc>
          <w:tcPr>
            <w:tcW w:w="340" w:type="dxa"/>
            <w:vAlign w:val="bottom"/>
            <w:vMerge w:val="continue"/>
          </w:tcPr>
          <w:p>
            <w:pPr>
              <w:spacing w:after="0"/>
              <w:rPr>
                <w:sz w:val="12"/>
                <w:szCs w:val="12"/>
                <w:color w:val="auto"/>
              </w:rPr>
            </w:pPr>
          </w:p>
        </w:tc>
        <w:tc>
          <w:tcPr>
            <w:tcW w:w="900" w:type="dxa"/>
            <w:vAlign w:val="bottom"/>
            <w:vMerge w:val="continue"/>
          </w:tcPr>
          <w:p>
            <w:pPr>
              <w:spacing w:after="0"/>
              <w:rPr>
                <w:sz w:val="12"/>
                <w:szCs w:val="12"/>
                <w:color w:val="auto"/>
              </w:rPr>
            </w:pPr>
          </w:p>
        </w:tc>
        <w:tc>
          <w:tcPr>
            <w:tcW w:w="660" w:type="dxa"/>
            <w:vAlign w:val="bottom"/>
            <w:gridSpan w:val="2"/>
            <w:vMerge w:val="continue"/>
          </w:tcPr>
          <w:p>
            <w:pPr>
              <w:spacing w:after="0"/>
              <w:rPr>
                <w:sz w:val="12"/>
                <w:szCs w:val="12"/>
                <w:color w:val="auto"/>
              </w:rPr>
            </w:pPr>
          </w:p>
        </w:tc>
        <w:tc>
          <w:tcPr>
            <w:tcW w:w="900" w:type="dxa"/>
            <w:vAlign w:val="bottom"/>
            <w:vMerge w:val="continue"/>
          </w:tcPr>
          <w:p>
            <w:pPr>
              <w:spacing w:after="0"/>
              <w:rPr>
                <w:sz w:val="12"/>
                <w:szCs w:val="12"/>
                <w:color w:val="auto"/>
              </w:rPr>
            </w:pPr>
          </w:p>
        </w:tc>
        <w:tc>
          <w:tcPr>
            <w:tcW w:w="680" w:type="dxa"/>
            <w:vAlign w:val="bottom"/>
            <w:gridSpan w:val="2"/>
            <w:vMerge w:val="continue"/>
          </w:tcPr>
          <w:p>
            <w:pPr>
              <w:spacing w:after="0"/>
              <w:rPr>
                <w:sz w:val="12"/>
                <w:szCs w:val="12"/>
                <w:color w:val="auto"/>
              </w:rPr>
            </w:pPr>
          </w:p>
        </w:tc>
        <w:tc>
          <w:tcPr>
            <w:tcW w:w="900" w:type="dxa"/>
            <w:vAlign w:val="bottom"/>
            <w:vMerge w:val="continue"/>
          </w:tcPr>
          <w:p>
            <w:pPr>
              <w:spacing w:after="0"/>
              <w:rPr>
                <w:sz w:val="12"/>
                <w:szCs w:val="12"/>
                <w:color w:val="auto"/>
              </w:rPr>
            </w:pPr>
          </w:p>
        </w:tc>
        <w:tc>
          <w:tcPr>
            <w:tcW w:w="680" w:type="dxa"/>
            <w:vAlign w:val="bottom"/>
            <w:gridSpan w:val="2"/>
            <w:vMerge w:val="continue"/>
          </w:tcPr>
          <w:p>
            <w:pPr>
              <w:spacing w:after="0"/>
              <w:rPr>
                <w:sz w:val="12"/>
                <w:szCs w:val="12"/>
                <w:color w:val="auto"/>
              </w:rPr>
            </w:pPr>
          </w:p>
        </w:tc>
        <w:tc>
          <w:tcPr>
            <w:tcW w:w="900" w:type="dxa"/>
            <w:vAlign w:val="bottom"/>
            <w:vMerge w:val="continue"/>
          </w:tcPr>
          <w:p>
            <w:pPr>
              <w:spacing w:after="0"/>
              <w:rPr>
                <w:sz w:val="12"/>
                <w:szCs w:val="12"/>
                <w:color w:val="auto"/>
              </w:rPr>
            </w:pPr>
          </w:p>
        </w:tc>
        <w:tc>
          <w:tcPr>
            <w:tcW w:w="680" w:type="dxa"/>
            <w:vAlign w:val="bottom"/>
            <w:gridSpan w:val="2"/>
            <w:vMerge w:val="continue"/>
          </w:tcPr>
          <w:p>
            <w:pPr>
              <w:spacing w:after="0"/>
              <w:rPr>
                <w:sz w:val="12"/>
                <w:szCs w:val="12"/>
                <w:color w:val="auto"/>
              </w:rPr>
            </w:pPr>
          </w:p>
        </w:tc>
        <w:tc>
          <w:tcPr>
            <w:tcW w:w="900" w:type="dxa"/>
            <w:vAlign w:val="bottom"/>
            <w:vMerge w:val="continue"/>
          </w:tcPr>
          <w:p>
            <w:pPr>
              <w:spacing w:after="0"/>
              <w:rPr>
                <w:sz w:val="12"/>
                <w:szCs w:val="12"/>
                <w:color w:val="auto"/>
              </w:rPr>
            </w:pPr>
          </w:p>
        </w:tc>
        <w:tc>
          <w:tcPr>
            <w:tcW w:w="600" w:type="dxa"/>
            <w:vAlign w:val="bottom"/>
            <w:gridSpan w:val="2"/>
            <w:vMerge w:val="continue"/>
          </w:tcPr>
          <w:p>
            <w:pPr>
              <w:spacing w:after="0"/>
              <w:rPr>
                <w:sz w:val="12"/>
                <w:szCs w:val="12"/>
                <w:color w:val="auto"/>
              </w:rPr>
            </w:pPr>
          </w:p>
        </w:tc>
        <w:tc>
          <w:tcPr>
            <w:tcW w:w="9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160" w:type="dxa"/>
            <w:vAlign w:val="bottom"/>
            <w:vMerge w:val="restart"/>
          </w:tcPr>
          <w:p>
            <w:pPr>
              <w:spacing w:after="0"/>
              <w:rPr>
                <w:sz w:val="20"/>
                <w:szCs w:val="20"/>
                <w:color w:val="auto"/>
              </w:rPr>
            </w:pPr>
            <w:r>
              <w:rPr>
                <w:rFonts w:ascii="Arial" w:cs="Arial" w:eastAsia="Arial" w:hAnsi="Arial"/>
                <w:sz w:val="18"/>
                <w:szCs w:val="18"/>
                <w:color w:val="auto"/>
              </w:rPr>
              <w:t>Earnings:</w:t>
            </w:r>
          </w:p>
        </w:tc>
        <w:tc>
          <w:tcPr>
            <w:tcW w:w="3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160" w:type="dxa"/>
            <w:vAlign w:val="bottom"/>
            <w:vMerge w:val="continue"/>
          </w:tcPr>
          <w:p>
            <w:pPr>
              <w:spacing w:after="0"/>
              <w:rPr>
                <w:sz w:val="17"/>
                <w:szCs w:val="17"/>
                <w:color w:val="auto"/>
              </w:rPr>
            </w:pPr>
          </w:p>
        </w:tc>
        <w:tc>
          <w:tcPr>
            <w:tcW w:w="3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160" w:type="dxa"/>
            <w:vAlign w:val="bottom"/>
          </w:tcPr>
          <w:p>
            <w:pPr>
              <w:spacing w:after="0" w:line="202" w:lineRule="exact"/>
              <w:rPr>
                <w:sz w:val="20"/>
                <w:szCs w:val="20"/>
                <w:color w:val="auto"/>
              </w:rPr>
            </w:pPr>
            <w:r>
              <w:rPr>
                <w:rFonts w:ascii="Arial" w:cs="Arial" w:eastAsia="Arial" w:hAnsi="Arial"/>
                <w:sz w:val="18"/>
                <w:szCs w:val="18"/>
                <w:color w:val="auto"/>
              </w:rPr>
              <w:t>Pretax income from</w:t>
            </w:r>
          </w:p>
        </w:tc>
        <w:tc>
          <w:tcPr>
            <w:tcW w:w="3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160" w:type="dxa"/>
            <w:vAlign w:val="bottom"/>
          </w:tcPr>
          <w:p>
            <w:pPr>
              <w:ind w:left="260"/>
              <w:spacing w:after="0" w:line="202" w:lineRule="exact"/>
              <w:rPr>
                <w:sz w:val="20"/>
                <w:szCs w:val="20"/>
                <w:color w:val="auto"/>
              </w:rPr>
            </w:pPr>
            <w:r>
              <w:rPr>
                <w:rFonts w:ascii="Arial" w:cs="Arial" w:eastAsia="Arial" w:hAnsi="Arial"/>
                <w:sz w:val="18"/>
                <w:szCs w:val="18"/>
                <w:color w:val="auto"/>
              </w:rPr>
              <w:t>continuing</w:t>
            </w:r>
          </w:p>
        </w:tc>
        <w:tc>
          <w:tcPr>
            <w:tcW w:w="3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160" w:type="dxa"/>
            <w:vAlign w:val="bottom"/>
          </w:tcPr>
          <w:p>
            <w:pPr>
              <w:ind w:left="260"/>
              <w:spacing w:after="0" w:line="202" w:lineRule="exact"/>
              <w:rPr>
                <w:sz w:val="20"/>
                <w:szCs w:val="20"/>
                <w:color w:val="auto"/>
              </w:rPr>
            </w:pPr>
            <w:r>
              <w:rPr>
                <w:rFonts w:ascii="Arial" w:cs="Arial" w:eastAsia="Arial" w:hAnsi="Arial"/>
                <w:sz w:val="18"/>
                <w:szCs w:val="18"/>
                <w:color w:val="auto"/>
              </w:rPr>
              <w:t>operations before</w:t>
            </w:r>
          </w:p>
        </w:tc>
        <w:tc>
          <w:tcPr>
            <w:tcW w:w="3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160" w:type="dxa"/>
            <w:vAlign w:val="bottom"/>
          </w:tcPr>
          <w:p>
            <w:pPr>
              <w:ind w:left="260"/>
              <w:spacing w:after="0" w:line="202" w:lineRule="exact"/>
              <w:rPr>
                <w:sz w:val="20"/>
                <w:szCs w:val="20"/>
                <w:color w:val="auto"/>
              </w:rPr>
            </w:pPr>
            <w:r>
              <w:rPr>
                <w:rFonts w:ascii="Arial" w:cs="Arial" w:eastAsia="Arial" w:hAnsi="Arial"/>
                <w:sz w:val="18"/>
                <w:szCs w:val="18"/>
                <w:color w:val="auto"/>
              </w:rPr>
              <w:t>adjustment for</w:t>
            </w:r>
          </w:p>
        </w:tc>
        <w:tc>
          <w:tcPr>
            <w:tcW w:w="3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160" w:type="dxa"/>
            <w:vAlign w:val="bottom"/>
          </w:tcPr>
          <w:p>
            <w:pPr>
              <w:ind w:left="260"/>
              <w:spacing w:after="0" w:line="202" w:lineRule="exact"/>
              <w:rPr>
                <w:sz w:val="20"/>
                <w:szCs w:val="20"/>
                <w:color w:val="auto"/>
              </w:rPr>
            </w:pPr>
            <w:r>
              <w:rPr>
                <w:rFonts w:ascii="Arial" w:cs="Arial" w:eastAsia="Arial" w:hAnsi="Arial"/>
                <w:sz w:val="18"/>
                <w:szCs w:val="18"/>
                <w:color w:val="auto"/>
              </w:rPr>
              <w:t>income or loss</w:t>
            </w:r>
          </w:p>
        </w:tc>
        <w:tc>
          <w:tcPr>
            <w:tcW w:w="3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160" w:type="dxa"/>
            <w:vAlign w:val="bottom"/>
          </w:tcPr>
          <w:p>
            <w:pPr>
              <w:ind w:left="260"/>
              <w:spacing w:after="0" w:line="202" w:lineRule="exact"/>
              <w:rPr>
                <w:sz w:val="20"/>
                <w:szCs w:val="20"/>
                <w:color w:val="auto"/>
              </w:rPr>
            </w:pPr>
            <w:r>
              <w:rPr>
                <w:rFonts w:ascii="Arial" w:cs="Arial" w:eastAsia="Arial" w:hAnsi="Arial"/>
                <w:sz w:val="18"/>
                <w:szCs w:val="18"/>
                <w:color w:val="auto"/>
              </w:rPr>
              <w:t>from equity</w:t>
            </w:r>
          </w:p>
        </w:tc>
        <w:tc>
          <w:tcPr>
            <w:tcW w:w="340" w:type="dxa"/>
            <w:vAlign w:val="bottom"/>
          </w:tcPr>
          <w:p>
            <w:pPr>
              <w:spacing w:after="0"/>
              <w:rPr>
                <w:sz w:val="17"/>
                <w:szCs w:val="17"/>
                <w:color w:val="auto"/>
              </w:rPr>
            </w:pPr>
          </w:p>
        </w:tc>
        <w:tc>
          <w:tcPr>
            <w:tcW w:w="900" w:type="dxa"/>
            <w:vAlign w:val="bottom"/>
          </w:tcPr>
          <w:p>
            <w:pPr>
              <w:jc w:val="right"/>
              <w:ind w:right="50"/>
              <w:spacing w:after="0" w:line="202" w:lineRule="exact"/>
              <w:rPr>
                <w:sz w:val="20"/>
                <w:szCs w:val="20"/>
                <w:color w:val="auto"/>
              </w:rPr>
            </w:pPr>
            <w:r>
              <w:rPr>
                <w:rFonts w:ascii="Arial" w:cs="Arial" w:eastAsia="Arial" w:hAnsi="Arial"/>
                <w:sz w:val="18"/>
                <w:szCs w:val="18"/>
                <w:color w:val="auto"/>
              </w:rPr>
              <w:t>$</w:t>
            </w:r>
          </w:p>
        </w:tc>
        <w:tc>
          <w:tcPr>
            <w:tcW w:w="3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00" w:type="dxa"/>
            <w:vAlign w:val="bottom"/>
          </w:tcPr>
          <w:p>
            <w:pPr>
              <w:jc w:val="right"/>
              <w:ind w:right="30"/>
              <w:spacing w:after="0" w:line="202" w:lineRule="exact"/>
              <w:rPr>
                <w:sz w:val="20"/>
                <w:szCs w:val="20"/>
                <w:color w:val="auto"/>
              </w:rPr>
            </w:pPr>
            <w:r>
              <w:rPr>
                <w:rFonts w:ascii="Arial" w:cs="Arial" w:eastAsia="Arial" w:hAnsi="Arial"/>
                <w:sz w:val="18"/>
                <w:szCs w:val="18"/>
                <w:color w:val="auto"/>
              </w:rPr>
              <w:t>$</w:t>
            </w:r>
          </w:p>
        </w:tc>
        <w:tc>
          <w:tcPr>
            <w:tcW w:w="3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00" w:type="dxa"/>
            <w:vAlign w:val="bottom"/>
          </w:tcPr>
          <w:p>
            <w:pPr>
              <w:jc w:val="right"/>
              <w:ind w:right="30"/>
              <w:spacing w:after="0" w:line="202" w:lineRule="exact"/>
              <w:rPr>
                <w:sz w:val="20"/>
                <w:szCs w:val="20"/>
                <w:color w:val="auto"/>
              </w:rPr>
            </w:pPr>
            <w:r>
              <w:rPr>
                <w:rFonts w:ascii="Arial" w:cs="Arial" w:eastAsia="Arial" w:hAnsi="Arial"/>
                <w:sz w:val="18"/>
                <w:szCs w:val="18"/>
                <w:color w:val="auto"/>
              </w:rPr>
              <w:t>$</w:t>
            </w:r>
          </w:p>
        </w:tc>
        <w:tc>
          <w:tcPr>
            <w:tcW w:w="3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00" w:type="dxa"/>
            <w:vAlign w:val="bottom"/>
          </w:tcPr>
          <w:p>
            <w:pPr>
              <w:jc w:val="right"/>
              <w:ind w:right="30"/>
              <w:spacing w:after="0" w:line="202" w:lineRule="exact"/>
              <w:rPr>
                <w:sz w:val="20"/>
                <w:szCs w:val="20"/>
                <w:color w:val="auto"/>
              </w:rPr>
            </w:pPr>
            <w:r>
              <w:rPr>
                <w:rFonts w:ascii="Arial" w:cs="Arial" w:eastAsia="Arial" w:hAnsi="Arial"/>
                <w:sz w:val="18"/>
                <w:szCs w:val="18"/>
                <w:color w:val="auto"/>
              </w:rPr>
              <w:t>$</w:t>
            </w:r>
          </w:p>
        </w:tc>
        <w:tc>
          <w:tcPr>
            <w:tcW w:w="3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160" w:type="dxa"/>
            <w:vAlign w:val="bottom"/>
          </w:tcPr>
          <w:p>
            <w:pPr>
              <w:ind w:left="260"/>
              <w:spacing w:after="0"/>
              <w:rPr>
                <w:sz w:val="20"/>
                <w:szCs w:val="20"/>
                <w:color w:val="auto"/>
              </w:rPr>
            </w:pPr>
            <w:r>
              <w:rPr>
                <w:rFonts w:ascii="Arial" w:cs="Arial" w:eastAsia="Arial" w:hAnsi="Arial"/>
                <w:sz w:val="18"/>
                <w:szCs w:val="18"/>
                <w:color w:val="auto"/>
              </w:rPr>
              <w:t>investees</w:t>
            </w:r>
          </w:p>
        </w:tc>
        <w:tc>
          <w:tcPr>
            <w:tcW w:w="340" w:type="dxa"/>
            <w:vAlign w:val="bottom"/>
          </w:tcPr>
          <w:p>
            <w:pPr>
              <w:spacing w:after="0"/>
              <w:rPr>
                <w:sz w:val="18"/>
                <w:szCs w:val="18"/>
                <w:color w:val="auto"/>
              </w:rPr>
            </w:pPr>
          </w:p>
        </w:tc>
        <w:tc>
          <w:tcPr>
            <w:tcW w:w="900" w:type="dxa"/>
            <w:vAlign w:val="bottom"/>
          </w:tcPr>
          <w:p>
            <w:pPr>
              <w:jc w:val="right"/>
              <w:ind w:right="50"/>
              <w:spacing w:after="0"/>
              <w:rPr>
                <w:sz w:val="20"/>
                <w:szCs w:val="20"/>
                <w:color w:val="auto"/>
              </w:rPr>
            </w:pPr>
            <w:r>
              <w:rPr>
                <w:rFonts w:ascii="Arial" w:cs="Arial" w:eastAsia="Arial" w:hAnsi="Arial"/>
                <w:sz w:val="18"/>
                <w:szCs w:val="18"/>
                <w:color w:val="auto"/>
              </w:rPr>
              <w:t>1,579</w:t>
            </w: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1,538</w:t>
            </w: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1,009</w:t>
            </w:r>
          </w:p>
        </w:tc>
        <w:tc>
          <w:tcPr>
            <w:tcW w:w="6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977</w:t>
            </w: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1,078</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920</w:t>
            </w:r>
          </w:p>
        </w:tc>
        <w:tc>
          <w:tcPr>
            <w:tcW w:w="0" w:type="dxa"/>
            <w:vAlign w:val="bottom"/>
          </w:tcPr>
          <w:p>
            <w:pPr>
              <w:spacing w:after="0"/>
              <w:rPr>
                <w:sz w:val="1"/>
                <w:szCs w:val="1"/>
                <w:color w:val="auto"/>
              </w:rPr>
            </w:pPr>
          </w:p>
        </w:tc>
      </w:tr>
      <w:tr>
        <w:trPr>
          <w:trHeight w:val="203"/>
        </w:trPr>
        <w:tc>
          <w:tcPr>
            <w:tcW w:w="2160" w:type="dxa"/>
            <w:vAlign w:val="bottom"/>
          </w:tcPr>
          <w:p>
            <w:pPr>
              <w:spacing w:after="0" w:line="202" w:lineRule="exact"/>
              <w:rPr>
                <w:sz w:val="20"/>
                <w:szCs w:val="20"/>
                <w:color w:val="auto"/>
              </w:rPr>
            </w:pPr>
            <w:r>
              <w:rPr>
                <w:rFonts w:ascii="Arial" w:cs="Arial" w:eastAsia="Arial" w:hAnsi="Arial"/>
                <w:sz w:val="18"/>
                <w:szCs w:val="18"/>
                <w:color w:val="auto"/>
              </w:rPr>
              <w:t>Add:</w:t>
            </w:r>
          </w:p>
        </w:tc>
        <w:tc>
          <w:tcPr>
            <w:tcW w:w="3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160" w:type="dxa"/>
            <w:vAlign w:val="bottom"/>
          </w:tcPr>
          <w:p>
            <w:pPr>
              <w:ind w:left="100"/>
              <w:spacing w:after="0" w:line="202" w:lineRule="exact"/>
              <w:rPr>
                <w:sz w:val="20"/>
                <w:szCs w:val="20"/>
                <w:color w:val="auto"/>
              </w:rPr>
            </w:pPr>
            <w:r>
              <w:rPr>
                <w:rFonts w:ascii="Arial" w:cs="Arial" w:eastAsia="Arial" w:hAnsi="Arial"/>
                <w:sz w:val="18"/>
                <w:szCs w:val="18"/>
                <w:color w:val="auto"/>
              </w:rPr>
              <w:t>Total fixed charges</w:t>
            </w:r>
          </w:p>
        </w:tc>
        <w:tc>
          <w:tcPr>
            <w:tcW w:w="3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160" w:type="dxa"/>
            <w:vAlign w:val="bottom"/>
          </w:tcPr>
          <w:p>
            <w:pPr>
              <w:ind w:left="260"/>
              <w:spacing w:after="0" w:line="202" w:lineRule="exact"/>
              <w:rPr>
                <w:sz w:val="20"/>
                <w:szCs w:val="20"/>
                <w:color w:val="auto"/>
              </w:rPr>
            </w:pPr>
            <w:r>
              <w:rPr>
                <w:rFonts w:ascii="Arial" w:cs="Arial" w:eastAsia="Arial" w:hAnsi="Arial"/>
                <w:sz w:val="18"/>
                <w:szCs w:val="18"/>
                <w:color w:val="auto"/>
              </w:rPr>
              <w:t>(from above)</w:t>
            </w:r>
          </w:p>
        </w:tc>
        <w:tc>
          <w:tcPr>
            <w:tcW w:w="340" w:type="dxa"/>
            <w:vAlign w:val="bottom"/>
          </w:tcPr>
          <w:p>
            <w:pPr>
              <w:spacing w:after="0"/>
              <w:rPr>
                <w:sz w:val="17"/>
                <w:szCs w:val="17"/>
                <w:color w:val="auto"/>
              </w:rPr>
            </w:pPr>
          </w:p>
        </w:tc>
        <w:tc>
          <w:tcPr>
            <w:tcW w:w="900" w:type="dxa"/>
            <w:vAlign w:val="bottom"/>
          </w:tcPr>
          <w:p>
            <w:pPr>
              <w:jc w:val="right"/>
              <w:ind w:right="50"/>
              <w:spacing w:after="0" w:line="202" w:lineRule="exact"/>
              <w:rPr>
                <w:sz w:val="20"/>
                <w:szCs w:val="20"/>
                <w:color w:val="auto"/>
              </w:rPr>
            </w:pPr>
            <w:r>
              <w:rPr>
                <w:rFonts w:ascii="Arial" w:cs="Arial" w:eastAsia="Arial" w:hAnsi="Arial"/>
                <w:sz w:val="18"/>
                <w:szCs w:val="18"/>
                <w:color w:val="auto"/>
              </w:rPr>
              <w:t>434</w:t>
            </w:r>
          </w:p>
        </w:tc>
        <w:tc>
          <w:tcPr>
            <w:tcW w:w="3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00" w:type="dxa"/>
            <w:vAlign w:val="bottom"/>
          </w:tcPr>
          <w:p>
            <w:pPr>
              <w:jc w:val="right"/>
              <w:ind w:right="30"/>
              <w:spacing w:after="0" w:line="202" w:lineRule="exact"/>
              <w:rPr>
                <w:sz w:val="20"/>
                <w:szCs w:val="20"/>
                <w:color w:val="auto"/>
              </w:rPr>
            </w:pPr>
            <w:r>
              <w:rPr>
                <w:rFonts w:ascii="Arial" w:cs="Arial" w:eastAsia="Arial" w:hAnsi="Arial"/>
                <w:sz w:val="18"/>
                <w:szCs w:val="18"/>
                <w:color w:val="auto"/>
              </w:rPr>
              <w:t>399</w:t>
            </w:r>
          </w:p>
        </w:tc>
        <w:tc>
          <w:tcPr>
            <w:tcW w:w="3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00" w:type="dxa"/>
            <w:vAlign w:val="bottom"/>
          </w:tcPr>
          <w:p>
            <w:pPr>
              <w:jc w:val="right"/>
              <w:ind w:right="30"/>
              <w:spacing w:after="0" w:line="202" w:lineRule="exact"/>
              <w:rPr>
                <w:sz w:val="20"/>
                <w:szCs w:val="20"/>
                <w:color w:val="auto"/>
              </w:rPr>
            </w:pPr>
            <w:r>
              <w:rPr>
                <w:rFonts w:ascii="Arial" w:cs="Arial" w:eastAsia="Arial" w:hAnsi="Arial"/>
                <w:sz w:val="18"/>
                <w:szCs w:val="18"/>
                <w:color w:val="auto"/>
              </w:rPr>
              <w:t>369</w:t>
            </w:r>
          </w:p>
        </w:tc>
        <w:tc>
          <w:tcPr>
            <w:tcW w:w="3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00" w:type="dxa"/>
            <w:vAlign w:val="bottom"/>
          </w:tcPr>
          <w:p>
            <w:pPr>
              <w:jc w:val="right"/>
              <w:ind w:right="30"/>
              <w:spacing w:after="0" w:line="202" w:lineRule="exact"/>
              <w:rPr>
                <w:sz w:val="20"/>
                <w:szCs w:val="20"/>
                <w:color w:val="auto"/>
              </w:rPr>
            </w:pPr>
            <w:r>
              <w:rPr>
                <w:rFonts w:ascii="Arial" w:cs="Arial" w:eastAsia="Arial" w:hAnsi="Arial"/>
                <w:sz w:val="18"/>
                <w:szCs w:val="18"/>
                <w:color w:val="auto"/>
              </w:rPr>
              <w:t>470</w:t>
            </w:r>
          </w:p>
        </w:tc>
        <w:tc>
          <w:tcPr>
            <w:tcW w:w="3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00" w:type="dxa"/>
            <w:vAlign w:val="bottom"/>
          </w:tcPr>
          <w:p>
            <w:pPr>
              <w:jc w:val="right"/>
              <w:ind w:right="30"/>
              <w:spacing w:after="0" w:line="202" w:lineRule="exact"/>
              <w:rPr>
                <w:sz w:val="20"/>
                <w:szCs w:val="20"/>
                <w:color w:val="auto"/>
              </w:rPr>
            </w:pPr>
            <w:r>
              <w:rPr>
                <w:rFonts w:ascii="Arial" w:cs="Arial" w:eastAsia="Arial" w:hAnsi="Arial"/>
                <w:sz w:val="18"/>
                <w:szCs w:val="18"/>
                <w:color w:val="auto"/>
              </w:rPr>
              <w:t>506</w:t>
            </w:r>
          </w:p>
        </w:tc>
        <w:tc>
          <w:tcPr>
            <w:tcW w:w="3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jc w:val="right"/>
              <w:ind w:right="30"/>
              <w:spacing w:after="0" w:line="202" w:lineRule="exact"/>
              <w:rPr>
                <w:sz w:val="20"/>
                <w:szCs w:val="20"/>
                <w:color w:val="auto"/>
              </w:rPr>
            </w:pPr>
            <w:r>
              <w:rPr>
                <w:rFonts w:ascii="Arial" w:cs="Arial" w:eastAsia="Arial" w:hAnsi="Arial"/>
                <w:sz w:val="18"/>
                <w:szCs w:val="18"/>
                <w:color w:val="auto"/>
              </w:rPr>
              <w:t>263</w:t>
            </w:r>
          </w:p>
        </w:tc>
        <w:tc>
          <w:tcPr>
            <w:tcW w:w="0" w:type="dxa"/>
            <w:vAlign w:val="bottom"/>
          </w:tcPr>
          <w:p>
            <w:pPr>
              <w:spacing w:after="0"/>
              <w:rPr>
                <w:sz w:val="1"/>
                <w:szCs w:val="1"/>
                <w:color w:val="auto"/>
              </w:rPr>
            </w:pPr>
          </w:p>
        </w:tc>
      </w:tr>
      <w:tr>
        <w:trPr>
          <w:trHeight w:val="203"/>
        </w:trPr>
        <w:tc>
          <w:tcPr>
            <w:tcW w:w="2160" w:type="dxa"/>
            <w:vAlign w:val="bottom"/>
          </w:tcPr>
          <w:p>
            <w:pPr>
              <w:ind w:left="100"/>
              <w:spacing w:after="0" w:line="202" w:lineRule="exact"/>
              <w:rPr>
                <w:sz w:val="20"/>
                <w:szCs w:val="20"/>
                <w:color w:val="auto"/>
              </w:rPr>
            </w:pPr>
            <w:r>
              <w:rPr>
                <w:rFonts w:ascii="Arial" w:cs="Arial" w:eastAsia="Arial" w:hAnsi="Arial"/>
                <w:sz w:val="18"/>
                <w:szCs w:val="18"/>
                <w:color w:val="auto"/>
              </w:rPr>
              <w:t>Distributed income</w:t>
            </w:r>
          </w:p>
        </w:tc>
        <w:tc>
          <w:tcPr>
            <w:tcW w:w="3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160" w:type="dxa"/>
            <w:vAlign w:val="bottom"/>
          </w:tcPr>
          <w:p>
            <w:pPr>
              <w:ind w:left="260"/>
              <w:spacing w:after="0" w:line="202" w:lineRule="exact"/>
              <w:rPr>
                <w:sz w:val="20"/>
                <w:szCs w:val="20"/>
                <w:color w:val="auto"/>
              </w:rPr>
            </w:pPr>
            <w:r>
              <w:rPr>
                <w:rFonts w:ascii="Arial" w:cs="Arial" w:eastAsia="Arial" w:hAnsi="Arial"/>
                <w:sz w:val="18"/>
                <w:szCs w:val="18"/>
                <w:color w:val="auto"/>
              </w:rPr>
              <w:t>of equity</w:t>
            </w:r>
          </w:p>
        </w:tc>
        <w:tc>
          <w:tcPr>
            <w:tcW w:w="3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160" w:type="dxa"/>
            <w:vAlign w:val="bottom"/>
          </w:tcPr>
          <w:p>
            <w:pPr>
              <w:ind w:left="260"/>
              <w:spacing w:after="0"/>
              <w:rPr>
                <w:sz w:val="20"/>
                <w:szCs w:val="20"/>
                <w:color w:val="auto"/>
              </w:rPr>
            </w:pPr>
            <w:r>
              <w:rPr>
                <w:rFonts w:ascii="Arial" w:cs="Arial" w:eastAsia="Arial" w:hAnsi="Arial"/>
                <w:sz w:val="18"/>
                <w:szCs w:val="18"/>
                <w:color w:val="auto"/>
              </w:rPr>
              <w:t>investees</w:t>
            </w:r>
          </w:p>
        </w:tc>
        <w:tc>
          <w:tcPr>
            <w:tcW w:w="340" w:type="dxa"/>
            <w:vAlign w:val="bottom"/>
          </w:tcPr>
          <w:p>
            <w:pPr>
              <w:spacing w:after="0"/>
              <w:rPr>
                <w:sz w:val="18"/>
                <w:szCs w:val="18"/>
                <w:color w:val="auto"/>
              </w:rPr>
            </w:pPr>
          </w:p>
        </w:tc>
        <w:tc>
          <w:tcPr>
            <w:tcW w:w="900" w:type="dxa"/>
            <w:vAlign w:val="bottom"/>
          </w:tcPr>
          <w:p>
            <w:pPr>
              <w:jc w:val="right"/>
              <w:ind w:right="50"/>
              <w:spacing w:after="0"/>
              <w:rPr>
                <w:sz w:val="20"/>
                <w:szCs w:val="20"/>
                <w:color w:val="auto"/>
              </w:rPr>
            </w:pPr>
            <w:r>
              <w:rPr>
                <w:rFonts w:ascii="Arial" w:cs="Arial" w:eastAsia="Arial" w:hAnsi="Arial"/>
                <w:sz w:val="18"/>
                <w:szCs w:val="18"/>
                <w:color w:val="auto"/>
              </w:rPr>
              <w:t>431</w:t>
            </w: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19</w:t>
            </w: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133</w:t>
            </w: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493</w:t>
            </w: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260</w:t>
            </w: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16"/>
        </w:trPr>
        <w:tc>
          <w:tcPr>
            <w:tcW w:w="2160" w:type="dxa"/>
            <w:vAlign w:val="bottom"/>
          </w:tcPr>
          <w:p>
            <w:pPr>
              <w:spacing w:after="0"/>
              <w:rPr>
                <w:sz w:val="20"/>
                <w:szCs w:val="20"/>
                <w:color w:val="auto"/>
              </w:rPr>
            </w:pPr>
            <w:r>
              <w:rPr>
                <w:rFonts w:ascii="Arial" w:cs="Arial" w:eastAsia="Arial" w:hAnsi="Arial"/>
                <w:sz w:val="18"/>
                <w:szCs w:val="18"/>
                <w:color w:val="auto"/>
              </w:rPr>
              <w:t>Less:</w:t>
            </w:r>
          </w:p>
        </w:tc>
        <w:tc>
          <w:tcPr>
            <w:tcW w:w="3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160" w:type="dxa"/>
            <w:vAlign w:val="bottom"/>
          </w:tcPr>
          <w:p>
            <w:pPr>
              <w:ind w:left="100"/>
              <w:spacing w:after="0" w:line="202" w:lineRule="exact"/>
              <w:rPr>
                <w:sz w:val="20"/>
                <w:szCs w:val="20"/>
                <w:color w:val="auto"/>
              </w:rPr>
            </w:pPr>
            <w:r>
              <w:rPr>
                <w:rFonts w:ascii="Arial" w:cs="Arial" w:eastAsia="Arial" w:hAnsi="Arial"/>
                <w:sz w:val="18"/>
                <w:szCs w:val="18"/>
                <w:color w:val="auto"/>
              </w:rPr>
              <w:t>Interest capitalized</w:t>
            </w:r>
          </w:p>
        </w:tc>
        <w:tc>
          <w:tcPr>
            <w:tcW w:w="340" w:type="dxa"/>
            <w:vAlign w:val="bottom"/>
          </w:tcPr>
          <w:p>
            <w:pPr>
              <w:spacing w:after="0"/>
              <w:rPr>
                <w:sz w:val="17"/>
                <w:szCs w:val="17"/>
                <w:color w:val="auto"/>
              </w:rPr>
            </w:pPr>
          </w:p>
        </w:tc>
        <w:tc>
          <w:tcPr>
            <w:tcW w:w="900" w:type="dxa"/>
            <w:vAlign w:val="bottom"/>
          </w:tcPr>
          <w:p>
            <w:pPr>
              <w:jc w:val="right"/>
              <w:ind w:right="50"/>
              <w:spacing w:after="0" w:line="202" w:lineRule="exact"/>
              <w:rPr>
                <w:sz w:val="20"/>
                <w:szCs w:val="20"/>
                <w:color w:val="auto"/>
              </w:rPr>
            </w:pPr>
            <w:r>
              <w:rPr>
                <w:rFonts w:ascii="Arial" w:cs="Arial" w:eastAsia="Arial" w:hAnsi="Arial"/>
                <w:sz w:val="18"/>
                <w:szCs w:val="18"/>
                <w:color w:val="auto"/>
              </w:rPr>
              <w:t>58</w:t>
            </w:r>
          </w:p>
        </w:tc>
        <w:tc>
          <w:tcPr>
            <w:tcW w:w="3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00" w:type="dxa"/>
            <w:vAlign w:val="bottom"/>
          </w:tcPr>
          <w:p>
            <w:pPr>
              <w:jc w:val="right"/>
              <w:ind w:right="30"/>
              <w:spacing w:after="0" w:line="202" w:lineRule="exact"/>
              <w:rPr>
                <w:sz w:val="20"/>
                <w:szCs w:val="20"/>
                <w:color w:val="auto"/>
              </w:rPr>
            </w:pPr>
            <w:r>
              <w:rPr>
                <w:rFonts w:ascii="Arial" w:cs="Arial" w:eastAsia="Arial" w:hAnsi="Arial"/>
                <w:sz w:val="18"/>
                <w:szCs w:val="18"/>
                <w:color w:val="auto"/>
              </w:rPr>
              <w:t>100</w:t>
            </w:r>
          </w:p>
        </w:tc>
        <w:tc>
          <w:tcPr>
            <w:tcW w:w="3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00" w:type="dxa"/>
            <w:vAlign w:val="bottom"/>
          </w:tcPr>
          <w:p>
            <w:pPr>
              <w:jc w:val="right"/>
              <w:ind w:right="30"/>
              <w:spacing w:after="0" w:line="202" w:lineRule="exact"/>
              <w:rPr>
                <w:sz w:val="20"/>
                <w:szCs w:val="20"/>
                <w:color w:val="auto"/>
              </w:rPr>
            </w:pPr>
            <w:r>
              <w:rPr>
                <w:rFonts w:ascii="Arial" w:cs="Arial" w:eastAsia="Arial" w:hAnsi="Arial"/>
                <w:sz w:val="18"/>
                <w:szCs w:val="18"/>
                <w:color w:val="auto"/>
              </w:rPr>
              <w:t>100</w:t>
            </w:r>
          </w:p>
        </w:tc>
        <w:tc>
          <w:tcPr>
            <w:tcW w:w="3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00" w:type="dxa"/>
            <w:vAlign w:val="bottom"/>
          </w:tcPr>
          <w:p>
            <w:pPr>
              <w:jc w:val="right"/>
              <w:ind w:right="30"/>
              <w:spacing w:after="0" w:line="202" w:lineRule="exact"/>
              <w:rPr>
                <w:sz w:val="20"/>
                <w:szCs w:val="20"/>
                <w:color w:val="auto"/>
              </w:rPr>
            </w:pPr>
            <w:r>
              <w:rPr>
                <w:rFonts w:ascii="Arial" w:cs="Arial" w:eastAsia="Arial" w:hAnsi="Arial"/>
                <w:sz w:val="18"/>
                <w:szCs w:val="18"/>
                <w:color w:val="auto"/>
              </w:rPr>
              <w:t>73</w:t>
            </w:r>
          </w:p>
        </w:tc>
        <w:tc>
          <w:tcPr>
            <w:tcW w:w="3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00" w:type="dxa"/>
            <w:vAlign w:val="bottom"/>
          </w:tcPr>
          <w:p>
            <w:pPr>
              <w:jc w:val="right"/>
              <w:ind w:right="30"/>
              <w:spacing w:after="0" w:line="202" w:lineRule="exact"/>
              <w:rPr>
                <w:sz w:val="20"/>
                <w:szCs w:val="20"/>
                <w:color w:val="auto"/>
              </w:rPr>
            </w:pPr>
            <w:r>
              <w:rPr>
                <w:rFonts w:ascii="Arial" w:cs="Arial" w:eastAsia="Arial" w:hAnsi="Arial"/>
                <w:sz w:val="18"/>
                <w:szCs w:val="18"/>
                <w:color w:val="auto"/>
              </w:rPr>
              <w:t>74</w:t>
            </w:r>
          </w:p>
        </w:tc>
        <w:tc>
          <w:tcPr>
            <w:tcW w:w="3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jc w:val="right"/>
              <w:ind w:right="30"/>
              <w:spacing w:after="0" w:line="202" w:lineRule="exact"/>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03"/>
        </w:trPr>
        <w:tc>
          <w:tcPr>
            <w:tcW w:w="2160" w:type="dxa"/>
            <w:vAlign w:val="bottom"/>
          </w:tcPr>
          <w:p>
            <w:pPr>
              <w:ind w:left="100"/>
              <w:spacing w:after="0" w:line="202" w:lineRule="exact"/>
              <w:rPr>
                <w:sz w:val="20"/>
                <w:szCs w:val="20"/>
                <w:color w:val="auto"/>
              </w:rPr>
            </w:pPr>
            <w:r>
              <w:rPr>
                <w:rFonts w:ascii="Arial" w:cs="Arial" w:eastAsia="Arial" w:hAnsi="Arial"/>
                <w:sz w:val="18"/>
                <w:szCs w:val="18"/>
                <w:color w:val="auto"/>
              </w:rPr>
              <w:t>Preferred dividends</w:t>
            </w:r>
          </w:p>
        </w:tc>
        <w:tc>
          <w:tcPr>
            <w:tcW w:w="340" w:type="dxa"/>
            <w:vAlign w:val="bottom"/>
          </w:tcPr>
          <w:p>
            <w:pPr>
              <w:spacing w:after="0"/>
              <w:rPr>
                <w:sz w:val="17"/>
                <w:szCs w:val="17"/>
                <w:color w:val="auto"/>
              </w:rPr>
            </w:pPr>
          </w:p>
        </w:tc>
        <w:tc>
          <w:tcPr>
            <w:tcW w:w="900" w:type="dxa"/>
            <w:vAlign w:val="bottom"/>
            <w:vMerge w:val="restart"/>
          </w:tcPr>
          <w:p>
            <w:pPr>
              <w:jc w:val="right"/>
              <w:ind w:right="50"/>
              <w:spacing w:after="0"/>
              <w:rPr>
                <w:sz w:val="20"/>
                <w:szCs w:val="20"/>
                <w:color w:val="auto"/>
              </w:rPr>
            </w:pPr>
            <w:r>
              <w:rPr>
                <w:rFonts w:ascii="Arial" w:cs="Arial" w:eastAsia="Arial" w:hAnsi="Arial"/>
                <w:sz w:val="18"/>
                <w:szCs w:val="18"/>
                <w:color w:val="auto"/>
              </w:rPr>
              <w:t>10</w:t>
            </w:r>
          </w:p>
        </w:tc>
        <w:tc>
          <w:tcPr>
            <w:tcW w:w="3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00" w:type="dxa"/>
            <w:vAlign w:val="bottom"/>
            <w:vMerge w:val="restart"/>
          </w:tcPr>
          <w:p>
            <w:pPr>
              <w:jc w:val="right"/>
              <w:ind w:right="30"/>
              <w:spacing w:after="0"/>
              <w:rPr>
                <w:sz w:val="20"/>
                <w:szCs w:val="20"/>
                <w:color w:val="auto"/>
              </w:rPr>
            </w:pPr>
            <w:r>
              <w:rPr>
                <w:rFonts w:ascii="Arial" w:cs="Arial" w:eastAsia="Arial" w:hAnsi="Arial"/>
                <w:sz w:val="18"/>
                <w:szCs w:val="18"/>
                <w:color w:val="auto"/>
              </w:rPr>
              <w:t>10</w:t>
            </w:r>
          </w:p>
        </w:tc>
        <w:tc>
          <w:tcPr>
            <w:tcW w:w="3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00" w:type="dxa"/>
            <w:vAlign w:val="bottom"/>
            <w:vMerge w:val="restart"/>
          </w:tcPr>
          <w:p>
            <w:pPr>
              <w:jc w:val="right"/>
              <w:ind w:right="30"/>
              <w:spacing w:after="0"/>
              <w:rPr>
                <w:sz w:val="20"/>
                <w:szCs w:val="20"/>
                <w:color w:val="auto"/>
              </w:rPr>
            </w:pPr>
            <w:r>
              <w:rPr>
                <w:rFonts w:ascii="Arial" w:cs="Arial" w:eastAsia="Arial" w:hAnsi="Arial"/>
                <w:sz w:val="18"/>
                <w:szCs w:val="18"/>
                <w:color w:val="auto"/>
              </w:rPr>
              <w:t>10</w:t>
            </w:r>
          </w:p>
        </w:tc>
        <w:tc>
          <w:tcPr>
            <w:tcW w:w="3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00" w:type="dxa"/>
            <w:vAlign w:val="bottom"/>
            <w:vMerge w:val="restart"/>
          </w:tcPr>
          <w:p>
            <w:pPr>
              <w:jc w:val="right"/>
              <w:ind w:right="30"/>
              <w:spacing w:after="0"/>
              <w:rPr>
                <w:sz w:val="20"/>
                <w:szCs w:val="20"/>
                <w:color w:val="auto"/>
              </w:rPr>
            </w:pPr>
            <w:r>
              <w:rPr>
                <w:rFonts w:ascii="Arial" w:cs="Arial" w:eastAsia="Arial" w:hAnsi="Arial"/>
                <w:sz w:val="18"/>
                <w:szCs w:val="18"/>
                <w:color w:val="auto"/>
              </w:rPr>
              <w:t>13</w:t>
            </w:r>
          </w:p>
        </w:tc>
        <w:tc>
          <w:tcPr>
            <w:tcW w:w="3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00" w:type="dxa"/>
            <w:vAlign w:val="bottom"/>
            <w:vMerge w:val="restart"/>
          </w:tcPr>
          <w:p>
            <w:pPr>
              <w:jc w:val="right"/>
              <w:ind w:right="30"/>
              <w:spacing w:after="0"/>
              <w:rPr>
                <w:sz w:val="20"/>
                <w:szCs w:val="20"/>
                <w:color w:val="auto"/>
              </w:rPr>
            </w:pPr>
            <w:r>
              <w:rPr>
                <w:rFonts w:ascii="Arial" w:cs="Arial" w:eastAsia="Arial" w:hAnsi="Arial"/>
                <w:sz w:val="18"/>
                <w:szCs w:val="18"/>
                <w:color w:val="auto"/>
              </w:rPr>
              <w:t>11</w:t>
            </w:r>
          </w:p>
        </w:tc>
        <w:tc>
          <w:tcPr>
            <w:tcW w:w="3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vMerge w:val="restart"/>
          </w:tcPr>
          <w:p>
            <w:pPr>
              <w:jc w:val="right"/>
              <w:ind w:right="3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190"/>
        </w:trPr>
        <w:tc>
          <w:tcPr>
            <w:tcW w:w="2160" w:type="dxa"/>
            <w:vAlign w:val="bottom"/>
          </w:tcPr>
          <w:p>
            <w:pPr>
              <w:ind w:left="260"/>
              <w:spacing w:after="0" w:line="190" w:lineRule="exact"/>
              <w:rPr>
                <w:sz w:val="20"/>
                <w:szCs w:val="20"/>
                <w:color w:val="auto"/>
              </w:rPr>
            </w:pPr>
            <w:r>
              <w:rPr>
                <w:rFonts w:ascii="Arial" w:cs="Arial" w:eastAsia="Arial" w:hAnsi="Arial"/>
                <w:sz w:val="18"/>
                <w:szCs w:val="18"/>
                <w:color w:val="auto"/>
              </w:rPr>
              <w:t>of subsidiaries (1)</w:t>
            </w:r>
          </w:p>
        </w:tc>
        <w:tc>
          <w:tcPr>
            <w:tcW w:w="3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vMerge w:val="continue"/>
          </w:tcPr>
          <w:p>
            <w:pPr>
              <w:spacing w:after="0"/>
              <w:rPr>
                <w:sz w:val="16"/>
                <w:szCs w:val="16"/>
                <w:color w:val="auto"/>
              </w:rPr>
            </w:pPr>
          </w:p>
        </w:tc>
        <w:tc>
          <w:tcPr>
            <w:tcW w:w="3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vMerge w:val="continue"/>
          </w:tcPr>
          <w:p>
            <w:pPr>
              <w:spacing w:after="0"/>
              <w:rPr>
                <w:sz w:val="16"/>
                <w:szCs w:val="16"/>
                <w:color w:val="auto"/>
              </w:rPr>
            </w:pPr>
          </w:p>
        </w:tc>
        <w:tc>
          <w:tcPr>
            <w:tcW w:w="34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vMerge w:val="continue"/>
          </w:tcPr>
          <w:p>
            <w:pPr>
              <w:spacing w:after="0"/>
              <w:rPr>
                <w:sz w:val="16"/>
                <w:szCs w:val="16"/>
                <w:color w:val="auto"/>
              </w:rPr>
            </w:pPr>
          </w:p>
        </w:tc>
        <w:tc>
          <w:tcPr>
            <w:tcW w:w="34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vMerge w:val="continue"/>
          </w:tcPr>
          <w:p>
            <w:pPr>
              <w:spacing w:after="0"/>
              <w:rPr>
                <w:sz w:val="16"/>
                <w:szCs w:val="16"/>
                <w:color w:val="auto"/>
              </w:rPr>
            </w:pPr>
          </w:p>
        </w:tc>
        <w:tc>
          <w:tcPr>
            <w:tcW w:w="34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vMerge w:val="continue"/>
          </w:tcPr>
          <w:p>
            <w:pPr>
              <w:spacing w:after="0"/>
              <w:rPr>
                <w:sz w:val="16"/>
                <w:szCs w:val="16"/>
                <w:color w:val="auto"/>
              </w:rPr>
            </w:pPr>
          </w:p>
        </w:tc>
        <w:tc>
          <w:tcPr>
            <w:tcW w:w="3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2160" w:type="dxa"/>
            <w:vAlign w:val="bottom"/>
          </w:tcPr>
          <w:p>
            <w:pPr>
              <w:spacing w:after="0" w:line="196" w:lineRule="exact"/>
              <w:rPr>
                <w:sz w:val="20"/>
                <w:szCs w:val="20"/>
                <w:color w:val="auto"/>
              </w:rPr>
            </w:pPr>
            <w:r>
              <w:rPr>
                <w:rFonts w:ascii="Arial" w:cs="Arial" w:eastAsia="Arial" w:hAnsi="Arial"/>
                <w:sz w:val="18"/>
                <w:szCs w:val="18"/>
                <w:color w:val="auto"/>
              </w:rPr>
              <w:t>Total earnings for</w:t>
            </w:r>
          </w:p>
        </w:tc>
        <w:tc>
          <w:tcPr>
            <w:tcW w:w="340" w:type="dxa"/>
            <w:vAlign w:val="bottom"/>
          </w:tcPr>
          <w:p>
            <w:pPr>
              <w:spacing w:after="0"/>
              <w:rPr>
                <w:sz w:val="17"/>
                <w:szCs w:val="17"/>
                <w:color w:val="auto"/>
              </w:rPr>
            </w:pPr>
          </w:p>
        </w:tc>
        <w:tc>
          <w:tcPr>
            <w:tcW w:w="900" w:type="dxa"/>
            <w:vAlign w:val="bottom"/>
          </w:tcPr>
          <w:p>
            <w:pPr>
              <w:jc w:val="right"/>
              <w:ind w:right="50"/>
              <w:spacing w:after="0" w:line="196" w:lineRule="exact"/>
              <w:rPr>
                <w:sz w:val="20"/>
                <w:szCs w:val="20"/>
                <w:color w:val="auto"/>
              </w:rPr>
            </w:pPr>
            <w:r>
              <w:rPr>
                <w:rFonts w:ascii="Arial" w:cs="Arial" w:eastAsia="Arial" w:hAnsi="Arial"/>
                <w:sz w:val="18"/>
                <w:szCs w:val="18"/>
                <w:color w:val="auto"/>
              </w:rPr>
              <w:t>$</w:t>
            </w:r>
          </w:p>
        </w:tc>
        <w:tc>
          <w:tcPr>
            <w:tcW w:w="3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00" w:type="dxa"/>
            <w:vAlign w:val="bottom"/>
          </w:tcPr>
          <w:p>
            <w:pPr>
              <w:jc w:val="right"/>
              <w:ind w:right="30"/>
              <w:spacing w:after="0" w:line="196" w:lineRule="exact"/>
              <w:rPr>
                <w:sz w:val="20"/>
                <w:szCs w:val="20"/>
                <w:color w:val="auto"/>
              </w:rPr>
            </w:pPr>
            <w:r>
              <w:rPr>
                <w:rFonts w:ascii="Arial" w:cs="Arial" w:eastAsia="Arial" w:hAnsi="Arial"/>
                <w:sz w:val="18"/>
                <w:szCs w:val="18"/>
                <w:color w:val="auto"/>
              </w:rPr>
              <w:t>$</w:t>
            </w:r>
          </w:p>
        </w:tc>
        <w:tc>
          <w:tcPr>
            <w:tcW w:w="3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00" w:type="dxa"/>
            <w:vAlign w:val="bottom"/>
          </w:tcPr>
          <w:p>
            <w:pPr>
              <w:jc w:val="right"/>
              <w:ind w:right="30"/>
              <w:spacing w:after="0" w:line="196" w:lineRule="exact"/>
              <w:rPr>
                <w:sz w:val="20"/>
                <w:szCs w:val="20"/>
                <w:color w:val="auto"/>
              </w:rPr>
            </w:pPr>
            <w:r>
              <w:rPr>
                <w:rFonts w:ascii="Arial" w:cs="Arial" w:eastAsia="Arial" w:hAnsi="Arial"/>
                <w:sz w:val="18"/>
                <w:szCs w:val="18"/>
                <w:color w:val="auto"/>
              </w:rPr>
              <w:t>$</w:t>
            </w:r>
          </w:p>
        </w:tc>
        <w:tc>
          <w:tcPr>
            <w:tcW w:w="3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00" w:type="dxa"/>
            <w:vAlign w:val="bottom"/>
          </w:tcPr>
          <w:p>
            <w:pPr>
              <w:jc w:val="right"/>
              <w:ind w:right="30"/>
              <w:spacing w:after="0" w:line="196" w:lineRule="exact"/>
              <w:rPr>
                <w:sz w:val="20"/>
                <w:szCs w:val="20"/>
                <w:color w:val="auto"/>
              </w:rPr>
            </w:pPr>
            <w:r>
              <w:rPr>
                <w:rFonts w:ascii="Arial" w:cs="Arial" w:eastAsia="Arial" w:hAnsi="Arial"/>
                <w:sz w:val="18"/>
                <w:szCs w:val="18"/>
                <w:color w:val="auto"/>
              </w:rPr>
              <w:t>$</w:t>
            </w:r>
          </w:p>
        </w:tc>
        <w:tc>
          <w:tcPr>
            <w:tcW w:w="3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00" w:type="dxa"/>
            <w:vAlign w:val="bottom"/>
          </w:tcPr>
          <w:p>
            <w:pPr>
              <w:jc w:val="right"/>
              <w:ind w:right="30"/>
              <w:spacing w:after="0" w:line="196" w:lineRule="exact"/>
              <w:rPr>
                <w:sz w:val="20"/>
                <w:szCs w:val="20"/>
                <w:color w:val="auto"/>
              </w:rPr>
            </w:pPr>
            <w:r>
              <w:rPr>
                <w:rFonts w:ascii="Arial" w:cs="Arial" w:eastAsia="Arial" w:hAnsi="Arial"/>
                <w:sz w:val="18"/>
                <w:szCs w:val="18"/>
                <w:color w:val="auto"/>
              </w:rPr>
              <w:t>$</w:t>
            </w:r>
          </w:p>
        </w:tc>
        <w:tc>
          <w:tcPr>
            <w:tcW w:w="3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jc w:val="right"/>
              <w:ind w:right="30"/>
              <w:spacing w:after="0" w:line="196"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2160" w:type="dxa"/>
            <w:vAlign w:val="bottom"/>
          </w:tcPr>
          <w:p>
            <w:pPr>
              <w:ind w:left="260"/>
              <w:spacing w:after="0" w:line="182" w:lineRule="exact"/>
              <w:rPr>
                <w:sz w:val="20"/>
                <w:szCs w:val="20"/>
                <w:color w:val="auto"/>
              </w:rPr>
            </w:pPr>
            <w:r>
              <w:rPr>
                <w:rFonts w:ascii="Arial" w:cs="Arial" w:eastAsia="Arial" w:hAnsi="Arial"/>
                <w:sz w:val="18"/>
                <w:szCs w:val="18"/>
                <w:color w:val="auto"/>
              </w:rPr>
              <w:t>purpose of ratio</w:t>
            </w:r>
          </w:p>
        </w:tc>
        <w:tc>
          <w:tcPr>
            <w:tcW w:w="3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50"/>
              <w:spacing w:after="0" w:line="182" w:lineRule="exact"/>
              <w:rPr>
                <w:sz w:val="20"/>
                <w:szCs w:val="20"/>
                <w:color w:val="auto"/>
              </w:rPr>
            </w:pPr>
            <w:r>
              <w:rPr>
                <w:rFonts w:ascii="Arial" w:cs="Arial" w:eastAsia="Arial" w:hAnsi="Arial"/>
                <w:sz w:val="18"/>
                <w:szCs w:val="18"/>
                <w:color w:val="auto"/>
              </w:rPr>
              <w:t>2,376</w:t>
            </w:r>
          </w:p>
        </w:tc>
        <w:tc>
          <w:tcPr>
            <w:tcW w:w="32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30"/>
              <w:spacing w:after="0" w:line="182" w:lineRule="exact"/>
              <w:rPr>
                <w:sz w:val="20"/>
                <w:szCs w:val="20"/>
                <w:color w:val="auto"/>
              </w:rPr>
            </w:pPr>
            <w:r>
              <w:rPr>
                <w:rFonts w:ascii="Arial" w:cs="Arial" w:eastAsia="Arial" w:hAnsi="Arial"/>
                <w:sz w:val="18"/>
                <w:szCs w:val="18"/>
                <w:color w:val="auto"/>
              </w:rPr>
              <w:t>1,846</w:t>
            </w:r>
          </w:p>
        </w:tc>
        <w:tc>
          <w:tcPr>
            <w:tcW w:w="34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30"/>
              <w:spacing w:after="0" w:line="182" w:lineRule="exact"/>
              <w:rPr>
                <w:sz w:val="20"/>
                <w:szCs w:val="20"/>
                <w:color w:val="auto"/>
              </w:rPr>
            </w:pPr>
            <w:r>
              <w:rPr>
                <w:rFonts w:ascii="Arial" w:cs="Arial" w:eastAsia="Arial" w:hAnsi="Arial"/>
                <w:sz w:val="18"/>
                <w:szCs w:val="18"/>
                <w:color w:val="auto"/>
              </w:rPr>
              <w:t>1,401</w:t>
            </w:r>
          </w:p>
        </w:tc>
        <w:tc>
          <w:tcPr>
            <w:tcW w:w="34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30"/>
              <w:spacing w:after="0" w:line="182" w:lineRule="exact"/>
              <w:rPr>
                <w:sz w:val="20"/>
                <w:szCs w:val="20"/>
                <w:color w:val="auto"/>
              </w:rPr>
            </w:pPr>
            <w:r>
              <w:rPr>
                <w:rFonts w:ascii="Arial" w:cs="Arial" w:eastAsia="Arial" w:hAnsi="Arial"/>
                <w:sz w:val="18"/>
                <w:szCs w:val="18"/>
                <w:color w:val="auto"/>
              </w:rPr>
              <w:t>1,854</w:t>
            </w:r>
          </w:p>
        </w:tc>
        <w:tc>
          <w:tcPr>
            <w:tcW w:w="34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30"/>
              <w:spacing w:after="0" w:line="182" w:lineRule="exact"/>
              <w:rPr>
                <w:sz w:val="20"/>
                <w:szCs w:val="20"/>
                <w:color w:val="auto"/>
              </w:rPr>
            </w:pPr>
            <w:r>
              <w:rPr>
                <w:rFonts w:ascii="Arial" w:cs="Arial" w:eastAsia="Arial" w:hAnsi="Arial"/>
                <w:sz w:val="18"/>
                <w:szCs w:val="18"/>
                <w:color w:val="auto"/>
              </w:rPr>
              <w:t>1,759</w:t>
            </w:r>
          </w:p>
        </w:tc>
        <w:tc>
          <w:tcPr>
            <w:tcW w:w="34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30"/>
              <w:spacing w:after="0" w:line="182" w:lineRule="exact"/>
              <w:rPr>
                <w:sz w:val="20"/>
                <w:szCs w:val="20"/>
                <w:color w:val="auto"/>
              </w:rPr>
            </w:pPr>
            <w:r>
              <w:rPr>
                <w:rFonts w:ascii="Arial" w:cs="Arial" w:eastAsia="Arial" w:hAnsi="Arial"/>
                <w:sz w:val="18"/>
                <w:szCs w:val="18"/>
                <w:color w:val="auto"/>
              </w:rPr>
              <w:t>1,187</w:t>
            </w:r>
          </w:p>
        </w:tc>
        <w:tc>
          <w:tcPr>
            <w:tcW w:w="0" w:type="dxa"/>
            <w:vAlign w:val="bottom"/>
          </w:tcPr>
          <w:p>
            <w:pPr>
              <w:spacing w:after="0"/>
              <w:rPr>
                <w:sz w:val="1"/>
                <w:szCs w:val="1"/>
                <w:color w:val="auto"/>
              </w:rPr>
            </w:pPr>
          </w:p>
        </w:tc>
      </w:tr>
      <w:tr>
        <w:trPr>
          <w:trHeight w:val="20"/>
        </w:trPr>
        <w:tc>
          <w:tcPr>
            <w:tcW w:w="2160" w:type="dxa"/>
            <w:vAlign w:val="bottom"/>
            <w:vMerge w:val="restart"/>
          </w:tcPr>
          <w:p>
            <w:pPr>
              <w:spacing w:after="0"/>
              <w:rPr>
                <w:sz w:val="20"/>
                <w:szCs w:val="20"/>
                <w:color w:val="auto"/>
              </w:rPr>
            </w:pPr>
            <w:r>
              <w:rPr>
                <w:rFonts w:ascii="Arial" w:cs="Arial" w:eastAsia="Arial" w:hAnsi="Arial"/>
                <w:sz w:val="18"/>
                <w:szCs w:val="18"/>
                <w:color w:val="auto"/>
              </w:rPr>
              <w:t>Ratio of earnings to</w:t>
            </w:r>
          </w:p>
        </w:tc>
        <w:tc>
          <w:tcPr>
            <w:tcW w:w="3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2160" w:type="dxa"/>
            <w:vAlign w:val="bottom"/>
            <w:vMerge w:val="continue"/>
          </w:tcPr>
          <w:p>
            <w:pPr>
              <w:spacing w:after="0"/>
              <w:rPr>
                <w:sz w:val="15"/>
                <w:szCs w:val="15"/>
                <w:color w:val="auto"/>
              </w:rPr>
            </w:pPr>
          </w:p>
        </w:tc>
        <w:tc>
          <w:tcPr>
            <w:tcW w:w="3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160" w:type="dxa"/>
            <w:vAlign w:val="bottom"/>
          </w:tcPr>
          <w:p>
            <w:pPr>
              <w:ind w:left="260"/>
              <w:spacing w:after="0" w:line="202" w:lineRule="exact"/>
              <w:rPr>
                <w:sz w:val="20"/>
                <w:szCs w:val="20"/>
                <w:color w:val="auto"/>
              </w:rPr>
            </w:pPr>
            <w:r>
              <w:rPr>
                <w:rFonts w:ascii="Arial" w:cs="Arial" w:eastAsia="Arial" w:hAnsi="Arial"/>
                <w:sz w:val="18"/>
                <w:szCs w:val="18"/>
                <w:color w:val="auto"/>
              </w:rPr>
              <w:t>combined fixed</w:t>
            </w:r>
          </w:p>
        </w:tc>
        <w:tc>
          <w:tcPr>
            <w:tcW w:w="3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160" w:type="dxa"/>
            <w:vAlign w:val="bottom"/>
          </w:tcPr>
          <w:p>
            <w:pPr>
              <w:ind w:left="260"/>
              <w:spacing w:after="0" w:line="202" w:lineRule="exact"/>
              <w:rPr>
                <w:sz w:val="20"/>
                <w:szCs w:val="20"/>
                <w:color w:val="auto"/>
              </w:rPr>
            </w:pPr>
            <w:r>
              <w:rPr>
                <w:rFonts w:ascii="Arial" w:cs="Arial" w:eastAsia="Arial" w:hAnsi="Arial"/>
                <w:sz w:val="18"/>
                <w:szCs w:val="18"/>
                <w:color w:val="auto"/>
              </w:rPr>
              <w:t>charges and</w:t>
            </w:r>
          </w:p>
        </w:tc>
        <w:tc>
          <w:tcPr>
            <w:tcW w:w="3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160" w:type="dxa"/>
            <w:vAlign w:val="bottom"/>
          </w:tcPr>
          <w:p>
            <w:pPr>
              <w:ind w:left="260"/>
              <w:spacing w:after="0" w:line="202" w:lineRule="exact"/>
              <w:rPr>
                <w:sz w:val="20"/>
                <w:szCs w:val="20"/>
                <w:color w:val="auto"/>
              </w:rPr>
            </w:pPr>
            <w:r>
              <w:rPr>
                <w:rFonts w:ascii="Arial" w:cs="Arial" w:eastAsia="Arial" w:hAnsi="Arial"/>
                <w:sz w:val="18"/>
                <w:szCs w:val="18"/>
                <w:color w:val="auto"/>
              </w:rPr>
              <w:t>preferred stock</w:t>
            </w:r>
          </w:p>
        </w:tc>
        <w:tc>
          <w:tcPr>
            <w:tcW w:w="340" w:type="dxa"/>
            <w:vAlign w:val="bottom"/>
          </w:tcPr>
          <w:p>
            <w:pPr>
              <w:spacing w:after="0"/>
              <w:rPr>
                <w:sz w:val="17"/>
                <w:szCs w:val="17"/>
                <w:color w:val="auto"/>
              </w:rPr>
            </w:pPr>
          </w:p>
        </w:tc>
        <w:tc>
          <w:tcPr>
            <w:tcW w:w="900" w:type="dxa"/>
            <w:vAlign w:val="bottom"/>
            <w:vMerge w:val="restart"/>
          </w:tcPr>
          <w:p>
            <w:pPr>
              <w:jc w:val="right"/>
              <w:ind w:right="50"/>
              <w:spacing w:after="0"/>
              <w:rPr>
                <w:sz w:val="20"/>
                <w:szCs w:val="20"/>
                <w:color w:val="auto"/>
              </w:rPr>
            </w:pPr>
            <w:r>
              <w:rPr>
                <w:rFonts w:ascii="Arial" w:cs="Arial" w:eastAsia="Arial" w:hAnsi="Arial"/>
                <w:sz w:val="18"/>
                <w:szCs w:val="18"/>
                <w:color w:val="auto"/>
              </w:rPr>
              <w:t>5.47</w:t>
            </w:r>
          </w:p>
        </w:tc>
        <w:tc>
          <w:tcPr>
            <w:tcW w:w="3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00" w:type="dxa"/>
            <w:vAlign w:val="bottom"/>
            <w:vMerge w:val="restart"/>
          </w:tcPr>
          <w:p>
            <w:pPr>
              <w:jc w:val="right"/>
              <w:ind w:right="30"/>
              <w:spacing w:after="0"/>
              <w:rPr>
                <w:sz w:val="20"/>
                <w:szCs w:val="20"/>
                <w:color w:val="auto"/>
              </w:rPr>
            </w:pPr>
            <w:r>
              <w:rPr>
                <w:rFonts w:ascii="Arial" w:cs="Arial" w:eastAsia="Arial" w:hAnsi="Arial"/>
                <w:sz w:val="18"/>
                <w:szCs w:val="18"/>
                <w:color w:val="auto"/>
              </w:rPr>
              <w:t>4.63</w:t>
            </w:r>
          </w:p>
        </w:tc>
        <w:tc>
          <w:tcPr>
            <w:tcW w:w="3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00" w:type="dxa"/>
            <w:vAlign w:val="bottom"/>
            <w:vMerge w:val="restart"/>
          </w:tcPr>
          <w:p>
            <w:pPr>
              <w:jc w:val="right"/>
              <w:ind w:right="30"/>
              <w:spacing w:after="0"/>
              <w:rPr>
                <w:sz w:val="20"/>
                <w:szCs w:val="20"/>
                <w:color w:val="auto"/>
              </w:rPr>
            </w:pPr>
            <w:r>
              <w:rPr>
                <w:rFonts w:ascii="Arial" w:cs="Arial" w:eastAsia="Arial" w:hAnsi="Arial"/>
                <w:sz w:val="18"/>
                <w:szCs w:val="18"/>
                <w:color w:val="auto"/>
              </w:rPr>
              <w:t>3.80</w:t>
            </w:r>
          </w:p>
        </w:tc>
        <w:tc>
          <w:tcPr>
            <w:tcW w:w="3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00" w:type="dxa"/>
            <w:vAlign w:val="bottom"/>
            <w:vMerge w:val="restart"/>
          </w:tcPr>
          <w:p>
            <w:pPr>
              <w:jc w:val="right"/>
              <w:ind w:right="30"/>
              <w:spacing w:after="0"/>
              <w:rPr>
                <w:sz w:val="20"/>
                <w:szCs w:val="20"/>
                <w:color w:val="auto"/>
              </w:rPr>
            </w:pPr>
            <w:r>
              <w:rPr>
                <w:rFonts w:ascii="Arial" w:cs="Arial" w:eastAsia="Arial" w:hAnsi="Arial"/>
                <w:sz w:val="18"/>
                <w:szCs w:val="18"/>
                <w:color w:val="auto"/>
              </w:rPr>
              <w:t>3.94</w:t>
            </w:r>
          </w:p>
        </w:tc>
        <w:tc>
          <w:tcPr>
            <w:tcW w:w="3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00" w:type="dxa"/>
            <w:vAlign w:val="bottom"/>
            <w:vMerge w:val="restart"/>
          </w:tcPr>
          <w:p>
            <w:pPr>
              <w:jc w:val="right"/>
              <w:ind w:right="30"/>
              <w:spacing w:after="0"/>
              <w:rPr>
                <w:sz w:val="20"/>
                <w:szCs w:val="20"/>
                <w:color w:val="auto"/>
              </w:rPr>
            </w:pPr>
            <w:r>
              <w:rPr>
                <w:rFonts w:ascii="Arial" w:cs="Arial" w:eastAsia="Arial" w:hAnsi="Arial"/>
                <w:sz w:val="18"/>
                <w:szCs w:val="18"/>
                <w:color w:val="auto"/>
              </w:rPr>
              <w:t>3.48</w:t>
            </w:r>
          </w:p>
        </w:tc>
        <w:tc>
          <w:tcPr>
            <w:tcW w:w="3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vMerge w:val="restart"/>
          </w:tcPr>
          <w:p>
            <w:pPr>
              <w:jc w:val="right"/>
              <w:ind w:right="30"/>
              <w:spacing w:after="0"/>
              <w:rPr>
                <w:sz w:val="20"/>
                <w:szCs w:val="20"/>
                <w:color w:val="auto"/>
              </w:rPr>
            </w:pPr>
            <w:r>
              <w:rPr>
                <w:rFonts w:ascii="Arial" w:cs="Arial" w:eastAsia="Arial" w:hAnsi="Arial"/>
                <w:sz w:val="18"/>
                <w:szCs w:val="18"/>
                <w:color w:val="auto"/>
              </w:rPr>
              <w:t>4.51</w:t>
            </w:r>
          </w:p>
        </w:tc>
        <w:tc>
          <w:tcPr>
            <w:tcW w:w="0" w:type="dxa"/>
            <w:vAlign w:val="bottom"/>
          </w:tcPr>
          <w:p>
            <w:pPr>
              <w:spacing w:after="0"/>
              <w:rPr>
                <w:sz w:val="1"/>
                <w:szCs w:val="1"/>
                <w:color w:val="auto"/>
              </w:rPr>
            </w:pPr>
          </w:p>
        </w:tc>
      </w:tr>
      <w:tr>
        <w:trPr>
          <w:trHeight w:val="163"/>
        </w:trPr>
        <w:tc>
          <w:tcPr>
            <w:tcW w:w="2160" w:type="dxa"/>
            <w:vAlign w:val="bottom"/>
          </w:tcPr>
          <w:p>
            <w:pPr>
              <w:ind w:left="260"/>
              <w:spacing w:after="0" w:line="143" w:lineRule="exact"/>
              <w:rPr>
                <w:sz w:val="20"/>
                <w:szCs w:val="20"/>
                <w:color w:val="auto"/>
              </w:rPr>
            </w:pPr>
            <w:r>
              <w:rPr>
                <w:rFonts w:ascii="Arial" w:cs="Arial" w:eastAsia="Arial" w:hAnsi="Arial"/>
                <w:sz w:val="16"/>
                <w:szCs w:val="16"/>
                <w:color w:val="auto"/>
              </w:rPr>
              <w:t>dividends</w:t>
            </w:r>
          </w:p>
        </w:tc>
        <w:tc>
          <w:tcPr>
            <w:tcW w:w="3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vMerge w:val="continue"/>
          </w:tcPr>
          <w:p>
            <w:pPr>
              <w:spacing w:after="0"/>
              <w:rPr>
                <w:sz w:val="14"/>
                <w:szCs w:val="14"/>
                <w:color w:val="auto"/>
              </w:rPr>
            </w:pPr>
          </w:p>
        </w:tc>
        <w:tc>
          <w:tcPr>
            <w:tcW w:w="32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vMerge w:val="continue"/>
          </w:tcPr>
          <w:p>
            <w:pPr>
              <w:spacing w:after="0"/>
              <w:rPr>
                <w:sz w:val="14"/>
                <w:szCs w:val="14"/>
                <w:color w:val="auto"/>
              </w:rPr>
            </w:pPr>
          </w:p>
        </w:tc>
        <w:tc>
          <w:tcPr>
            <w:tcW w:w="34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vMerge w:val="continue"/>
          </w:tcPr>
          <w:p>
            <w:pPr>
              <w:spacing w:after="0"/>
              <w:rPr>
                <w:sz w:val="14"/>
                <w:szCs w:val="14"/>
                <w:color w:val="auto"/>
              </w:rPr>
            </w:pPr>
          </w:p>
        </w:tc>
        <w:tc>
          <w:tcPr>
            <w:tcW w:w="34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vMerge w:val="continue"/>
          </w:tcPr>
          <w:p>
            <w:pPr>
              <w:spacing w:after="0"/>
              <w:rPr>
                <w:sz w:val="14"/>
                <w:szCs w:val="14"/>
                <w:color w:val="auto"/>
              </w:rPr>
            </w:pPr>
          </w:p>
        </w:tc>
        <w:tc>
          <w:tcPr>
            <w:tcW w:w="34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vMerge w:val="continue"/>
          </w:tcPr>
          <w:p>
            <w:pPr>
              <w:spacing w:after="0"/>
              <w:rPr>
                <w:sz w:val="14"/>
                <w:szCs w:val="14"/>
                <w:color w:val="auto"/>
              </w:rPr>
            </w:pPr>
          </w:p>
        </w:tc>
        <w:tc>
          <w:tcPr>
            <w:tcW w:w="34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160" w:type="dxa"/>
            <w:vAlign w:val="bottom"/>
            <w:vMerge w:val="restart"/>
          </w:tcPr>
          <w:p>
            <w:pPr>
              <w:spacing w:after="0"/>
              <w:rPr>
                <w:sz w:val="20"/>
                <w:szCs w:val="20"/>
                <w:color w:val="auto"/>
              </w:rPr>
            </w:pPr>
            <w:r>
              <w:rPr>
                <w:rFonts w:ascii="Arial" w:cs="Arial" w:eastAsia="Arial" w:hAnsi="Arial"/>
                <w:sz w:val="18"/>
                <w:szCs w:val="18"/>
                <w:color w:val="auto"/>
              </w:rPr>
              <w:t>Ratio of earnings to</w:t>
            </w:r>
          </w:p>
        </w:tc>
        <w:tc>
          <w:tcPr>
            <w:tcW w:w="3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8"/>
        </w:trPr>
        <w:tc>
          <w:tcPr>
            <w:tcW w:w="2160" w:type="dxa"/>
            <w:vAlign w:val="bottom"/>
            <w:vMerge w:val="continue"/>
          </w:tcPr>
          <w:p>
            <w:pPr>
              <w:spacing w:after="0"/>
              <w:rPr>
                <w:sz w:val="24"/>
                <w:szCs w:val="24"/>
                <w:color w:val="auto"/>
              </w:rPr>
            </w:pPr>
          </w:p>
        </w:tc>
        <w:tc>
          <w:tcPr>
            <w:tcW w:w="340" w:type="dxa"/>
            <w:vAlign w:val="bottom"/>
          </w:tcPr>
          <w:p>
            <w:pPr>
              <w:spacing w:after="0"/>
              <w:rPr>
                <w:sz w:val="24"/>
                <w:szCs w:val="24"/>
                <w:color w:val="auto"/>
              </w:rPr>
            </w:pPr>
          </w:p>
        </w:tc>
        <w:tc>
          <w:tcPr>
            <w:tcW w:w="900" w:type="dxa"/>
            <w:vAlign w:val="bottom"/>
            <w:vMerge w:val="restart"/>
          </w:tcPr>
          <w:p>
            <w:pPr>
              <w:jc w:val="right"/>
              <w:ind w:right="50"/>
              <w:spacing w:after="0"/>
              <w:rPr>
                <w:sz w:val="20"/>
                <w:szCs w:val="20"/>
                <w:color w:val="auto"/>
              </w:rPr>
            </w:pPr>
            <w:r>
              <w:rPr>
                <w:rFonts w:ascii="Arial" w:cs="Arial" w:eastAsia="Arial" w:hAnsi="Arial"/>
                <w:sz w:val="18"/>
                <w:szCs w:val="18"/>
                <w:color w:val="auto"/>
              </w:rPr>
              <w:t>5.47</w:t>
            </w:r>
          </w:p>
        </w:tc>
        <w:tc>
          <w:tcPr>
            <w:tcW w:w="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00" w:type="dxa"/>
            <w:vAlign w:val="bottom"/>
            <w:vMerge w:val="restart"/>
          </w:tcPr>
          <w:p>
            <w:pPr>
              <w:jc w:val="right"/>
              <w:ind w:right="30"/>
              <w:spacing w:after="0"/>
              <w:rPr>
                <w:sz w:val="20"/>
                <w:szCs w:val="20"/>
                <w:color w:val="auto"/>
              </w:rPr>
            </w:pPr>
            <w:r>
              <w:rPr>
                <w:rFonts w:ascii="Arial" w:cs="Arial" w:eastAsia="Arial" w:hAnsi="Arial"/>
                <w:sz w:val="18"/>
                <w:szCs w:val="18"/>
                <w:color w:val="auto"/>
              </w:rPr>
              <w:t>4.63</w:t>
            </w: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00" w:type="dxa"/>
            <w:vAlign w:val="bottom"/>
            <w:vMerge w:val="restart"/>
          </w:tcPr>
          <w:p>
            <w:pPr>
              <w:jc w:val="right"/>
              <w:ind w:right="30"/>
              <w:spacing w:after="0"/>
              <w:rPr>
                <w:sz w:val="20"/>
                <w:szCs w:val="20"/>
                <w:color w:val="auto"/>
              </w:rPr>
            </w:pPr>
            <w:r>
              <w:rPr>
                <w:rFonts w:ascii="Arial" w:cs="Arial" w:eastAsia="Arial" w:hAnsi="Arial"/>
                <w:sz w:val="18"/>
                <w:szCs w:val="18"/>
                <w:color w:val="auto"/>
              </w:rPr>
              <w:t>3.80</w:t>
            </w: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00" w:type="dxa"/>
            <w:vAlign w:val="bottom"/>
            <w:vMerge w:val="restart"/>
          </w:tcPr>
          <w:p>
            <w:pPr>
              <w:jc w:val="right"/>
              <w:ind w:right="30"/>
              <w:spacing w:after="0"/>
              <w:rPr>
                <w:sz w:val="20"/>
                <w:szCs w:val="20"/>
                <w:color w:val="auto"/>
              </w:rPr>
            </w:pPr>
            <w:r>
              <w:rPr>
                <w:rFonts w:ascii="Arial" w:cs="Arial" w:eastAsia="Arial" w:hAnsi="Arial"/>
                <w:sz w:val="18"/>
                <w:szCs w:val="18"/>
                <w:color w:val="auto"/>
              </w:rPr>
              <w:t>3.94</w:t>
            </w: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00" w:type="dxa"/>
            <w:vAlign w:val="bottom"/>
            <w:vMerge w:val="restart"/>
          </w:tcPr>
          <w:p>
            <w:pPr>
              <w:jc w:val="right"/>
              <w:ind w:right="30"/>
              <w:spacing w:after="0"/>
              <w:rPr>
                <w:sz w:val="20"/>
                <w:szCs w:val="20"/>
                <w:color w:val="auto"/>
              </w:rPr>
            </w:pPr>
            <w:r>
              <w:rPr>
                <w:rFonts w:ascii="Arial" w:cs="Arial" w:eastAsia="Arial" w:hAnsi="Arial"/>
                <w:sz w:val="18"/>
                <w:szCs w:val="18"/>
                <w:color w:val="auto"/>
              </w:rPr>
              <w:t>3.48</w:t>
            </w:r>
          </w:p>
        </w:tc>
        <w:tc>
          <w:tcPr>
            <w:tcW w:w="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vMerge w:val="restart"/>
          </w:tcPr>
          <w:p>
            <w:pPr>
              <w:jc w:val="right"/>
              <w:ind w:right="30"/>
              <w:spacing w:after="0"/>
              <w:rPr>
                <w:sz w:val="20"/>
                <w:szCs w:val="20"/>
                <w:color w:val="auto"/>
              </w:rPr>
            </w:pPr>
            <w:r>
              <w:rPr>
                <w:rFonts w:ascii="Arial" w:cs="Arial" w:eastAsia="Arial" w:hAnsi="Arial"/>
                <w:sz w:val="18"/>
                <w:szCs w:val="18"/>
                <w:color w:val="auto"/>
              </w:rPr>
              <w:t>4.51</w:t>
            </w:r>
          </w:p>
        </w:tc>
        <w:tc>
          <w:tcPr>
            <w:tcW w:w="0" w:type="dxa"/>
            <w:vAlign w:val="bottom"/>
          </w:tcPr>
          <w:p>
            <w:pPr>
              <w:spacing w:after="0"/>
              <w:rPr>
                <w:sz w:val="1"/>
                <w:szCs w:val="1"/>
                <w:color w:val="auto"/>
              </w:rPr>
            </w:pPr>
          </w:p>
        </w:tc>
      </w:tr>
      <w:tr>
        <w:trPr>
          <w:trHeight w:val="163"/>
        </w:trPr>
        <w:tc>
          <w:tcPr>
            <w:tcW w:w="2160" w:type="dxa"/>
            <w:vAlign w:val="bottom"/>
          </w:tcPr>
          <w:p>
            <w:pPr>
              <w:ind w:left="260"/>
              <w:spacing w:after="0" w:line="143" w:lineRule="exact"/>
              <w:rPr>
                <w:sz w:val="20"/>
                <w:szCs w:val="20"/>
                <w:color w:val="auto"/>
              </w:rPr>
            </w:pPr>
            <w:r>
              <w:rPr>
                <w:rFonts w:ascii="Arial" w:cs="Arial" w:eastAsia="Arial" w:hAnsi="Arial"/>
                <w:sz w:val="16"/>
                <w:szCs w:val="16"/>
                <w:color w:val="auto"/>
              </w:rPr>
              <w:t>fixed charges</w:t>
            </w:r>
          </w:p>
        </w:tc>
        <w:tc>
          <w:tcPr>
            <w:tcW w:w="3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vMerge w:val="continue"/>
          </w:tcPr>
          <w:p>
            <w:pPr>
              <w:spacing w:after="0"/>
              <w:rPr>
                <w:sz w:val="14"/>
                <w:szCs w:val="14"/>
                <w:color w:val="auto"/>
              </w:rPr>
            </w:pPr>
          </w:p>
        </w:tc>
        <w:tc>
          <w:tcPr>
            <w:tcW w:w="32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vMerge w:val="continue"/>
          </w:tcPr>
          <w:p>
            <w:pPr>
              <w:spacing w:after="0"/>
              <w:rPr>
                <w:sz w:val="14"/>
                <w:szCs w:val="14"/>
                <w:color w:val="auto"/>
              </w:rPr>
            </w:pPr>
          </w:p>
        </w:tc>
        <w:tc>
          <w:tcPr>
            <w:tcW w:w="34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vMerge w:val="continue"/>
          </w:tcPr>
          <w:p>
            <w:pPr>
              <w:spacing w:after="0"/>
              <w:rPr>
                <w:sz w:val="14"/>
                <w:szCs w:val="14"/>
                <w:color w:val="auto"/>
              </w:rPr>
            </w:pPr>
          </w:p>
        </w:tc>
        <w:tc>
          <w:tcPr>
            <w:tcW w:w="34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vMerge w:val="continue"/>
          </w:tcPr>
          <w:p>
            <w:pPr>
              <w:spacing w:after="0"/>
              <w:rPr>
                <w:sz w:val="14"/>
                <w:szCs w:val="14"/>
                <w:color w:val="auto"/>
              </w:rPr>
            </w:pPr>
          </w:p>
        </w:tc>
        <w:tc>
          <w:tcPr>
            <w:tcW w:w="34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vMerge w:val="continue"/>
          </w:tcPr>
          <w:p>
            <w:pPr>
              <w:spacing w:after="0"/>
              <w:rPr>
                <w:sz w:val="14"/>
                <w:szCs w:val="14"/>
                <w:color w:val="auto"/>
              </w:rPr>
            </w:pPr>
          </w:p>
        </w:tc>
        <w:tc>
          <w:tcPr>
            <w:tcW w:w="34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1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560" w:right="480" w:hanging="525"/>
        <w:spacing w:after="0" w:line="246" w:lineRule="auto"/>
        <w:tabs>
          <w:tab w:leader="none" w:pos="56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In computing this ratio, “Preferred dividends of subsidiaries” represents the before-tax earnings necessary to pay such dividends, computed at the effective tax rates for the applicable periods.</w:t>
      </w:r>
    </w:p>
    <w:p>
      <w:pPr>
        <w:sectPr>
          <w:pgSz w:w="11900" w:h="16838" w:orient="portrait"/>
          <w:cols w:equalWidth="0" w:num="1">
            <w:col w:w="11280"/>
          </w:cols>
          <w:pgMar w:left="380" w:top="1089" w:right="239" w:bottom="1440" w:gutter="0" w:footer="0" w:header="0"/>
        </w:sectPr>
      </w:pPr>
    </w:p>
    <w:bookmarkStart w:id="78" w:name="page79"/>
    <w:bookmarkEnd w:id="78"/>
    <w:p>
      <w:pPr>
        <w:jc w:val="center"/>
        <w:ind w:right="140"/>
        <w:spacing w:after="0"/>
        <w:rPr>
          <w:sz w:val="20"/>
          <w:szCs w:val="20"/>
          <w:color w:val="auto"/>
        </w:rPr>
      </w:pPr>
      <w:r>
        <w:rPr>
          <w:rFonts w:ascii="Arial" w:cs="Arial" w:eastAsia="Arial" w:hAnsi="Arial"/>
          <w:sz w:val="18"/>
          <w:szCs w:val="18"/>
          <w:b w:val="1"/>
          <w:bCs w:val="1"/>
          <w:color w:val="auto"/>
        </w:rPr>
        <w:t>EXHIBIT 12.2</w:t>
      </w:r>
    </w:p>
    <w:p>
      <w:pPr>
        <w:spacing w:after="0" w:line="13" w:lineRule="exact"/>
        <w:rPr>
          <w:sz w:val="20"/>
          <w:szCs w:val="20"/>
          <w:color w:val="auto"/>
        </w:rPr>
      </w:pPr>
    </w:p>
    <w:p>
      <w:pPr>
        <w:jc w:val="center"/>
        <w:ind w:right="140"/>
        <w:spacing w:after="0"/>
        <w:rPr>
          <w:sz w:val="20"/>
          <w:szCs w:val="20"/>
          <w:color w:val="auto"/>
        </w:rPr>
      </w:pPr>
      <w:r>
        <w:rPr>
          <w:rFonts w:ascii="Arial" w:cs="Arial" w:eastAsia="Arial" w:hAnsi="Arial"/>
          <w:sz w:val="18"/>
          <w:szCs w:val="18"/>
          <w:b w:val="1"/>
          <w:bCs w:val="1"/>
          <w:color w:val="auto"/>
        </w:rPr>
        <w:t>SAN DIEGO GAS &amp; ELECTRIC COMPANY</w:t>
      </w:r>
    </w:p>
    <w:p>
      <w:pPr>
        <w:jc w:val="center"/>
        <w:ind w:right="140"/>
        <w:spacing w:after="0" w:line="234" w:lineRule="auto"/>
        <w:rPr>
          <w:sz w:val="20"/>
          <w:szCs w:val="20"/>
          <w:color w:val="auto"/>
        </w:rPr>
      </w:pPr>
      <w:r>
        <w:rPr>
          <w:rFonts w:ascii="Arial" w:cs="Arial" w:eastAsia="Arial" w:hAnsi="Arial"/>
          <w:sz w:val="18"/>
          <w:szCs w:val="18"/>
          <w:b w:val="1"/>
          <w:bCs w:val="1"/>
          <w:color w:val="auto"/>
        </w:rPr>
        <w:t>COMPUTATION OF RATIO OF EARNINGS TO COMBINED FIXED CHARGES</w:t>
      </w:r>
    </w:p>
    <w:p>
      <w:pPr>
        <w:jc w:val="center"/>
        <w:ind w:right="140"/>
        <w:spacing w:after="0" w:line="235" w:lineRule="auto"/>
        <w:rPr>
          <w:sz w:val="20"/>
          <w:szCs w:val="20"/>
          <w:color w:val="auto"/>
        </w:rPr>
      </w:pPr>
      <w:r>
        <w:rPr>
          <w:rFonts w:ascii="Arial" w:cs="Arial" w:eastAsia="Arial" w:hAnsi="Arial"/>
          <w:sz w:val="18"/>
          <w:szCs w:val="18"/>
          <w:b w:val="1"/>
          <w:bCs w:val="1"/>
          <w:color w:val="auto"/>
        </w:rPr>
        <w:t>AND PREFERRED STOCK DIVIDENDS</w:t>
      </w:r>
    </w:p>
    <w:p>
      <w:pPr>
        <w:spacing w:after="0" w:line="1" w:lineRule="exact"/>
        <w:rPr>
          <w:sz w:val="20"/>
          <w:szCs w:val="20"/>
          <w:color w:val="auto"/>
        </w:rPr>
      </w:pPr>
    </w:p>
    <w:p>
      <w:pPr>
        <w:jc w:val="center"/>
        <w:ind w:right="140"/>
        <w:spacing w:after="0"/>
        <w:rPr>
          <w:sz w:val="20"/>
          <w:szCs w:val="20"/>
          <w:color w:val="auto"/>
        </w:rPr>
      </w:pPr>
      <w:r>
        <w:rPr>
          <w:rFonts w:ascii="Arial" w:cs="Arial" w:eastAsia="Arial" w:hAnsi="Arial"/>
          <w:sz w:val="18"/>
          <w:szCs w:val="18"/>
          <w:b w:val="1"/>
          <w:bCs w:val="1"/>
          <w:color w:val="auto"/>
        </w:rPr>
        <w:t>(Dollars in millions)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7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20" w:type="dxa"/>
            <w:vAlign w:val="bottom"/>
            <w:gridSpan w:val="2"/>
          </w:tcPr>
          <w:p>
            <w:pPr>
              <w:jc w:val="right"/>
              <w:ind w:right="210"/>
              <w:spacing w:after="0"/>
              <w:rPr>
                <w:sz w:val="20"/>
                <w:szCs w:val="20"/>
                <w:color w:val="auto"/>
              </w:rPr>
            </w:pPr>
            <w:r>
              <w:rPr>
                <w:rFonts w:ascii="Arial" w:cs="Arial" w:eastAsia="Arial" w:hAnsi="Arial"/>
                <w:sz w:val="18"/>
                <w:szCs w:val="18"/>
                <w:color w:val="auto"/>
              </w:rPr>
              <w:t>June 30,</w:t>
            </w:r>
          </w:p>
        </w:tc>
        <w:tc>
          <w:tcPr>
            <w:tcW w:w="0" w:type="dxa"/>
            <w:vAlign w:val="bottom"/>
          </w:tcPr>
          <w:p>
            <w:pPr>
              <w:spacing w:after="0"/>
              <w:rPr>
                <w:sz w:val="1"/>
                <w:szCs w:val="1"/>
                <w:color w:val="auto"/>
              </w:rPr>
            </w:pPr>
          </w:p>
        </w:tc>
      </w:tr>
      <w:tr>
        <w:trPr>
          <w:trHeight w:val="203"/>
        </w:trPr>
        <w:tc>
          <w:tcPr>
            <w:tcW w:w="1720" w:type="dxa"/>
            <w:vAlign w:val="bottom"/>
            <w:vMerge w:val="restart"/>
          </w:tcPr>
          <w:p>
            <w:pPr>
              <w:spacing w:after="0"/>
              <w:rPr>
                <w:sz w:val="20"/>
                <w:szCs w:val="20"/>
                <w:color w:val="auto"/>
              </w:rPr>
            </w:pPr>
            <w:r>
              <w:rPr>
                <w:rFonts w:ascii="Arial" w:cs="Arial" w:eastAsia="Arial" w:hAnsi="Arial"/>
                <w:sz w:val="18"/>
                <w:szCs w:val="18"/>
                <w:color w:val="auto"/>
              </w:rPr>
              <w:t>Fixed Charges</w:t>
            </w:r>
          </w:p>
        </w:tc>
        <w:tc>
          <w:tcPr>
            <w:tcW w:w="3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370"/>
              <w:spacing w:after="0" w:line="203" w:lineRule="exact"/>
              <w:rPr>
                <w:sz w:val="20"/>
                <w:szCs w:val="20"/>
                <w:color w:val="auto"/>
              </w:rPr>
            </w:pPr>
            <w:r>
              <w:rPr>
                <w:rFonts w:ascii="Arial" w:cs="Arial" w:eastAsia="Arial" w:hAnsi="Arial"/>
                <w:sz w:val="18"/>
                <w:szCs w:val="18"/>
                <w:color w:val="auto"/>
              </w:rPr>
              <w:t>2006</w:t>
            </w:r>
          </w:p>
        </w:tc>
        <w:tc>
          <w:tcPr>
            <w:tcW w:w="32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370"/>
              <w:spacing w:after="0" w:line="203" w:lineRule="exact"/>
              <w:rPr>
                <w:sz w:val="20"/>
                <w:szCs w:val="20"/>
                <w:color w:val="auto"/>
              </w:rPr>
            </w:pPr>
            <w:r>
              <w:rPr>
                <w:rFonts w:ascii="Arial" w:cs="Arial" w:eastAsia="Arial" w:hAnsi="Arial"/>
                <w:sz w:val="18"/>
                <w:szCs w:val="18"/>
                <w:color w:val="auto"/>
              </w:rPr>
              <w:t>2007</w:t>
            </w:r>
          </w:p>
        </w:tc>
        <w:tc>
          <w:tcPr>
            <w:tcW w:w="34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370"/>
              <w:spacing w:after="0" w:line="203" w:lineRule="exact"/>
              <w:rPr>
                <w:sz w:val="20"/>
                <w:szCs w:val="20"/>
                <w:color w:val="auto"/>
              </w:rPr>
            </w:pPr>
            <w:r>
              <w:rPr>
                <w:rFonts w:ascii="Arial" w:cs="Arial" w:eastAsia="Arial" w:hAnsi="Arial"/>
                <w:sz w:val="18"/>
                <w:szCs w:val="18"/>
                <w:color w:val="auto"/>
              </w:rPr>
              <w:t>2008</w:t>
            </w:r>
          </w:p>
        </w:tc>
        <w:tc>
          <w:tcPr>
            <w:tcW w:w="32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370"/>
              <w:spacing w:after="0" w:line="203" w:lineRule="exact"/>
              <w:rPr>
                <w:sz w:val="20"/>
                <w:szCs w:val="20"/>
                <w:color w:val="auto"/>
              </w:rPr>
            </w:pPr>
            <w:r>
              <w:rPr>
                <w:rFonts w:ascii="Arial" w:cs="Arial" w:eastAsia="Arial" w:hAnsi="Arial"/>
                <w:sz w:val="18"/>
                <w:szCs w:val="18"/>
                <w:color w:val="auto"/>
              </w:rPr>
              <w:t>2009</w:t>
            </w:r>
          </w:p>
        </w:tc>
        <w:tc>
          <w:tcPr>
            <w:tcW w:w="32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370"/>
              <w:spacing w:after="0" w:line="203" w:lineRule="exact"/>
              <w:rPr>
                <w:sz w:val="20"/>
                <w:szCs w:val="20"/>
                <w:color w:val="auto"/>
              </w:rPr>
            </w:pPr>
            <w:r>
              <w:rPr>
                <w:rFonts w:ascii="Arial" w:cs="Arial" w:eastAsia="Arial" w:hAnsi="Arial"/>
                <w:sz w:val="18"/>
                <w:szCs w:val="18"/>
                <w:color w:val="auto"/>
              </w:rPr>
              <w:t>2010</w:t>
            </w:r>
          </w:p>
        </w:tc>
        <w:tc>
          <w:tcPr>
            <w:tcW w:w="32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370"/>
              <w:spacing w:after="0" w:line="203" w:lineRule="exact"/>
              <w:rPr>
                <w:sz w:val="20"/>
                <w:szCs w:val="20"/>
                <w:color w:val="auto"/>
              </w:rPr>
            </w:pPr>
            <w:r>
              <w:rPr>
                <w:rFonts w:ascii="Arial" w:cs="Arial" w:eastAsia="Arial" w:hAnsi="Arial"/>
                <w:sz w:val="18"/>
                <w:szCs w:val="18"/>
                <w:color w:val="auto"/>
              </w:rPr>
              <w:t>2011</w:t>
            </w:r>
          </w:p>
        </w:tc>
        <w:tc>
          <w:tcPr>
            <w:tcW w:w="0" w:type="dxa"/>
            <w:vAlign w:val="bottom"/>
          </w:tcPr>
          <w:p>
            <w:pPr>
              <w:spacing w:after="0"/>
              <w:rPr>
                <w:sz w:val="1"/>
                <w:szCs w:val="1"/>
                <w:color w:val="auto"/>
              </w:rPr>
            </w:pPr>
          </w:p>
        </w:tc>
      </w:tr>
      <w:tr>
        <w:trPr>
          <w:trHeight w:val="195"/>
        </w:trPr>
        <w:tc>
          <w:tcPr>
            <w:tcW w:w="1720" w:type="dxa"/>
            <w:vAlign w:val="bottom"/>
            <w:vMerge w:val="continue"/>
          </w:tcPr>
          <w:p>
            <w:pPr>
              <w:spacing w:after="0"/>
              <w:rPr>
                <w:sz w:val="16"/>
                <w:szCs w:val="16"/>
                <w:color w:val="auto"/>
              </w:rPr>
            </w:pPr>
          </w:p>
        </w:tc>
        <w:tc>
          <w:tcPr>
            <w:tcW w:w="3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1720" w:type="dxa"/>
            <w:vAlign w:val="bottom"/>
          </w:tcPr>
          <w:p>
            <w:pPr>
              <w:ind w:left="260"/>
              <w:spacing w:after="0" w:line="202" w:lineRule="exact"/>
              <w:rPr>
                <w:sz w:val="20"/>
                <w:szCs w:val="20"/>
                <w:color w:val="auto"/>
              </w:rPr>
            </w:pPr>
            <w:r>
              <w:rPr>
                <w:rFonts w:ascii="Arial" w:cs="Arial" w:eastAsia="Arial" w:hAnsi="Arial"/>
                <w:sz w:val="18"/>
                <w:szCs w:val="18"/>
                <w:color w:val="auto"/>
              </w:rPr>
              <w:t>and</w:t>
            </w:r>
          </w:p>
        </w:tc>
        <w:tc>
          <w:tcPr>
            <w:tcW w:w="3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720" w:type="dxa"/>
            <w:vAlign w:val="bottom"/>
          </w:tcPr>
          <w:p>
            <w:pPr>
              <w:ind w:left="260"/>
              <w:spacing w:after="0" w:line="202" w:lineRule="exact"/>
              <w:rPr>
                <w:sz w:val="20"/>
                <w:szCs w:val="20"/>
                <w:color w:val="auto"/>
              </w:rPr>
            </w:pPr>
            <w:r>
              <w:rPr>
                <w:rFonts w:ascii="Arial" w:cs="Arial" w:eastAsia="Arial" w:hAnsi="Arial"/>
                <w:sz w:val="18"/>
                <w:szCs w:val="18"/>
                <w:color w:val="auto"/>
              </w:rPr>
              <w:t>Preferred</w:t>
            </w:r>
          </w:p>
        </w:tc>
        <w:tc>
          <w:tcPr>
            <w:tcW w:w="3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720" w:type="dxa"/>
            <w:vAlign w:val="bottom"/>
          </w:tcPr>
          <w:p>
            <w:pPr>
              <w:ind w:left="260"/>
              <w:spacing w:after="0" w:line="202" w:lineRule="exact"/>
              <w:rPr>
                <w:sz w:val="20"/>
                <w:szCs w:val="20"/>
                <w:color w:val="auto"/>
              </w:rPr>
            </w:pPr>
            <w:r>
              <w:rPr>
                <w:rFonts w:ascii="Arial" w:cs="Arial" w:eastAsia="Arial" w:hAnsi="Arial"/>
                <w:sz w:val="18"/>
                <w:szCs w:val="18"/>
                <w:color w:val="auto"/>
              </w:rPr>
              <w:t>Stock</w:t>
            </w:r>
          </w:p>
        </w:tc>
        <w:tc>
          <w:tcPr>
            <w:tcW w:w="3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720" w:type="dxa"/>
            <w:vAlign w:val="bottom"/>
          </w:tcPr>
          <w:p>
            <w:pPr>
              <w:ind w:left="260"/>
              <w:spacing w:after="0"/>
              <w:rPr>
                <w:sz w:val="20"/>
                <w:szCs w:val="20"/>
                <w:color w:val="auto"/>
              </w:rPr>
            </w:pPr>
            <w:r>
              <w:rPr>
                <w:rFonts w:ascii="Arial" w:cs="Arial" w:eastAsia="Arial" w:hAnsi="Arial"/>
                <w:sz w:val="18"/>
                <w:szCs w:val="18"/>
                <w:color w:val="auto"/>
              </w:rPr>
              <w:t>Dividends:</w:t>
            </w:r>
          </w:p>
        </w:tc>
        <w:tc>
          <w:tcPr>
            <w:tcW w:w="3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1720" w:type="dxa"/>
            <w:vAlign w:val="bottom"/>
          </w:tcPr>
          <w:p>
            <w:pPr>
              <w:spacing w:after="0" w:line="202" w:lineRule="exact"/>
              <w:rPr>
                <w:sz w:val="20"/>
                <w:szCs w:val="20"/>
                <w:color w:val="auto"/>
              </w:rPr>
            </w:pPr>
            <w:r>
              <w:rPr>
                <w:rFonts w:ascii="Arial" w:cs="Arial" w:eastAsia="Arial" w:hAnsi="Arial"/>
                <w:sz w:val="18"/>
                <w:szCs w:val="18"/>
                <w:color w:val="auto"/>
              </w:rPr>
              <w:t>Interest</w:t>
            </w:r>
          </w:p>
        </w:tc>
        <w:tc>
          <w:tcPr>
            <w:tcW w:w="3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940" w:type="dxa"/>
            <w:vAlign w:val="bottom"/>
          </w:tcPr>
          <w:p>
            <w:pPr>
              <w:jc w:val="right"/>
              <w:ind w:right="30"/>
              <w:spacing w:after="0" w:line="202" w:lineRule="exact"/>
              <w:rPr>
                <w:sz w:val="20"/>
                <w:szCs w:val="20"/>
                <w:color w:val="auto"/>
              </w:rPr>
            </w:pPr>
            <w:r>
              <w:rPr>
                <w:rFonts w:ascii="Arial" w:cs="Arial" w:eastAsia="Arial" w:hAnsi="Arial"/>
                <w:sz w:val="18"/>
                <w:szCs w:val="18"/>
                <w:color w:val="auto"/>
              </w:rPr>
              <w:t>102</w:t>
            </w:r>
          </w:p>
        </w:tc>
        <w:tc>
          <w:tcPr>
            <w:tcW w:w="70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w:t>
            </w:r>
          </w:p>
        </w:tc>
        <w:tc>
          <w:tcPr>
            <w:tcW w:w="940" w:type="dxa"/>
            <w:vAlign w:val="bottom"/>
          </w:tcPr>
          <w:p>
            <w:pPr>
              <w:jc w:val="right"/>
              <w:ind w:right="30"/>
              <w:spacing w:after="0" w:line="202" w:lineRule="exact"/>
              <w:rPr>
                <w:sz w:val="20"/>
                <w:szCs w:val="20"/>
                <w:color w:val="auto"/>
              </w:rPr>
            </w:pPr>
            <w:r>
              <w:rPr>
                <w:rFonts w:ascii="Arial" w:cs="Arial" w:eastAsia="Arial" w:hAnsi="Arial"/>
                <w:sz w:val="18"/>
                <w:szCs w:val="18"/>
                <w:color w:val="auto"/>
              </w:rPr>
              <w:t>105</w:t>
            </w:r>
          </w:p>
        </w:tc>
        <w:tc>
          <w:tcPr>
            <w:tcW w:w="72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940" w:type="dxa"/>
            <w:vAlign w:val="bottom"/>
          </w:tcPr>
          <w:p>
            <w:pPr>
              <w:jc w:val="right"/>
              <w:ind w:right="50"/>
              <w:spacing w:after="0" w:line="202" w:lineRule="exact"/>
              <w:rPr>
                <w:sz w:val="20"/>
                <w:szCs w:val="20"/>
                <w:color w:val="auto"/>
              </w:rPr>
            </w:pPr>
            <w:r>
              <w:rPr>
                <w:rFonts w:ascii="Arial" w:cs="Arial" w:eastAsia="Arial" w:hAnsi="Arial"/>
                <w:sz w:val="18"/>
                <w:szCs w:val="18"/>
                <w:color w:val="auto"/>
              </w:rPr>
              <w:t>107</w:t>
            </w:r>
          </w:p>
        </w:tc>
        <w:tc>
          <w:tcPr>
            <w:tcW w:w="70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w:t>
            </w:r>
          </w:p>
        </w:tc>
        <w:tc>
          <w:tcPr>
            <w:tcW w:w="940" w:type="dxa"/>
            <w:vAlign w:val="bottom"/>
          </w:tcPr>
          <w:p>
            <w:pPr>
              <w:jc w:val="right"/>
              <w:ind w:right="30"/>
              <w:spacing w:after="0" w:line="202" w:lineRule="exact"/>
              <w:rPr>
                <w:sz w:val="20"/>
                <w:szCs w:val="20"/>
                <w:color w:val="auto"/>
              </w:rPr>
            </w:pPr>
            <w:r>
              <w:rPr>
                <w:rFonts w:ascii="Arial" w:cs="Arial" w:eastAsia="Arial" w:hAnsi="Arial"/>
                <w:sz w:val="18"/>
                <w:szCs w:val="18"/>
                <w:color w:val="auto"/>
              </w:rPr>
              <w:t>118</w:t>
            </w:r>
          </w:p>
        </w:tc>
        <w:tc>
          <w:tcPr>
            <w:tcW w:w="70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w:t>
            </w:r>
          </w:p>
        </w:tc>
        <w:tc>
          <w:tcPr>
            <w:tcW w:w="960" w:type="dxa"/>
            <w:vAlign w:val="bottom"/>
          </w:tcPr>
          <w:p>
            <w:pPr>
              <w:jc w:val="right"/>
              <w:ind w:right="50"/>
              <w:spacing w:after="0" w:line="202" w:lineRule="exact"/>
              <w:rPr>
                <w:sz w:val="20"/>
                <w:szCs w:val="20"/>
                <w:color w:val="auto"/>
              </w:rPr>
            </w:pPr>
            <w:r>
              <w:rPr>
                <w:rFonts w:ascii="Arial" w:cs="Arial" w:eastAsia="Arial" w:hAnsi="Arial"/>
                <w:sz w:val="18"/>
                <w:szCs w:val="18"/>
                <w:color w:val="auto"/>
              </w:rPr>
              <w:t>153</w:t>
            </w:r>
          </w:p>
        </w:tc>
        <w:tc>
          <w:tcPr>
            <w:tcW w:w="7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920" w:type="dxa"/>
            <w:vAlign w:val="bottom"/>
          </w:tcPr>
          <w:p>
            <w:pPr>
              <w:jc w:val="right"/>
              <w:ind w:right="30"/>
              <w:spacing w:after="0" w:line="202" w:lineRule="exact"/>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203"/>
        </w:trPr>
        <w:tc>
          <w:tcPr>
            <w:tcW w:w="1720" w:type="dxa"/>
            <w:vAlign w:val="bottom"/>
          </w:tcPr>
          <w:p>
            <w:pPr>
              <w:spacing w:after="0" w:line="202" w:lineRule="exact"/>
              <w:rPr>
                <w:sz w:val="20"/>
                <w:szCs w:val="20"/>
                <w:color w:val="auto"/>
              </w:rPr>
            </w:pPr>
            <w:r>
              <w:rPr>
                <w:rFonts w:ascii="Arial" w:cs="Arial" w:eastAsia="Arial" w:hAnsi="Arial"/>
                <w:sz w:val="18"/>
                <w:szCs w:val="18"/>
                <w:color w:val="auto"/>
              </w:rPr>
              <w:t>Interest portion</w:t>
            </w:r>
          </w:p>
        </w:tc>
        <w:tc>
          <w:tcPr>
            <w:tcW w:w="3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720" w:type="dxa"/>
            <w:vAlign w:val="bottom"/>
          </w:tcPr>
          <w:p>
            <w:pPr>
              <w:ind w:left="260"/>
              <w:spacing w:after="0" w:line="202" w:lineRule="exact"/>
              <w:rPr>
                <w:sz w:val="20"/>
                <w:szCs w:val="20"/>
                <w:color w:val="auto"/>
              </w:rPr>
            </w:pPr>
            <w:r>
              <w:rPr>
                <w:rFonts w:ascii="Arial" w:cs="Arial" w:eastAsia="Arial" w:hAnsi="Arial"/>
                <w:sz w:val="18"/>
                <w:szCs w:val="18"/>
                <w:color w:val="auto"/>
              </w:rPr>
              <w:t>of annual</w:t>
            </w:r>
          </w:p>
        </w:tc>
        <w:tc>
          <w:tcPr>
            <w:tcW w:w="380" w:type="dxa"/>
            <w:vAlign w:val="bottom"/>
          </w:tcPr>
          <w:p>
            <w:pPr>
              <w:spacing w:after="0"/>
              <w:rPr>
                <w:sz w:val="17"/>
                <w:szCs w:val="17"/>
                <w:color w:val="auto"/>
              </w:rPr>
            </w:pPr>
          </w:p>
        </w:tc>
        <w:tc>
          <w:tcPr>
            <w:tcW w:w="940" w:type="dxa"/>
            <w:vAlign w:val="bottom"/>
            <w:vMerge w:val="restart"/>
          </w:tcPr>
          <w:p>
            <w:pPr>
              <w:jc w:val="right"/>
              <w:ind w:right="30"/>
              <w:spacing w:after="0"/>
              <w:rPr>
                <w:sz w:val="20"/>
                <w:szCs w:val="20"/>
                <w:color w:val="auto"/>
              </w:rPr>
            </w:pPr>
            <w:r>
              <w:rPr>
                <w:rFonts w:ascii="Arial" w:cs="Arial" w:eastAsia="Arial" w:hAnsi="Arial"/>
                <w:sz w:val="18"/>
                <w:szCs w:val="18"/>
                <w:color w:val="auto"/>
              </w:rPr>
              <w:t>3</w:t>
            </w:r>
          </w:p>
        </w:tc>
        <w:tc>
          <w:tcPr>
            <w:tcW w:w="3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40" w:type="dxa"/>
            <w:vAlign w:val="bottom"/>
            <w:vMerge w:val="restart"/>
          </w:tcPr>
          <w:p>
            <w:pPr>
              <w:jc w:val="right"/>
              <w:ind w:right="30"/>
              <w:spacing w:after="0"/>
              <w:rPr>
                <w:sz w:val="20"/>
                <w:szCs w:val="20"/>
                <w:color w:val="auto"/>
              </w:rPr>
            </w:pPr>
            <w:r>
              <w:rPr>
                <w:rFonts w:ascii="Arial" w:cs="Arial" w:eastAsia="Arial" w:hAnsi="Arial"/>
                <w:sz w:val="18"/>
                <w:szCs w:val="18"/>
                <w:color w:val="auto"/>
              </w:rPr>
              <w:t>3</w:t>
            </w:r>
          </w:p>
        </w:tc>
        <w:tc>
          <w:tcPr>
            <w:tcW w:w="3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40" w:type="dxa"/>
            <w:vAlign w:val="bottom"/>
            <w:vMerge w:val="restart"/>
          </w:tcPr>
          <w:p>
            <w:pPr>
              <w:jc w:val="right"/>
              <w:ind w:right="50"/>
              <w:spacing w:after="0"/>
              <w:rPr>
                <w:sz w:val="20"/>
                <w:szCs w:val="20"/>
                <w:color w:val="auto"/>
              </w:rPr>
            </w:pPr>
            <w:r>
              <w:rPr>
                <w:rFonts w:ascii="Arial" w:cs="Arial" w:eastAsia="Arial" w:hAnsi="Arial"/>
                <w:sz w:val="18"/>
                <w:szCs w:val="18"/>
                <w:color w:val="auto"/>
              </w:rPr>
              <w:t>1</w:t>
            </w:r>
          </w:p>
        </w:tc>
        <w:tc>
          <w:tcPr>
            <w:tcW w:w="3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40" w:type="dxa"/>
            <w:vAlign w:val="bottom"/>
            <w:vMerge w:val="restart"/>
          </w:tcPr>
          <w:p>
            <w:pPr>
              <w:jc w:val="right"/>
              <w:ind w:right="30"/>
              <w:spacing w:after="0"/>
              <w:rPr>
                <w:sz w:val="20"/>
                <w:szCs w:val="20"/>
                <w:color w:val="auto"/>
              </w:rPr>
            </w:pPr>
            <w:r>
              <w:rPr>
                <w:rFonts w:ascii="Arial" w:cs="Arial" w:eastAsia="Arial" w:hAnsi="Arial"/>
                <w:sz w:val="18"/>
                <w:szCs w:val="18"/>
                <w:color w:val="auto"/>
              </w:rPr>
              <w:t>1</w:t>
            </w:r>
          </w:p>
        </w:tc>
        <w:tc>
          <w:tcPr>
            <w:tcW w:w="3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60" w:type="dxa"/>
            <w:vAlign w:val="bottom"/>
            <w:vMerge w:val="restart"/>
          </w:tcPr>
          <w:p>
            <w:pPr>
              <w:jc w:val="right"/>
              <w:ind w:right="50"/>
              <w:spacing w:after="0"/>
              <w:rPr>
                <w:sz w:val="20"/>
                <w:szCs w:val="20"/>
                <w:color w:val="auto"/>
              </w:rPr>
            </w:pPr>
            <w:r>
              <w:rPr>
                <w:rFonts w:ascii="Arial" w:cs="Arial" w:eastAsia="Arial" w:hAnsi="Arial"/>
                <w:sz w:val="18"/>
                <w:szCs w:val="18"/>
                <w:color w:val="auto"/>
              </w:rPr>
              <w:t>1</w:t>
            </w:r>
          </w:p>
        </w:tc>
        <w:tc>
          <w:tcPr>
            <w:tcW w:w="3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20" w:type="dxa"/>
            <w:vAlign w:val="bottom"/>
            <w:vMerge w:val="restart"/>
          </w:tcPr>
          <w:p>
            <w:pPr>
              <w:jc w:val="right"/>
              <w:ind w:right="3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190"/>
        </w:trPr>
        <w:tc>
          <w:tcPr>
            <w:tcW w:w="1720" w:type="dxa"/>
            <w:vAlign w:val="bottom"/>
          </w:tcPr>
          <w:p>
            <w:pPr>
              <w:ind w:left="260"/>
              <w:spacing w:after="0" w:line="190" w:lineRule="exact"/>
              <w:rPr>
                <w:sz w:val="20"/>
                <w:szCs w:val="20"/>
                <w:color w:val="auto"/>
              </w:rPr>
            </w:pPr>
            <w:r>
              <w:rPr>
                <w:rFonts w:ascii="Arial" w:cs="Arial" w:eastAsia="Arial" w:hAnsi="Arial"/>
                <w:sz w:val="18"/>
                <w:szCs w:val="18"/>
                <w:color w:val="auto"/>
              </w:rPr>
              <w:t>rentals</w:t>
            </w:r>
          </w:p>
        </w:tc>
        <w:tc>
          <w:tcPr>
            <w:tcW w:w="3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vMerge w:val="continue"/>
          </w:tcPr>
          <w:p>
            <w:pPr>
              <w:spacing w:after="0"/>
              <w:rPr>
                <w:sz w:val="16"/>
                <w:szCs w:val="16"/>
                <w:color w:val="auto"/>
              </w:rPr>
            </w:pPr>
          </w:p>
        </w:tc>
        <w:tc>
          <w:tcPr>
            <w:tcW w:w="32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vMerge w:val="continue"/>
          </w:tcPr>
          <w:p>
            <w:pPr>
              <w:spacing w:after="0"/>
              <w:rPr>
                <w:sz w:val="16"/>
                <w:szCs w:val="16"/>
                <w:color w:val="auto"/>
              </w:rPr>
            </w:pPr>
          </w:p>
        </w:tc>
        <w:tc>
          <w:tcPr>
            <w:tcW w:w="34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vMerge w:val="continue"/>
          </w:tcPr>
          <w:p>
            <w:pPr>
              <w:spacing w:after="0"/>
              <w:rPr>
                <w:sz w:val="16"/>
                <w:szCs w:val="16"/>
                <w:color w:val="auto"/>
              </w:rPr>
            </w:pPr>
          </w:p>
        </w:tc>
        <w:tc>
          <w:tcPr>
            <w:tcW w:w="32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vMerge w:val="continue"/>
          </w:tcPr>
          <w:p>
            <w:pPr>
              <w:spacing w:after="0"/>
              <w:rPr>
                <w:sz w:val="16"/>
                <w:szCs w:val="16"/>
                <w:color w:val="auto"/>
              </w:rPr>
            </w:pPr>
          </w:p>
        </w:tc>
        <w:tc>
          <w:tcPr>
            <w:tcW w:w="32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32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1720" w:type="dxa"/>
            <w:vAlign w:val="bottom"/>
          </w:tcPr>
          <w:p>
            <w:pPr>
              <w:spacing w:after="0" w:line="195" w:lineRule="exact"/>
              <w:rPr>
                <w:sz w:val="20"/>
                <w:szCs w:val="20"/>
                <w:color w:val="auto"/>
              </w:rPr>
            </w:pPr>
            <w:r>
              <w:rPr>
                <w:rFonts w:ascii="Arial" w:cs="Arial" w:eastAsia="Arial" w:hAnsi="Arial"/>
                <w:sz w:val="18"/>
                <w:szCs w:val="18"/>
                <w:color w:val="auto"/>
              </w:rPr>
              <w:t>Total fixed</w:t>
            </w:r>
          </w:p>
        </w:tc>
        <w:tc>
          <w:tcPr>
            <w:tcW w:w="3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1720" w:type="dxa"/>
            <w:vAlign w:val="bottom"/>
          </w:tcPr>
          <w:p>
            <w:pPr>
              <w:ind w:left="260"/>
              <w:spacing w:after="0" w:line="202" w:lineRule="exact"/>
              <w:rPr>
                <w:sz w:val="20"/>
                <w:szCs w:val="20"/>
                <w:color w:val="auto"/>
              </w:rPr>
            </w:pPr>
            <w:r>
              <w:rPr>
                <w:rFonts w:ascii="Arial" w:cs="Arial" w:eastAsia="Arial" w:hAnsi="Arial"/>
                <w:sz w:val="18"/>
                <w:szCs w:val="18"/>
                <w:color w:val="auto"/>
              </w:rPr>
              <w:t>charges</w:t>
            </w:r>
          </w:p>
        </w:tc>
        <w:tc>
          <w:tcPr>
            <w:tcW w:w="380" w:type="dxa"/>
            <w:vAlign w:val="bottom"/>
          </w:tcPr>
          <w:p>
            <w:pPr>
              <w:spacing w:after="0"/>
              <w:rPr>
                <w:sz w:val="17"/>
                <w:szCs w:val="17"/>
                <w:color w:val="auto"/>
              </w:rPr>
            </w:pPr>
          </w:p>
        </w:tc>
        <w:tc>
          <w:tcPr>
            <w:tcW w:w="940" w:type="dxa"/>
            <w:vAlign w:val="bottom"/>
          </w:tcPr>
          <w:p>
            <w:pPr>
              <w:jc w:val="right"/>
              <w:ind w:right="30"/>
              <w:spacing w:after="0" w:line="202" w:lineRule="exact"/>
              <w:rPr>
                <w:sz w:val="20"/>
                <w:szCs w:val="20"/>
                <w:color w:val="auto"/>
              </w:rPr>
            </w:pPr>
            <w:r>
              <w:rPr>
                <w:rFonts w:ascii="Arial" w:cs="Arial" w:eastAsia="Arial" w:hAnsi="Arial"/>
                <w:sz w:val="18"/>
                <w:szCs w:val="18"/>
                <w:color w:val="auto"/>
              </w:rPr>
              <w:t>105</w:t>
            </w:r>
          </w:p>
        </w:tc>
        <w:tc>
          <w:tcPr>
            <w:tcW w:w="3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40" w:type="dxa"/>
            <w:vAlign w:val="bottom"/>
          </w:tcPr>
          <w:p>
            <w:pPr>
              <w:jc w:val="right"/>
              <w:ind w:right="30"/>
              <w:spacing w:after="0" w:line="202" w:lineRule="exact"/>
              <w:rPr>
                <w:sz w:val="20"/>
                <w:szCs w:val="20"/>
                <w:color w:val="auto"/>
              </w:rPr>
            </w:pPr>
            <w:r>
              <w:rPr>
                <w:rFonts w:ascii="Arial" w:cs="Arial" w:eastAsia="Arial" w:hAnsi="Arial"/>
                <w:sz w:val="18"/>
                <w:szCs w:val="18"/>
                <w:color w:val="auto"/>
              </w:rPr>
              <w:t>108</w:t>
            </w:r>
          </w:p>
        </w:tc>
        <w:tc>
          <w:tcPr>
            <w:tcW w:w="3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40" w:type="dxa"/>
            <w:vAlign w:val="bottom"/>
          </w:tcPr>
          <w:p>
            <w:pPr>
              <w:jc w:val="right"/>
              <w:ind w:right="50"/>
              <w:spacing w:after="0" w:line="202" w:lineRule="exact"/>
              <w:rPr>
                <w:sz w:val="20"/>
                <w:szCs w:val="20"/>
                <w:color w:val="auto"/>
              </w:rPr>
            </w:pPr>
            <w:r>
              <w:rPr>
                <w:rFonts w:ascii="Arial" w:cs="Arial" w:eastAsia="Arial" w:hAnsi="Arial"/>
                <w:sz w:val="18"/>
                <w:szCs w:val="18"/>
                <w:color w:val="auto"/>
              </w:rPr>
              <w:t>108</w:t>
            </w:r>
          </w:p>
        </w:tc>
        <w:tc>
          <w:tcPr>
            <w:tcW w:w="3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40" w:type="dxa"/>
            <w:vAlign w:val="bottom"/>
          </w:tcPr>
          <w:p>
            <w:pPr>
              <w:jc w:val="right"/>
              <w:ind w:right="30"/>
              <w:spacing w:after="0" w:line="202" w:lineRule="exact"/>
              <w:rPr>
                <w:sz w:val="20"/>
                <w:szCs w:val="20"/>
                <w:color w:val="auto"/>
              </w:rPr>
            </w:pPr>
            <w:r>
              <w:rPr>
                <w:rFonts w:ascii="Arial" w:cs="Arial" w:eastAsia="Arial" w:hAnsi="Arial"/>
                <w:sz w:val="18"/>
                <w:szCs w:val="18"/>
                <w:color w:val="auto"/>
              </w:rPr>
              <w:t>119</w:t>
            </w:r>
          </w:p>
        </w:tc>
        <w:tc>
          <w:tcPr>
            <w:tcW w:w="3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60" w:type="dxa"/>
            <w:vAlign w:val="bottom"/>
          </w:tcPr>
          <w:p>
            <w:pPr>
              <w:jc w:val="right"/>
              <w:ind w:right="50"/>
              <w:spacing w:after="0" w:line="202" w:lineRule="exact"/>
              <w:rPr>
                <w:sz w:val="20"/>
                <w:szCs w:val="20"/>
                <w:color w:val="auto"/>
              </w:rPr>
            </w:pPr>
            <w:r>
              <w:rPr>
                <w:rFonts w:ascii="Arial" w:cs="Arial" w:eastAsia="Arial" w:hAnsi="Arial"/>
                <w:sz w:val="18"/>
                <w:szCs w:val="18"/>
                <w:color w:val="auto"/>
              </w:rPr>
              <w:t>154</w:t>
            </w:r>
          </w:p>
        </w:tc>
        <w:tc>
          <w:tcPr>
            <w:tcW w:w="3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20" w:type="dxa"/>
            <w:vAlign w:val="bottom"/>
          </w:tcPr>
          <w:p>
            <w:pPr>
              <w:jc w:val="right"/>
              <w:ind w:right="30"/>
              <w:spacing w:after="0" w:line="202" w:lineRule="exact"/>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203"/>
        </w:trPr>
        <w:tc>
          <w:tcPr>
            <w:tcW w:w="1720" w:type="dxa"/>
            <w:vAlign w:val="bottom"/>
          </w:tcPr>
          <w:p>
            <w:pPr>
              <w:spacing w:after="0" w:line="202" w:lineRule="exact"/>
              <w:rPr>
                <w:sz w:val="20"/>
                <w:szCs w:val="20"/>
                <w:color w:val="auto"/>
              </w:rPr>
            </w:pPr>
            <w:r>
              <w:rPr>
                <w:rFonts w:ascii="Arial" w:cs="Arial" w:eastAsia="Arial" w:hAnsi="Arial"/>
                <w:sz w:val="18"/>
                <w:szCs w:val="18"/>
                <w:color w:val="auto"/>
              </w:rPr>
              <w:t>Preferred stock</w:t>
            </w:r>
          </w:p>
        </w:tc>
        <w:tc>
          <w:tcPr>
            <w:tcW w:w="3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720" w:type="dxa"/>
            <w:vAlign w:val="bottom"/>
          </w:tcPr>
          <w:p>
            <w:pPr>
              <w:ind w:left="260"/>
              <w:spacing w:after="0" w:line="202" w:lineRule="exact"/>
              <w:rPr>
                <w:sz w:val="20"/>
                <w:szCs w:val="20"/>
                <w:color w:val="auto"/>
              </w:rPr>
            </w:pPr>
            <w:r>
              <w:rPr>
                <w:rFonts w:ascii="Arial" w:cs="Arial" w:eastAsia="Arial" w:hAnsi="Arial"/>
                <w:sz w:val="18"/>
                <w:szCs w:val="18"/>
                <w:color w:val="auto"/>
              </w:rPr>
              <w:t>dividends</w:t>
            </w:r>
          </w:p>
        </w:tc>
        <w:tc>
          <w:tcPr>
            <w:tcW w:w="380" w:type="dxa"/>
            <w:vAlign w:val="bottom"/>
          </w:tcPr>
          <w:p>
            <w:pPr>
              <w:spacing w:after="0"/>
              <w:rPr>
                <w:sz w:val="17"/>
                <w:szCs w:val="17"/>
                <w:color w:val="auto"/>
              </w:rPr>
            </w:pPr>
          </w:p>
        </w:tc>
        <w:tc>
          <w:tcPr>
            <w:tcW w:w="940" w:type="dxa"/>
            <w:vAlign w:val="bottom"/>
            <w:vMerge w:val="restart"/>
          </w:tcPr>
          <w:p>
            <w:pPr>
              <w:jc w:val="right"/>
              <w:ind w:right="30"/>
              <w:spacing w:after="0"/>
              <w:rPr>
                <w:sz w:val="20"/>
                <w:szCs w:val="20"/>
                <w:color w:val="auto"/>
              </w:rPr>
            </w:pPr>
            <w:r>
              <w:rPr>
                <w:rFonts w:ascii="Arial" w:cs="Arial" w:eastAsia="Arial" w:hAnsi="Arial"/>
                <w:sz w:val="18"/>
                <w:szCs w:val="18"/>
                <w:color w:val="auto"/>
              </w:rPr>
              <w:t>8</w:t>
            </w:r>
          </w:p>
        </w:tc>
        <w:tc>
          <w:tcPr>
            <w:tcW w:w="3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40" w:type="dxa"/>
            <w:vAlign w:val="bottom"/>
            <w:vMerge w:val="restart"/>
          </w:tcPr>
          <w:p>
            <w:pPr>
              <w:jc w:val="right"/>
              <w:ind w:right="30"/>
              <w:spacing w:after="0"/>
              <w:rPr>
                <w:sz w:val="20"/>
                <w:szCs w:val="20"/>
                <w:color w:val="auto"/>
              </w:rPr>
            </w:pPr>
            <w:r>
              <w:rPr>
                <w:rFonts w:ascii="Arial" w:cs="Arial" w:eastAsia="Arial" w:hAnsi="Arial"/>
                <w:sz w:val="18"/>
                <w:szCs w:val="18"/>
                <w:color w:val="auto"/>
              </w:rPr>
              <w:t>7</w:t>
            </w:r>
          </w:p>
        </w:tc>
        <w:tc>
          <w:tcPr>
            <w:tcW w:w="3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40" w:type="dxa"/>
            <w:vAlign w:val="bottom"/>
            <w:vMerge w:val="restart"/>
          </w:tcPr>
          <w:p>
            <w:pPr>
              <w:jc w:val="right"/>
              <w:ind w:right="50"/>
              <w:spacing w:after="0"/>
              <w:rPr>
                <w:sz w:val="20"/>
                <w:szCs w:val="20"/>
                <w:color w:val="auto"/>
              </w:rPr>
            </w:pPr>
            <w:r>
              <w:rPr>
                <w:rFonts w:ascii="Arial" w:cs="Arial" w:eastAsia="Arial" w:hAnsi="Arial"/>
                <w:sz w:val="18"/>
                <w:szCs w:val="18"/>
                <w:color w:val="auto"/>
              </w:rPr>
              <w:t>7</w:t>
            </w:r>
          </w:p>
        </w:tc>
        <w:tc>
          <w:tcPr>
            <w:tcW w:w="3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40" w:type="dxa"/>
            <w:vAlign w:val="bottom"/>
            <w:vMerge w:val="restart"/>
          </w:tcPr>
          <w:p>
            <w:pPr>
              <w:jc w:val="right"/>
              <w:ind w:right="30"/>
              <w:spacing w:after="0"/>
              <w:rPr>
                <w:sz w:val="20"/>
                <w:szCs w:val="20"/>
                <w:color w:val="auto"/>
              </w:rPr>
            </w:pPr>
            <w:r>
              <w:rPr>
                <w:rFonts w:ascii="Arial" w:cs="Arial" w:eastAsia="Arial" w:hAnsi="Arial"/>
                <w:sz w:val="18"/>
                <w:szCs w:val="18"/>
                <w:color w:val="auto"/>
              </w:rPr>
              <w:t>7</w:t>
            </w:r>
          </w:p>
        </w:tc>
        <w:tc>
          <w:tcPr>
            <w:tcW w:w="3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60" w:type="dxa"/>
            <w:vAlign w:val="bottom"/>
            <w:vMerge w:val="restart"/>
          </w:tcPr>
          <w:p>
            <w:pPr>
              <w:jc w:val="right"/>
              <w:ind w:right="50"/>
              <w:spacing w:after="0"/>
              <w:rPr>
                <w:sz w:val="20"/>
                <w:szCs w:val="20"/>
                <w:color w:val="auto"/>
              </w:rPr>
            </w:pPr>
            <w:r>
              <w:rPr>
                <w:rFonts w:ascii="Arial" w:cs="Arial" w:eastAsia="Arial" w:hAnsi="Arial"/>
                <w:sz w:val="18"/>
                <w:szCs w:val="18"/>
                <w:color w:val="auto"/>
              </w:rPr>
              <w:t>7</w:t>
            </w:r>
          </w:p>
        </w:tc>
        <w:tc>
          <w:tcPr>
            <w:tcW w:w="3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20" w:type="dxa"/>
            <w:vAlign w:val="bottom"/>
            <w:vMerge w:val="restart"/>
          </w:tcPr>
          <w:p>
            <w:pPr>
              <w:jc w:val="right"/>
              <w:ind w:right="3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190"/>
        </w:trPr>
        <w:tc>
          <w:tcPr>
            <w:tcW w:w="1720" w:type="dxa"/>
            <w:vAlign w:val="bottom"/>
          </w:tcPr>
          <w:p>
            <w:pPr>
              <w:ind w:left="260"/>
              <w:spacing w:after="0" w:line="190" w:lineRule="exact"/>
              <w:rPr>
                <w:sz w:val="20"/>
                <w:szCs w:val="20"/>
                <w:color w:val="auto"/>
              </w:rPr>
            </w:pPr>
            <w:r>
              <w:rPr>
                <w:rFonts w:ascii="Arial" w:cs="Arial" w:eastAsia="Arial" w:hAnsi="Arial"/>
                <w:sz w:val="18"/>
                <w:szCs w:val="18"/>
                <w:color w:val="auto"/>
              </w:rPr>
              <w:t>(1)</w:t>
            </w:r>
          </w:p>
        </w:tc>
        <w:tc>
          <w:tcPr>
            <w:tcW w:w="3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vMerge w:val="continue"/>
          </w:tcPr>
          <w:p>
            <w:pPr>
              <w:spacing w:after="0"/>
              <w:rPr>
                <w:sz w:val="16"/>
                <w:szCs w:val="16"/>
                <w:color w:val="auto"/>
              </w:rPr>
            </w:pPr>
          </w:p>
        </w:tc>
        <w:tc>
          <w:tcPr>
            <w:tcW w:w="32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vMerge w:val="continue"/>
          </w:tcPr>
          <w:p>
            <w:pPr>
              <w:spacing w:after="0"/>
              <w:rPr>
                <w:sz w:val="16"/>
                <w:szCs w:val="16"/>
                <w:color w:val="auto"/>
              </w:rPr>
            </w:pPr>
          </w:p>
        </w:tc>
        <w:tc>
          <w:tcPr>
            <w:tcW w:w="34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vMerge w:val="continue"/>
          </w:tcPr>
          <w:p>
            <w:pPr>
              <w:spacing w:after="0"/>
              <w:rPr>
                <w:sz w:val="16"/>
                <w:szCs w:val="16"/>
                <w:color w:val="auto"/>
              </w:rPr>
            </w:pPr>
          </w:p>
        </w:tc>
        <w:tc>
          <w:tcPr>
            <w:tcW w:w="32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vMerge w:val="continue"/>
          </w:tcPr>
          <w:p>
            <w:pPr>
              <w:spacing w:after="0"/>
              <w:rPr>
                <w:sz w:val="16"/>
                <w:szCs w:val="16"/>
                <w:color w:val="auto"/>
              </w:rPr>
            </w:pPr>
          </w:p>
        </w:tc>
        <w:tc>
          <w:tcPr>
            <w:tcW w:w="32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32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1720" w:type="dxa"/>
            <w:vAlign w:val="bottom"/>
          </w:tcPr>
          <w:p>
            <w:pPr>
              <w:spacing w:after="0" w:line="195" w:lineRule="exact"/>
              <w:rPr>
                <w:sz w:val="20"/>
                <w:szCs w:val="20"/>
                <w:color w:val="auto"/>
              </w:rPr>
            </w:pPr>
            <w:r>
              <w:rPr>
                <w:rFonts w:ascii="Arial" w:cs="Arial" w:eastAsia="Arial" w:hAnsi="Arial"/>
                <w:sz w:val="18"/>
                <w:szCs w:val="18"/>
                <w:color w:val="auto"/>
              </w:rPr>
              <w:t>Combined fixed</w:t>
            </w:r>
          </w:p>
        </w:tc>
        <w:tc>
          <w:tcPr>
            <w:tcW w:w="3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1720" w:type="dxa"/>
            <w:vAlign w:val="bottom"/>
          </w:tcPr>
          <w:p>
            <w:pPr>
              <w:ind w:left="260"/>
              <w:spacing w:after="0" w:line="202" w:lineRule="exact"/>
              <w:rPr>
                <w:sz w:val="20"/>
                <w:szCs w:val="20"/>
                <w:color w:val="auto"/>
              </w:rPr>
            </w:pPr>
            <w:r>
              <w:rPr>
                <w:rFonts w:ascii="Arial" w:cs="Arial" w:eastAsia="Arial" w:hAnsi="Arial"/>
                <w:sz w:val="18"/>
                <w:szCs w:val="18"/>
                <w:color w:val="auto"/>
              </w:rPr>
              <w:t>charges and</w:t>
            </w:r>
          </w:p>
        </w:tc>
        <w:tc>
          <w:tcPr>
            <w:tcW w:w="3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720" w:type="dxa"/>
            <w:vAlign w:val="bottom"/>
          </w:tcPr>
          <w:p>
            <w:pPr>
              <w:ind w:left="260"/>
              <w:spacing w:after="0" w:line="202" w:lineRule="exact"/>
              <w:rPr>
                <w:sz w:val="20"/>
                <w:szCs w:val="20"/>
                <w:color w:val="auto"/>
              </w:rPr>
            </w:pPr>
            <w:r>
              <w:rPr>
                <w:rFonts w:ascii="Arial" w:cs="Arial" w:eastAsia="Arial" w:hAnsi="Arial"/>
                <w:sz w:val="18"/>
                <w:szCs w:val="18"/>
                <w:color w:val="auto"/>
              </w:rPr>
              <w:t>preferred</w:t>
            </w:r>
          </w:p>
        </w:tc>
        <w:tc>
          <w:tcPr>
            <w:tcW w:w="3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720" w:type="dxa"/>
            <w:vAlign w:val="bottom"/>
          </w:tcPr>
          <w:p>
            <w:pPr>
              <w:ind w:left="260"/>
              <w:spacing w:after="0" w:line="202" w:lineRule="exact"/>
              <w:rPr>
                <w:sz w:val="20"/>
                <w:szCs w:val="20"/>
                <w:color w:val="auto"/>
              </w:rPr>
            </w:pPr>
            <w:r>
              <w:rPr>
                <w:rFonts w:ascii="Arial" w:cs="Arial" w:eastAsia="Arial" w:hAnsi="Arial"/>
                <w:sz w:val="18"/>
                <w:szCs w:val="18"/>
                <w:color w:val="auto"/>
              </w:rPr>
              <w:t>stock</w:t>
            </w:r>
          </w:p>
        </w:tc>
        <w:tc>
          <w:tcPr>
            <w:tcW w:w="3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720" w:type="dxa"/>
            <w:vAlign w:val="bottom"/>
          </w:tcPr>
          <w:p>
            <w:pPr>
              <w:ind w:left="260"/>
              <w:spacing w:after="0" w:line="202" w:lineRule="exact"/>
              <w:rPr>
                <w:sz w:val="20"/>
                <w:szCs w:val="20"/>
                <w:color w:val="auto"/>
              </w:rPr>
            </w:pPr>
            <w:r>
              <w:rPr>
                <w:rFonts w:ascii="Arial" w:cs="Arial" w:eastAsia="Arial" w:hAnsi="Arial"/>
                <w:sz w:val="18"/>
                <w:szCs w:val="18"/>
                <w:color w:val="auto"/>
              </w:rPr>
              <w:t>dividends</w:t>
            </w:r>
          </w:p>
        </w:tc>
        <w:tc>
          <w:tcPr>
            <w:tcW w:w="3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720" w:type="dxa"/>
            <w:vAlign w:val="bottom"/>
          </w:tcPr>
          <w:p>
            <w:pPr>
              <w:ind w:left="260"/>
              <w:spacing w:after="0" w:line="202" w:lineRule="exact"/>
              <w:rPr>
                <w:sz w:val="20"/>
                <w:szCs w:val="20"/>
                <w:color w:val="auto"/>
              </w:rPr>
            </w:pPr>
            <w:r>
              <w:rPr>
                <w:rFonts w:ascii="Arial" w:cs="Arial" w:eastAsia="Arial" w:hAnsi="Arial"/>
                <w:sz w:val="18"/>
                <w:szCs w:val="18"/>
                <w:color w:val="auto"/>
              </w:rPr>
              <w:t>for purpose</w:t>
            </w:r>
          </w:p>
        </w:tc>
        <w:tc>
          <w:tcPr>
            <w:tcW w:w="38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940" w:type="dxa"/>
            <w:vAlign w:val="bottom"/>
            <w:vMerge w:val="restart"/>
          </w:tcPr>
          <w:p>
            <w:pPr>
              <w:jc w:val="right"/>
              <w:ind w:right="30"/>
              <w:spacing w:after="0"/>
              <w:rPr>
                <w:sz w:val="20"/>
                <w:szCs w:val="20"/>
                <w:color w:val="auto"/>
              </w:rPr>
            </w:pPr>
            <w:r>
              <w:rPr>
                <w:rFonts w:ascii="Arial" w:cs="Arial" w:eastAsia="Arial" w:hAnsi="Arial"/>
                <w:sz w:val="18"/>
                <w:szCs w:val="18"/>
                <w:color w:val="auto"/>
              </w:rPr>
              <w:t>113</w:t>
            </w:r>
          </w:p>
        </w:tc>
        <w:tc>
          <w:tcPr>
            <w:tcW w:w="700" w:type="dxa"/>
            <w:vAlign w:val="bottom"/>
            <w:gridSpan w:val="2"/>
            <w:vMerge w:val="restart"/>
          </w:tcPr>
          <w:p>
            <w:pPr>
              <w:jc w:val="right"/>
              <w:ind w:right="80"/>
              <w:spacing w:after="0"/>
              <w:rPr>
                <w:sz w:val="20"/>
                <w:szCs w:val="20"/>
                <w:color w:val="auto"/>
              </w:rPr>
            </w:pPr>
            <w:r>
              <w:rPr>
                <w:rFonts w:ascii="Arial" w:cs="Arial" w:eastAsia="Arial" w:hAnsi="Arial"/>
                <w:sz w:val="18"/>
                <w:szCs w:val="18"/>
                <w:color w:val="auto"/>
              </w:rPr>
              <w:t>$</w:t>
            </w:r>
          </w:p>
        </w:tc>
        <w:tc>
          <w:tcPr>
            <w:tcW w:w="940" w:type="dxa"/>
            <w:vAlign w:val="bottom"/>
            <w:vMerge w:val="restart"/>
          </w:tcPr>
          <w:p>
            <w:pPr>
              <w:jc w:val="right"/>
              <w:ind w:right="30"/>
              <w:spacing w:after="0"/>
              <w:rPr>
                <w:sz w:val="20"/>
                <w:szCs w:val="20"/>
                <w:color w:val="auto"/>
              </w:rPr>
            </w:pPr>
            <w:r>
              <w:rPr>
                <w:rFonts w:ascii="Arial" w:cs="Arial" w:eastAsia="Arial" w:hAnsi="Arial"/>
                <w:sz w:val="18"/>
                <w:szCs w:val="18"/>
                <w:color w:val="auto"/>
              </w:rPr>
              <w:t>115</w:t>
            </w:r>
          </w:p>
        </w:tc>
        <w:tc>
          <w:tcPr>
            <w:tcW w:w="72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w:t>
            </w:r>
          </w:p>
        </w:tc>
        <w:tc>
          <w:tcPr>
            <w:tcW w:w="940" w:type="dxa"/>
            <w:vAlign w:val="bottom"/>
            <w:vMerge w:val="restart"/>
          </w:tcPr>
          <w:p>
            <w:pPr>
              <w:jc w:val="right"/>
              <w:ind w:right="50"/>
              <w:spacing w:after="0"/>
              <w:rPr>
                <w:sz w:val="20"/>
                <w:szCs w:val="20"/>
                <w:color w:val="auto"/>
              </w:rPr>
            </w:pPr>
            <w:r>
              <w:rPr>
                <w:rFonts w:ascii="Arial" w:cs="Arial" w:eastAsia="Arial" w:hAnsi="Arial"/>
                <w:sz w:val="18"/>
                <w:szCs w:val="18"/>
                <w:color w:val="auto"/>
              </w:rPr>
              <w:t>115</w:t>
            </w:r>
          </w:p>
        </w:tc>
        <w:tc>
          <w:tcPr>
            <w:tcW w:w="700" w:type="dxa"/>
            <w:vAlign w:val="bottom"/>
            <w:gridSpan w:val="2"/>
            <w:vMerge w:val="restart"/>
          </w:tcPr>
          <w:p>
            <w:pPr>
              <w:jc w:val="right"/>
              <w:ind w:right="80"/>
              <w:spacing w:after="0"/>
              <w:rPr>
                <w:sz w:val="20"/>
                <w:szCs w:val="20"/>
                <w:color w:val="auto"/>
              </w:rPr>
            </w:pPr>
            <w:r>
              <w:rPr>
                <w:rFonts w:ascii="Arial" w:cs="Arial" w:eastAsia="Arial" w:hAnsi="Arial"/>
                <w:sz w:val="18"/>
                <w:szCs w:val="18"/>
                <w:color w:val="auto"/>
              </w:rPr>
              <w:t>$</w:t>
            </w:r>
          </w:p>
        </w:tc>
        <w:tc>
          <w:tcPr>
            <w:tcW w:w="940" w:type="dxa"/>
            <w:vAlign w:val="bottom"/>
            <w:vMerge w:val="restart"/>
          </w:tcPr>
          <w:p>
            <w:pPr>
              <w:jc w:val="right"/>
              <w:ind w:right="30"/>
              <w:spacing w:after="0"/>
              <w:rPr>
                <w:sz w:val="20"/>
                <w:szCs w:val="20"/>
                <w:color w:val="auto"/>
              </w:rPr>
            </w:pPr>
            <w:r>
              <w:rPr>
                <w:rFonts w:ascii="Arial" w:cs="Arial" w:eastAsia="Arial" w:hAnsi="Arial"/>
                <w:sz w:val="18"/>
                <w:szCs w:val="18"/>
                <w:color w:val="auto"/>
              </w:rPr>
              <w:t>126</w:t>
            </w:r>
          </w:p>
        </w:tc>
        <w:tc>
          <w:tcPr>
            <w:tcW w:w="700" w:type="dxa"/>
            <w:vAlign w:val="bottom"/>
            <w:gridSpan w:val="2"/>
            <w:vMerge w:val="restart"/>
          </w:tcPr>
          <w:p>
            <w:pPr>
              <w:jc w:val="right"/>
              <w:ind w:right="80"/>
              <w:spacing w:after="0"/>
              <w:rPr>
                <w:sz w:val="20"/>
                <w:szCs w:val="20"/>
                <w:color w:val="auto"/>
              </w:rPr>
            </w:pPr>
            <w:r>
              <w:rPr>
                <w:rFonts w:ascii="Arial" w:cs="Arial" w:eastAsia="Arial" w:hAnsi="Arial"/>
                <w:sz w:val="18"/>
                <w:szCs w:val="18"/>
                <w:color w:val="auto"/>
              </w:rPr>
              <w:t>$</w:t>
            </w:r>
          </w:p>
        </w:tc>
        <w:tc>
          <w:tcPr>
            <w:tcW w:w="960" w:type="dxa"/>
            <w:vAlign w:val="bottom"/>
            <w:vMerge w:val="restart"/>
          </w:tcPr>
          <w:p>
            <w:pPr>
              <w:jc w:val="right"/>
              <w:ind w:right="50"/>
              <w:spacing w:after="0"/>
              <w:rPr>
                <w:sz w:val="20"/>
                <w:szCs w:val="20"/>
                <w:color w:val="auto"/>
              </w:rPr>
            </w:pPr>
            <w:r>
              <w:rPr>
                <w:rFonts w:ascii="Arial" w:cs="Arial" w:eastAsia="Arial" w:hAnsi="Arial"/>
                <w:sz w:val="18"/>
                <w:szCs w:val="18"/>
                <w:color w:val="auto"/>
              </w:rPr>
              <w:t>161</w:t>
            </w:r>
          </w:p>
        </w:tc>
        <w:tc>
          <w:tcPr>
            <w:tcW w:w="72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920" w:type="dxa"/>
            <w:vAlign w:val="bottom"/>
            <w:vMerge w:val="restart"/>
          </w:tcPr>
          <w:p>
            <w:pPr>
              <w:jc w:val="right"/>
              <w:ind w:right="30"/>
              <w:spacing w:after="0"/>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r>
        <w:trPr>
          <w:trHeight w:val="163"/>
        </w:trPr>
        <w:tc>
          <w:tcPr>
            <w:tcW w:w="1720" w:type="dxa"/>
            <w:vAlign w:val="bottom"/>
          </w:tcPr>
          <w:p>
            <w:pPr>
              <w:ind w:left="260"/>
              <w:spacing w:after="0" w:line="143" w:lineRule="exact"/>
              <w:rPr>
                <w:sz w:val="20"/>
                <w:szCs w:val="20"/>
                <w:color w:val="auto"/>
              </w:rPr>
            </w:pPr>
            <w:r>
              <w:rPr>
                <w:rFonts w:ascii="Arial" w:cs="Arial" w:eastAsia="Arial" w:hAnsi="Arial"/>
                <w:sz w:val="16"/>
                <w:szCs w:val="16"/>
                <w:color w:val="auto"/>
              </w:rPr>
              <w:t>of ratio</w:t>
            </w:r>
          </w:p>
        </w:tc>
        <w:tc>
          <w:tcPr>
            <w:tcW w:w="380" w:type="dxa"/>
            <w:vAlign w:val="bottom"/>
            <w:vMerge w:val="continue"/>
          </w:tcPr>
          <w:p>
            <w:pPr>
              <w:spacing w:after="0"/>
              <w:rPr>
                <w:sz w:val="14"/>
                <w:szCs w:val="14"/>
                <w:color w:val="auto"/>
              </w:rPr>
            </w:pPr>
          </w:p>
        </w:tc>
        <w:tc>
          <w:tcPr>
            <w:tcW w:w="940" w:type="dxa"/>
            <w:vAlign w:val="bottom"/>
            <w:vMerge w:val="continue"/>
          </w:tcPr>
          <w:p>
            <w:pPr>
              <w:spacing w:after="0"/>
              <w:rPr>
                <w:sz w:val="14"/>
                <w:szCs w:val="14"/>
                <w:color w:val="auto"/>
              </w:rPr>
            </w:pPr>
          </w:p>
        </w:tc>
        <w:tc>
          <w:tcPr>
            <w:tcW w:w="700" w:type="dxa"/>
            <w:vAlign w:val="bottom"/>
            <w:gridSpan w:val="2"/>
            <w:vMerge w:val="continue"/>
          </w:tcPr>
          <w:p>
            <w:pPr>
              <w:spacing w:after="0"/>
              <w:rPr>
                <w:sz w:val="14"/>
                <w:szCs w:val="14"/>
                <w:color w:val="auto"/>
              </w:rPr>
            </w:pPr>
          </w:p>
        </w:tc>
        <w:tc>
          <w:tcPr>
            <w:tcW w:w="940" w:type="dxa"/>
            <w:vAlign w:val="bottom"/>
            <w:vMerge w:val="continue"/>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940" w:type="dxa"/>
            <w:vAlign w:val="bottom"/>
            <w:vMerge w:val="continue"/>
          </w:tcPr>
          <w:p>
            <w:pPr>
              <w:spacing w:after="0"/>
              <w:rPr>
                <w:sz w:val="14"/>
                <w:szCs w:val="14"/>
                <w:color w:val="auto"/>
              </w:rPr>
            </w:pPr>
          </w:p>
        </w:tc>
        <w:tc>
          <w:tcPr>
            <w:tcW w:w="700" w:type="dxa"/>
            <w:vAlign w:val="bottom"/>
            <w:gridSpan w:val="2"/>
            <w:vMerge w:val="continue"/>
          </w:tcPr>
          <w:p>
            <w:pPr>
              <w:spacing w:after="0"/>
              <w:rPr>
                <w:sz w:val="14"/>
                <w:szCs w:val="14"/>
                <w:color w:val="auto"/>
              </w:rPr>
            </w:pPr>
          </w:p>
        </w:tc>
        <w:tc>
          <w:tcPr>
            <w:tcW w:w="940" w:type="dxa"/>
            <w:vAlign w:val="bottom"/>
            <w:vMerge w:val="continue"/>
          </w:tcPr>
          <w:p>
            <w:pPr>
              <w:spacing w:after="0"/>
              <w:rPr>
                <w:sz w:val="14"/>
                <w:szCs w:val="14"/>
                <w:color w:val="auto"/>
              </w:rPr>
            </w:pPr>
          </w:p>
        </w:tc>
        <w:tc>
          <w:tcPr>
            <w:tcW w:w="700" w:type="dxa"/>
            <w:vAlign w:val="bottom"/>
            <w:gridSpan w:val="2"/>
            <w:vMerge w:val="continue"/>
          </w:tcPr>
          <w:p>
            <w:pPr>
              <w:spacing w:after="0"/>
              <w:rPr>
                <w:sz w:val="14"/>
                <w:szCs w:val="14"/>
                <w:color w:val="auto"/>
              </w:rPr>
            </w:pPr>
          </w:p>
        </w:tc>
        <w:tc>
          <w:tcPr>
            <w:tcW w:w="960" w:type="dxa"/>
            <w:vAlign w:val="bottom"/>
            <w:vMerge w:val="continue"/>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720" w:type="dxa"/>
            <w:vAlign w:val="bottom"/>
            <w:vMerge w:val="restart"/>
          </w:tcPr>
          <w:p>
            <w:pPr>
              <w:spacing w:after="0"/>
              <w:rPr>
                <w:sz w:val="20"/>
                <w:szCs w:val="20"/>
                <w:color w:val="auto"/>
              </w:rPr>
            </w:pPr>
            <w:r>
              <w:rPr>
                <w:rFonts w:ascii="Arial" w:cs="Arial" w:eastAsia="Arial" w:hAnsi="Arial"/>
                <w:sz w:val="18"/>
                <w:szCs w:val="18"/>
                <w:color w:val="auto"/>
              </w:rPr>
              <w:t>Earnings:</w:t>
            </w:r>
          </w:p>
        </w:tc>
        <w:tc>
          <w:tcPr>
            <w:tcW w:w="3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720" w:type="dxa"/>
            <w:vAlign w:val="bottom"/>
            <w:vMerge w:val="continue"/>
          </w:tcPr>
          <w:p>
            <w:pPr>
              <w:spacing w:after="0"/>
              <w:rPr>
                <w:sz w:val="17"/>
                <w:szCs w:val="17"/>
                <w:color w:val="auto"/>
              </w:rPr>
            </w:pPr>
          </w:p>
        </w:tc>
        <w:tc>
          <w:tcPr>
            <w:tcW w:w="3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720" w:type="dxa"/>
            <w:vAlign w:val="bottom"/>
          </w:tcPr>
          <w:p>
            <w:pPr>
              <w:spacing w:after="0" w:line="202" w:lineRule="exact"/>
              <w:rPr>
                <w:sz w:val="20"/>
                <w:szCs w:val="20"/>
                <w:color w:val="auto"/>
              </w:rPr>
            </w:pPr>
            <w:r>
              <w:rPr>
                <w:rFonts w:ascii="Arial" w:cs="Arial" w:eastAsia="Arial" w:hAnsi="Arial"/>
                <w:sz w:val="18"/>
                <w:szCs w:val="18"/>
                <w:color w:val="auto"/>
              </w:rPr>
              <w:t>Pretax income</w:t>
            </w:r>
          </w:p>
        </w:tc>
        <w:tc>
          <w:tcPr>
            <w:tcW w:w="3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720" w:type="dxa"/>
            <w:vAlign w:val="bottom"/>
          </w:tcPr>
          <w:p>
            <w:pPr>
              <w:ind w:left="260"/>
              <w:spacing w:after="0" w:line="202" w:lineRule="exact"/>
              <w:rPr>
                <w:sz w:val="20"/>
                <w:szCs w:val="20"/>
                <w:color w:val="auto"/>
              </w:rPr>
            </w:pPr>
            <w:r>
              <w:rPr>
                <w:rFonts w:ascii="Arial" w:cs="Arial" w:eastAsia="Arial" w:hAnsi="Arial"/>
                <w:sz w:val="18"/>
                <w:szCs w:val="18"/>
                <w:color w:val="auto"/>
              </w:rPr>
              <w:t>from</w:t>
            </w:r>
          </w:p>
        </w:tc>
        <w:tc>
          <w:tcPr>
            <w:tcW w:w="3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720" w:type="dxa"/>
            <w:vAlign w:val="bottom"/>
          </w:tcPr>
          <w:p>
            <w:pPr>
              <w:ind w:left="260"/>
              <w:spacing w:after="0" w:line="202" w:lineRule="exact"/>
              <w:rPr>
                <w:sz w:val="20"/>
                <w:szCs w:val="20"/>
                <w:color w:val="auto"/>
              </w:rPr>
            </w:pPr>
            <w:r>
              <w:rPr>
                <w:rFonts w:ascii="Arial" w:cs="Arial" w:eastAsia="Arial" w:hAnsi="Arial"/>
                <w:sz w:val="18"/>
                <w:szCs w:val="18"/>
                <w:color w:val="auto"/>
              </w:rPr>
              <w:t>continuing</w:t>
            </w:r>
          </w:p>
        </w:tc>
        <w:tc>
          <w:tcPr>
            <w:tcW w:w="3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720" w:type="dxa"/>
            <w:vAlign w:val="bottom"/>
          </w:tcPr>
          <w:p>
            <w:pPr>
              <w:ind w:left="260"/>
              <w:spacing w:after="0" w:line="202" w:lineRule="exact"/>
              <w:rPr>
                <w:sz w:val="20"/>
                <w:szCs w:val="20"/>
                <w:color w:val="auto"/>
              </w:rPr>
            </w:pPr>
            <w:r>
              <w:rPr>
                <w:rFonts w:ascii="Arial" w:cs="Arial" w:eastAsia="Arial" w:hAnsi="Arial"/>
                <w:sz w:val="18"/>
                <w:szCs w:val="18"/>
                <w:color w:val="auto"/>
              </w:rPr>
              <w:t>operations</w:t>
            </w:r>
          </w:p>
        </w:tc>
        <w:tc>
          <w:tcPr>
            <w:tcW w:w="3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940" w:type="dxa"/>
            <w:vAlign w:val="bottom"/>
          </w:tcPr>
          <w:p>
            <w:pPr>
              <w:jc w:val="right"/>
              <w:ind w:right="30"/>
              <w:spacing w:after="0" w:line="202" w:lineRule="exact"/>
              <w:rPr>
                <w:sz w:val="20"/>
                <w:szCs w:val="20"/>
                <w:color w:val="auto"/>
              </w:rPr>
            </w:pPr>
            <w:r>
              <w:rPr>
                <w:rFonts w:ascii="Arial" w:cs="Arial" w:eastAsia="Arial" w:hAnsi="Arial"/>
                <w:sz w:val="18"/>
                <w:szCs w:val="18"/>
                <w:color w:val="auto"/>
              </w:rPr>
              <w:t>394</w:t>
            </w:r>
          </w:p>
        </w:tc>
        <w:tc>
          <w:tcPr>
            <w:tcW w:w="70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w:t>
            </w:r>
          </w:p>
        </w:tc>
        <w:tc>
          <w:tcPr>
            <w:tcW w:w="940" w:type="dxa"/>
            <w:vAlign w:val="bottom"/>
          </w:tcPr>
          <w:p>
            <w:pPr>
              <w:jc w:val="right"/>
              <w:ind w:right="30"/>
              <w:spacing w:after="0" w:line="202" w:lineRule="exact"/>
              <w:rPr>
                <w:sz w:val="20"/>
                <w:szCs w:val="20"/>
                <w:color w:val="auto"/>
              </w:rPr>
            </w:pPr>
            <w:r>
              <w:rPr>
                <w:rFonts w:ascii="Arial" w:cs="Arial" w:eastAsia="Arial" w:hAnsi="Arial"/>
                <w:sz w:val="18"/>
                <w:szCs w:val="18"/>
                <w:color w:val="auto"/>
              </w:rPr>
              <w:t>406</w:t>
            </w:r>
          </w:p>
        </w:tc>
        <w:tc>
          <w:tcPr>
            <w:tcW w:w="72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940" w:type="dxa"/>
            <w:vAlign w:val="bottom"/>
          </w:tcPr>
          <w:p>
            <w:pPr>
              <w:jc w:val="right"/>
              <w:ind w:right="50"/>
              <w:spacing w:after="0" w:line="202" w:lineRule="exact"/>
              <w:rPr>
                <w:sz w:val="20"/>
                <w:szCs w:val="20"/>
                <w:color w:val="auto"/>
              </w:rPr>
            </w:pPr>
            <w:r>
              <w:rPr>
                <w:rFonts w:ascii="Arial" w:cs="Arial" w:eastAsia="Arial" w:hAnsi="Arial"/>
                <w:sz w:val="18"/>
                <w:szCs w:val="18"/>
                <w:color w:val="auto"/>
              </w:rPr>
              <w:t>451</w:t>
            </w:r>
          </w:p>
        </w:tc>
        <w:tc>
          <w:tcPr>
            <w:tcW w:w="70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w:t>
            </w:r>
          </w:p>
        </w:tc>
        <w:tc>
          <w:tcPr>
            <w:tcW w:w="940" w:type="dxa"/>
            <w:vAlign w:val="bottom"/>
          </w:tcPr>
          <w:p>
            <w:pPr>
              <w:jc w:val="right"/>
              <w:ind w:right="30"/>
              <w:spacing w:after="0" w:line="202" w:lineRule="exact"/>
              <w:rPr>
                <w:sz w:val="20"/>
                <w:szCs w:val="20"/>
                <w:color w:val="auto"/>
              </w:rPr>
            </w:pPr>
            <w:r>
              <w:rPr>
                <w:rFonts w:ascii="Arial" w:cs="Arial" w:eastAsia="Arial" w:hAnsi="Arial"/>
                <w:sz w:val="18"/>
                <w:szCs w:val="18"/>
                <w:color w:val="auto"/>
              </w:rPr>
              <w:t>550</w:t>
            </w:r>
          </w:p>
        </w:tc>
        <w:tc>
          <w:tcPr>
            <w:tcW w:w="70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w:t>
            </w:r>
          </w:p>
        </w:tc>
        <w:tc>
          <w:tcPr>
            <w:tcW w:w="960" w:type="dxa"/>
            <w:vAlign w:val="bottom"/>
          </w:tcPr>
          <w:p>
            <w:pPr>
              <w:jc w:val="right"/>
              <w:ind w:right="50"/>
              <w:spacing w:after="0" w:line="202" w:lineRule="exact"/>
              <w:rPr>
                <w:sz w:val="20"/>
                <w:szCs w:val="20"/>
                <w:color w:val="auto"/>
              </w:rPr>
            </w:pPr>
            <w:r>
              <w:rPr>
                <w:rFonts w:ascii="Arial" w:cs="Arial" w:eastAsia="Arial" w:hAnsi="Arial"/>
                <w:sz w:val="18"/>
                <w:szCs w:val="18"/>
                <w:color w:val="auto"/>
              </w:rPr>
              <w:t>531</w:t>
            </w:r>
          </w:p>
        </w:tc>
        <w:tc>
          <w:tcPr>
            <w:tcW w:w="720" w:type="dxa"/>
            <w:vAlign w:val="bottom"/>
            <w:gridSpan w:val="2"/>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920" w:type="dxa"/>
            <w:vAlign w:val="bottom"/>
          </w:tcPr>
          <w:p>
            <w:pPr>
              <w:jc w:val="right"/>
              <w:ind w:right="30"/>
              <w:spacing w:after="0" w:line="202" w:lineRule="exact"/>
              <w:rPr>
                <w:sz w:val="20"/>
                <w:szCs w:val="20"/>
                <w:color w:val="auto"/>
              </w:rPr>
            </w:pPr>
            <w:r>
              <w:rPr>
                <w:rFonts w:ascii="Arial" w:cs="Arial" w:eastAsia="Arial" w:hAnsi="Arial"/>
                <w:sz w:val="18"/>
                <w:szCs w:val="18"/>
                <w:color w:val="auto"/>
              </w:rPr>
              <w:t>238</w:t>
            </w:r>
          </w:p>
        </w:tc>
        <w:tc>
          <w:tcPr>
            <w:tcW w:w="0" w:type="dxa"/>
            <w:vAlign w:val="bottom"/>
          </w:tcPr>
          <w:p>
            <w:pPr>
              <w:spacing w:after="0"/>
              <w:rPr>
                <w:sz w:val="1"/>
                <w:szCs w:val="1"/>
                <w:color w:val="auto"/>
              </w:rPr>
            </w:pPr>
          </w:p>
        </w:tc>
      </w:tr>
      <w:tr>
        <w:trPr>
          <w:trHeight w:val="203"/>
        </w:trPr>
        <w:tc>
          <w:tcPr>
            <w:tcW w:w="1720" w:type="dxa"/>
            <w:vAlign w:val="bottom"/>
          </w:tcPr>
          <w:p>
            <w:pPr>
              <w:spacing w:after="0" w:line="202" w:lineRule="exact"/>
              <w:rPr>
                <w:sz w:val="20"/>
                <w:szCs w:val="20"/>
                <w:color w:val="auto"/>
              </w:rPr>
            </w:pPr>
            <w:r>
              <w:rPr>
                <w:rFonts w:ascii="Arial" w:cs="Arial" w:eastAsia="Arial" w:hAnsi="Arial"/>
                <w:sz w:val="18"/>
                <w:szCs w:val="18"/>
                <w:color w:val="auto"/>
              </w:rPr>
              <w:t>Total fixed</w:t>
            </w:r>
          </w:p>
        </w:tc>
        <w:tc>
          <w:tcPr>
            <w:tcW w:w="3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720" w:type="dxa"/>
            <w:vAlign w:val="bottom"/>
          </w:tcPr>
          <w:p>
            <w:pPr>
              <w:ind w:left="260"/>
              <w:spacing w:after="0" w:line="202" w:lineRule="exact"/>
              <w:rPr>
                <w:sz w:val="20"/>
                <w:szCs w:val="20"/>
                <w:color w:val="auto"/>
              </w:rPr>
            </w:pPr>
            <w:r>
              <w:rPr>
                <w:rFonts w:ascii="Arial" w:cs="Arial" w:eastAsia="Arial" w:hAnsi="Arial"/>
                <w:sz w:val="18"/>
                <w:szCs w:val="18"/>
                <w:color w:val="auto"/>
              </w:rPr>
              <w:t>charges</w:t>
            </w:r>
          </w:p>
        </w:tc>
        <w:tc>
          <w:tcPr>
            <w:tcW w:w="3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720" w:type="dxa"/>
            <w:vAlign w:val="bottom"/>
          </w:tcPr>
          <w:p>
            <w:pPr>
              <w:ind w:left="260"/>
              <w:spacing w:after="0" w:line="202" w:lineRule="exact"/>
              <w:rPr>
                <w:sz w:val="20"/>
                <w:szCs w:val="20"/>
                <w:color w:val="auto"/>
              </w:rPr>
            </w:pPr>
            <w:r>
              <w:rPr>
                <w:rFonts w:ascii="Arial" w:cs="Arial" w:eastAsia="Arial" w:hAnsi="Arial"/>
                <w:sz w:val="18"/>
                <w:szCs w:val="18"/>
                <w:color w:val="auto"/>
              </w:rPr>
              <w:t>(from</w:t>
            </w:r>
          </w:p>
        </w:tc>
        <w:tc>
          <w:tcPr>
            <w:tcW w:w="3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720" w:type="dxa"/>
            <w:vAlign w:val="bottom"/>
          </w:tcPr>
          <w:p>
            <w:pPr>
              <w:ind w:left="260"/>
              <w:spacing w:after="0" w:line="202" w:lineRule="exact"/>
              <w:rPr>
                <w:sz w:val="20"/>
                <w:szCs w:val="20"/>
                <w:color w:val="auto"/>
              </w:rPr>
            </w:pPr>
            <w:r>
              <w:rPr>
                <w:rFonts w:ascii="Arial" w:cs="Arial" w:eastAsia="Arial" w:hAnsi="Arial"/>
                <w:sz w:val="18"/>
                <w:szCs w:val="18"/>
                <w:color w:val="auto"/>
              </w:rPr>
              <w:t>above)</w:t>
            </w:r>
          </w:p>
        </w:tc>
        <w:tc>
          <w:tcPr>
            <w:tcW w:w="380" w:type="dxa"/>
            <w:vAlign w:val="bottom"/>
          </w:tcPr>
          <w:p>
            <w:pPr>
              <w:spacing w:after="0"/>
              <w:rPr>
                <w:sz w:val="17"/>
                <w:szCs w:val="17"/>
                <w:color w:val="auto"/>
              </w:rPr>
            </w:pPr>
          </w:p>
        </w:tc>
        <w:tc>
          <w:tcPr>
            <w:tcW w:w="940" w:type="dxa"/>
            <w:vAlign w:val="bottom"/>
          </w:tcPr>
          <w:p>
            <w:pPr>
              <w:jc w:val="right"/>
              <w:ind w:right="30"/>
              <w:spacing w:after="0" w:line="202" w:lineRule="exact"/>
              <w:rPr>
                <w:sz w:val="20"/>
                <w:szCs w:val="20"/>
                <w:color w:val="auto"/>
              </w:rPr>
            </w:pPr>
            <w:r>
              <w:rPr>
                <w:rFonts w:ascii="Arial" w:cs="Arial" w:eastAsia="Arial" w:hAnsi="Arial"/>
                <w:sz w:val="18"/>
                <w:szCs w:val="18"/>
                <w:color w:val="auto"/>
              </w:rPr>
              <w:t>105</w:t>
            </w:r>
          </w:p>
        </w:tc>
        <w:tc>
          <w:tcPr>
            <w:tcW w:w="3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40" w:type="dxa"/>
            <w:vAlign w:val="bottom"/>
          </w:tcPr>
          <w:p>
            <w:pPr>
              <w:jc w:val="right"/>
              <w:ind w:right="30"/>
              <w:spacing w:after="0" w:line="202" w:lineRule="exact"/>
              <w:rPr>
                <w:sz w:val="20"/>
                <w:szCs w:val="20"/>
                <w:color w:val="auto"/>
              </w:rPr>
            </w:pPr>
            <w:r>
              <w:rPr>
                <w:rFonts w:ascii="Arial" w:cs="Arial" w:eastAsia="Arial" w:hAnsi="Arial"/>
                <w:sz w:val="18"/>
                <w:szCs w:val="18"/>
                <w:color w:val="auto"/>
              </w:rPr>
              <w:t>108</w:t>
            </w:r>
          </w:p>
        </w:tc>
        <w:tc>
          <w:tcPr>
            <w:tcW w:w="3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40" w:type="dxa"/>
            <w:vAlign w:val="bottom"/>
          </w:tcPr>
          <w:p>
            <w:pPr>
              <w:jc w:val="right"/>
              <w:ind w:right="50"/>
              <w:spacing w:after="0" w:line="202" w:lineRule="exact"/>
              <w:rPr>
                <w:sz w:val="20"/>
                <w:szCs w:val="20"/>
                <w:color w:val="auto"/>
              </w:rPr>
            </w:pPr>
            <w:r>
              <w:rPr>
                <w:rFonts w:ascii="Arial" w:cs="Arial" w:eastAsia="Arial" w:hAnsi="Arial"/>
                <w:sz w:val="18"/>
                <w:szCs w:val="18"/>
                <w:color w:val="auto"/>
              </w:rPr>
              <w:t>108</w:t>
            </w:r>
          </w:p>
        </w:tc>
        <w:tc>
          <w:tcPr>
            <w:tcW w:w="3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40" w:type="dxa"/>
            <w:vAlign w:val="bottom"/>
          </w:tcPr>
          <w:p>
            <w:pPr>
              <w:jc w:val="right"/>
              <w:ind w:right="30"/>
              <w:spacing w:after="0" w:line="202" w:lineRule="exact"/>
              <w:rPr>
                <w:sz w:val="20"/>
                <w:szCs w:val="20"/>
                <w:color w:val="auto"/>
              </w:rPr>
            </w:pPr>
            <w:r>
              <w:rPr>
                <w:rFonts w:ascii="Arial" w:cs="Arial" w:eastAsia="Arial" w:hAnsi="Arial"/>
                <w:sz w:val="18"/>
                <w:szCs w:val="18"/>
                <w:color w:val="auto"/>
              </w:rPr>
              <w:t>119</w:t>
            </w:r>
          </w:p>
        </w:tc>
        <w:tc>
          <w:tcPr>
            <w:tcW w:w="3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60" w:type="dxa"/>
            <w:vAlign w:val="bottom"/>
          </w:tcPr>
          <w:p>
            <w:pPr>
              <w:jc w:val="right"/>
              <w:ind w:right="50"/>
              <w:spacing w:after="0" w:line="202" w:lineRule="exact"/>
              <w:rPr>
                <w:sz w:val="20"/>
                <w:szCs w:val="20"/>
                <w:color w:val="auto"/>
              </w:rPr>
            </w:pPr>
            <w:r>
              <w:rPr>
                <w:rFonts w:ascii="Arial" w:cs="Arial" w:eastAsia="Arial" w:hAnsi="Arial"/>
                <w:sz w:val="18"/>
                <w:szCs w:val="18"/>
                <w:color w:val="auto"/>
              </w:rPr>
              <w:t>154</w:t>
            </w:r>
          </w:p>
        </w:tc>
        <w:tc>
          <w:tcPr>
            <w:tcW w:w="3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20" w:type="dxa"/>
            <w:vAlign w:val="bottom"/>
          </w:tcPr>
          <w:p>
            <w:pPr>
              <w:jc w:val="right"/>
              <w:ind w:right="30"/>
              <w:spacing w:after="0" w:line="202" w:lineRule="exact"/>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203"/>
        </w:trPr>
        <w:tc>
          <w:tcPr>
            <w:tcW w:w="1720" w:type="dxa"/>
            <w:vAlign w:val="bottom"/>
          </w:tcPr>
          <w:p>
            <w:pPr>
              <w:spacing w:after="0" w:line="202" w:lineRule="exact"/>
              <w:rPr>
                <w:sz w:val="20"/>
                <w:szCs w:val="20"/>
                <w:color w:val="auto"/>
              </w:rPr>
            </w:pPr>
            <w:r>
              <w:rPr>
                <w:rFonts w:ascii="Arial" w:cs="Arial" w:eastAsia="Arial" w:hAnsi="Arial"/>
                <w:sz w:val="18"/>
                <w:szCs w:val="18"/>
                <w:color w:val="auto"/>
              </w:rPr>
              <w:t>Less: Interest</w:t>
            </w:r>
          </w:p>
        </w:tc>
        <w:tc>
          <w:tcPr>
            <w:tcW w:w="380" w:type="dxa"/>
            <w:vAlign w:val="bottom"/>
          </w:tcPr>
          <w:p>
            <w:pPr>
              <w:spacing w:after="0"/>
              <w:rPr>
                <w:sz w:val="17"/>
                <w:szCs w:val="17"/>
                <w:color w:val="auto"/>
              </w:rPr>
            </w:pPr>
          </w:p>
        </w:tc>
        <w:tc>
          <w:tcPr>
            <w:tcW w:w="940" w:type="dxa"/>
            <w:vAlign w:val="bottom"/>
            <w:vMerge w:val="restart"/>
          </w:tcPr>
          <w:p>
            <w:pPr>
              <w:jc w:val="right"/>
              <w:ind w:right="30"/>
              <w:spacing w:after="0"/>
              <w:rPr>
                <w:sz w:val="20"/>
                <w:szCs w:val="20"/>
                <w:color w:val="auto"/>
              </w:rPr>
            </w:pPr>
            <w:r>
              <w:rPr>
                <w:rFonts w:ascii="Arial" w:cs="Arial" w:eastAsia="Arial" w:hAnsi="Arial"/>
                <w:sz w:val="18"/>
                <w:szCs w:val="18"/>
                <w:color w:val="auto"/>
              </w:rPr>
              <w:t>1</w:t>
            </w:r>
          </w:p>
        </w:tc>
        <w:tc>
          <w:tcPr>
            <w:tcW w:w="3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40" w:type="dxa"/>
            <w:vAlign w:val="bottom"/>
            <w:vMerge w:val="restart"/>
          </w:tcPr>
          <w:p>
            <w:pPr>
              <w:jc w:val="right"/>
              <w:ind w:right="30"/>
              <w:spacing w:after="0"/>
              <w:rPr>
                <w:sz w:val="20"/>
                <w:szCs w:val="20"/>
                <w:color w:val="auto"/>
              </w:rPr>
            </w:pPr>
            <w:r>
              <w:rPr>
                <w:rFonts w:ascii="Arial" w:cs="Arial" w:eastAsia="Arial" w:hAnsi="Arial"/>
                <w:sz w:val="18"/>
                <w:szCs w:val="18"/>
                <w:color w:val="auto"/>
              </w:rPr>
              <w:t>3</w:t>
            </w:r>
          </w:p>
        </w:tc>
        <w:tc>
          <w:tcPr>
            <w:tcW w:w="3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40" w:type="dxa"/>
            <w:vAlign w:val="bottom"/>
            <w:vMerge w:val="restart"/>
          </w:tcPr>
          <w:p>
            <w:pPr>
              <w:jc w:val="right"/>
              <w:ind w:right="50"/>
              <w:spacing w:after="0"/>
              <w:rPr>
                <w:sz w:val="20"/>
                <w:szCs w:val="20"/>
                <w:color w:val="auto"/>
              </w:rPr>
            </w:pPr>
            <w:r>
              <w:rPr>
                <w:rFonts w:ascii="Arial" w:cs="Arial" w:eastAsia="Arial" w:hAnsi="Arial"/>
                <w:sz w:val="18"/>
                <w:szCs w:val="18"/>
                <w:color w:val="auto"/>
              </w:rPr>
              <w:t>13</w:t>
            </w:r>
          </w:p>
        </w:tc>
        <w:tc>
          <w:tcPr>
            <w:tcW w:w="3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40" w:type="dxa"/>
            <w:vAlign w:val="bottom"/>
            <w:vMerge w:val="restart"/>
          </w:tcPr>
          <w:p>
            <w:pPr>
              <w:jc w:val="right"/>
              <w:ind w:right="30"/>
              <w:spacing w:after="0"/>
              <w:rPr>
                <w:sz w:val="20"/>
                <w:szCs w:val="20"/>
                <w:color w:val="auto"/>
              </w:rPr>
            </w:pPr>
            <w:r>
              <w:rPr>
                <w:rFonts w:ascii="Arial" w:cs="Arial" w:eastAsia="Arial" w:hAnsi="Arial"/>
                <w:sz w:val="18"/>
                <w:szCs w:val="18"/>
                <w:color w:val="auto"/>
              </w:rPr>
              <w:t>4</w:t>
            </w:r>
          </w:p>
        </w:tc>
        <w:tc>
          <w:tcPr>
            <w:tcW w:w="3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60" w:type="dxa"/>
            <w:vAlign w:val="bottom"/>
            <w:vMerge w:val="restart"/>
          </w:tcPr>
          <w:p>
            <w:pPr>
              <w:jc w:val="right"/>
              <w:ind w:right="50"/>
              <w:spacing w:after="0"/>
              <w:rPr>
                <w:sz w:val="20"/>
                <w:szCs w:val="20"/>
                <w:color w:val="auto"/>
              </w:rPr>
            </w:pPr>
            <w:r>
              <w:rPr>
                <w:rFonts w:ascii="Arial" w:cs="Arial" w:eastAsia="Arial" w:hAnsi="Arial"/>
                <w:sz w:val="18"/>
                <w:szCs w:val="18"/>
                <w:color w:val="auto"/>
              </w:rPr>
              <w:t>1</w:t>
            </w:r>
          </w:p>
        </w:tc>
        <w:tc>
          <w:tcPr>
            <w:tcW w:w="3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20" w:type="dxa"/>
            <w:vAlign w:val="bottom"/>
            <w:vMerge w:val="restart"/>
          </w:tcPr>
          <w:p>
            <w:pPr>
              <w:jc w:val="right"/>
              <w:ind w:righ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0"/>
        </w:trPr>
        <w:tc>
          <w:tcPr>
            <w:tcW w:w="1720" w:type="dxa"/>
            <w:vAlign w:val="bottom"/>
          </w:tcPr>
          <w:p>
            <w:pPr>
              <w:ind w:left="260"/>
              <w:spacing w:after="0" w:line="190" w:lineRule="exact"/>
              <w:rPr>
                <w:sz w:val="20"/>
                <w:szCs w:val="20"/>
                <w:color w:val="auto"/>
              </w:rPr>
            </w:pPr>
            <w:r>
              <w:rPr>
                <w:rFonts w:ascii="Arial" w:cs="Arial" w:eastAsia="Arial" w:hAnsi="Arial"/>
                <w:sz w:val="18"/>
                <w:szCs w:val="18"/>
                <w:color w:val="auto"/>
              </w:rPr>
              <w:t>capitalized</w:t>
            </w:r>
          </w:p>
        </w:tc>
        <w:tc>
          <w:tcPr>
            <w:tcW w:w="3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vMerge w:val="continue"/>
          </w:tcPr>
          <w:p>
            <w:pPr>
              <w:spacing w:after="0"/>
              <w:rPr>
                <w:sz w:val="16"/>
                <w:szCs w:val="16"/>
                <w:color w:val="auto"/>
              </w:rPr>
            </w:pPr>
          </w:p>
        </w:tc>
        <w:tc>
          <w:tcPr>
            <w:tcW w:w="32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vMerge w:val="continue"/>
          </w:tcPr>
          <w:p>
            <w:pPr>
              <w:spacing w:after="0"/>
              <w:rPr>
                <w:sz w:val="16"/>
                <w:szCs w:val="16"/>
                <w:color w:val="auto"/>
              </w:rPr>
            </w:pPr>
          </w:p>
        </w:tc>
        <w:tc>
          <w:tcPr>
            <w:tcW w:w="34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vMerge w:val="continue"/>
          </w:tcPr>
          <w:p>
            <w:pPr>
              <w:spacing w:after="0"/>
              <w:rPr>
                <w:sz w:val="16"/>
                <w:szCs w:val="16"/>
                <w:color w:val="auto"/>
              </w:rPr>
            </w:pPr>
          </w:p>
        </w:tc>
        <w:tc>
          <w:tcPr>
            <w:tcW w:w="32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vMerge w:val="continue"/>
          </w:tcPr>
          <w:p>
            <w:pPr>
              <w:spacing w:after="0"/>
              <w:rPr>
                <w:sz w:val="16"/>
                <w:szCs w:val="16"/>
                <w:color w:val="auto"/>
              </w:rPr>
            </w:pPr>
          </w:p>
        </w:tc>
        <w:tc>
          <w:tcPr>
            <w:tcW w:w="32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32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1720" w:type="dxa"/>
            <w:vAlign w:val="bottom"/>
          </w:tcPr>
          <w:p>
            <w:pPr>
              <w:spacing w:after="0" w:line="195" w:lineRule="exact"/>
              <w:rPr>
                <w:sz w:val="20"/>
                <w:szCs w:val="20"/>
                <w:color w:val="auto"/>
              </w:rPr>
            </w:pPr>
            <w:r>
              <w:rPr>
                <w:rFonts w:ascii="Arial" w:cs="Arial" w:eastAsia="Arial" w:hAnsi="Arial"/>
                <w:sz w:val="18"/>
                <w:szCs w:val="18"/>
                <w:color w:val="auto"/>
              </w:rPr>
              <w:t>Total earnings</w:t>
            </w:r>
          </w:p>
        </w:tc>
        <w:tc>
          <w:tcPr>
            <w:tcW w:w="3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1720" w:type="dxa"/>
            <w:vAlign w:val="bottom"/>
          </w:tcPr>
          <w:p>
            <w:pPr>
              <w:ind w:left="260"/>
              <w:spacing w:after="0" w:line="202" w:lineRule="exact"/>
              <w:rPr>
                <w:sz w:val="20"/>
                <w:szCs w:val="20"/>
                <w:color w:val="auto"/>
              </w:rPr>
            </w:pPr>
            <w:r>
              <w:rPr>
                <w:rFonts w:ascii="Arial" w:cs="Arial" w:eastAsia="Arial" w:hAnsi="Arial"/>
                <w:sz w:val="18"/>
                <w:szCs w:val="18"/>
                <w:color w:val="auto"/>
              </w:rPr>
              <w:t>for purpose</w:t>
            </w:r>
          </w:p>
        </w:tc>
        <w:tc>
          <w:tcPr>
            <w:tcW w:w="38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940" w:type="dxa"/>
            <w:vAlign w:val="bottom"/>
            <w:vMerge w:val="restart"/>
          </w:tcPr>
          <w:p>
            <w:pPr>
              <w:jc w:val="right"/>
              <w:ind w:right="30"/>
              <w:spacing w:after="0"/>
              <w:rPr>
                <w:sz w:val="20"/>
                <w:szCs w:val="20"/>
                <w:color w:val="auto"/>
              </w:rPr>
            </w:pPr>
            <w:r>
              <w:rPr>
                <w:rFonts w:ascii="Arial" w:cs="Arial" w:eastAsia="Arial" w:hAnsi="Arial"/>
                <w:sz w:val="18"/>
                <w:szCs w:val="18"/>
                <w:color w:val="auto"/>
              </w:rPr>
              <w:t>498</w:t>
            </w:r>
          </w:p>
        </w:tc>
        <w:tc>
          <w:tcPr>
            <w:tcW w:w="700" w:type="dxa"/>
            <w:vAlign w:val="bottom"/>
            <w:gridSpan w:val="2"/>
            <w:vMerge w:val="restart"/>
          </w:tcPr>
          <w:p>
            <w:pPr>
              <w:jc w:val="right"/>
              <w:ind w:right="80"/>
              <w:spacing w:after="0"/>
              <w:rPr>
                <w:sz w:val="20"/>
                <w:szCs w:val="20"/>
                <w:color w:val="auto"/>
              </w:rPr>
            </w:pPr>
            <w:r>
              <w:rPr>
                <w:rFonts w:ascii="Arial" w:cs="Arial" w:eastAsia="Arial" w:hAnsi="Arial"/>
                <w:sz w:val="18"/>
                <w:szCs w:val="18"/>
                <w:color w:val="auto"/>
              </w:rPr>
              <w:t>$</w:t>
            </w:r>
          </w:p>
        </w:tc>
        <w:tc>
          <w:tcPr>
            <w:tcW w:w="940" w:type="dxa"/>
            <w:vAlign w:val="bottom"/>
            <w:vMerge w:val="restart"/>
          </w:tcPr>
          <w:p>
            <w:pPr>
              <w:jc w:val="right"/>
              <w:ind w:right="30"/>
              <w:spacing w:after="0"/>
              <w:rPr>
                <w:sz w:val="20"/>
                <w:szCs w:val="20"/>
                <w:color w:val="auto"/>
              </w:rPr>
            </w:pPr>
            <w:r>
              <w:rPr>
                <w:rFonts w:ascii="Arial" w:cs="Arial" w:eastAsia="Arial" w:hAnsi="Arial"/>
                <w:sz w:val="18"/>
                <w:szCs w:val="18"/>
                <w:color w:val="auto"/>
              </w:rPr>
              <w:t>511</w:t>
            </w:r>
          </w:p>
        </w:tc>
        <w:tc>
          <w:tcPr>
            <w:tcW w:w="72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w:t>
            </w:r>
          </w:p>
        </w:tc>
        <w:tc>
          <w:tcPr>
            <w:tcW w:w="940" w:type="dxa"/>
            <w:vAlign w:val="bottom"/>
            <w:vMerge w:val="restart"/>
          </w:tcPr>
          <w:p>
            <w:pPr>
              <w:jc w:val="right"/>
              <w:ind w:right="50"/>
              <w:spacing w:after="0"/>
              <w:rPr>
                <w:sz w:val="20"/>
                <w:szCs w:val="20"/>
                <w:color w:val="auto"/>
              </w:rPr>
            </w:pPr>
            <w:r>
              <w:rPr>
                <w:rFonts w:ascii="Arial" w:cs="Arial" w:eastAsia="Arial" w:hAnsi="Arial"/>
                <w:sz w:val="18"/>
                <w:szCs w:val="18"/>
                <w:color w:val="auto"/>
              </w:rPr>
              <w:t>546</w:t>
            </w:r>
          </w:p>
        </w:tc>
        <w:tc>
          <w:tcPr>
            <w:tcW w:w="700" w:type="dxa"/>
            <w:vAlign w:val="bottom"/>
            <w:gridSpan w:val="2"/>
            <w:vMerge w:val="restart"/>
          </w:tcPr>
          <w:p>
            <w:pPr>
              <w:jc w:val="right"/>
              <w:ind w:right="80"/>
              <w:spacing w:after="0"/>
              <w:rPr>
                <w:sz w:val="20"/>
                <w:szCs w:val="20"/>
                <w:color w:val="auto"/>
              </w:rPr>
            </w:pPr>
            <w:r>
              <w:rPr>
                <w:rFonts w:ascii="Arial" w:cs="Arial" w:eastAsia="Arial" w:hAnsi="Arial"/>
                <w:sz w:val="18"/>
                <w:szCs w:val="18"/>
                <w:color w:val="auto"/>
              </w:rPr>
              <w:t>$</w:t>
            </w:r>
          </w:p>
        </w:tc>
        <w:tc>
          <w:tcPr>
            <w:tcW w:w="940" w:type="dxa"/>
            <w:vAlign w:val="bottom"/>
            <w:vMerge w:val="restart"/>
          </w:tcPr>
          <w:p>
            <w:pPr>
              <w:jc w:val="right"/>
              <w:ind w:right="30"/>
              <w:spacing w:after="0"/>
              <w:rPr>
                <w:sz w:val="20"/>
                <w:szCs w:val="20"/>
                <w:color w:val="auto"/>
              </w:rPr>
            </w:pPr>
            <w:r>
              <w:rPr>
                <w:rFonts w:ascii="Arial" w:cs="Arial" w:eastAsia="Arial" w:hAnsi="Arial"/>
                <w:sz w:val="18"/>
                <w:szCs w:val="18"/>
                <w:color w:val="auto"/>
              </w:rPr>
              <w:t>665</w:t>
            </w:r>
          </w:p>
        </w:tc>
        <w:tc>
          <w:tcPr>
            <w:tcW w:w="700" w:type="dxa"/>
            <w:vAlign w:val="bottom"/>
            <w:gridSpan w:val="2"/>
            <w:vMerge w:val="restart"/>
          </w:tcPr>
          <w:p>
            <w:pPr>
              <w:jc w:val="right"/>
              <w:ind w:right="80"/>
              <w:spacing w:after="0"/>
              <w:rPr>
                <w:sz w:val="20"/>
                <w:szCs w:val="20"/>
                <w:color w:val="auto"/>
              </w:rPr>
            </w:pPr>
            <w:r>
              <w:rPr>
                <w:rFonts w:ascii="Arial" w:cs="Arial" w:eastAsia="Arial" w:hAnsi="Arial"/>
                <w:sz w:val="18"/>
                <w:szCs w:val="18"/>
                <w:color w:val="auto"/>
              </w:rPr>
              <w:t>$</w:t>
            </w:r>
          </w:p>
        </w:tc>
        <w:tc>
          <w:tcPr>
            <w:tcW w:w="960" w:type="dxa"/>
            <w:vAlign w:val="bottom"/>
            <w:vMerge w:val="restart"/>
          </w:tcPr>
          <w:p>
            <w:pPr>
              <w:jc w:val="right"/>
              <w:ind w:right="50"/>
              <w:spacing w:after="0"/>
              <w:rPr>
                <w:sz w:val="20"/>
                <w:szCs w:val="20"/>
                <w:color w:val="auto"/>
              </w:rPr>
            </w:pPr>
            <w:r>
              <w:rPr>
                <w:rFonts w:ascii="Arial" w:cs="Arial" w:eastAsia="Arial" w:hAnsi="Arial"/>
                <w:sz w:val="18"/>
                <w:szCs w:val="18"/>
                <w:color w:val="auto"/>
              </w:rPr>
              <w:t>684</w:t>
            </w:r>
          </w:p>
        </w:tc>
        <w:tc>
          <w:tcPr>
            <w:tcW w:w="720" w:type="dxa"/>
            <w:vAlign w:val="bottom"/>
            <w:gridSpan w:val="2"/>
            <w:vMerge w:val="restart"/>
          </w:tcPr>
          <w:p>
            <w:pPr>
              <w:jc w:val="right"/>
              <w:ind w:right="10"/>
              <w:spacing w:after="0"/>
              <w:rPr>
                <w:sz w:val="20"/>
                <w:szCs w:val="20"/>
                <w:color w:val="auto"/>
              </w:rPr>
            </w:pPr>
            <w:r>
              <w:rPr>
                <w:rFonts w:ascii="Arial" w:cs="Arial" w:eastAsia="Arial" w:hAnsi="Arial"/>
                <w:sz w:val="18"/>
                <w:szCs w:val="18"/>
                <w:color w:val="auto"/>
              </w:rPr>
              <w:t>$</w:t>
            </w:r>
          </w:p>
        </w:tc>
        <w:tc>
          <w:tcPr>
            <w:tcW w:w="920" w:type="dxa"/>
            <w:vAlign w:val="bottom"/>
            <w:vMerge w:val="restart"/>
          </w:tcPr>
          <w:p>
            <w:pPr>
              <w:jc w:val="right"/>
              <w:ind w:right="30"/>
              <w:spacing w:after="0"/>
              <w:rPr>
                <w:sz w:val="20"/>
                <w:szCs w:val="20"/>
                <w:color w:val="auto"/>
              </w:rPr>
            </w:pPr>
            <w:r>
              <w:rPr>
                <w:rFonts w:ascii="Arial" w:cs="Arial" w:eastAsia="Arial" w:hAnsi="Arial"/>
                <w:sz w:val="18"/>
                <w:szCs w:val="18"/>
                <w:color w:val="auto"/>
              </w:rPr>
              <w:t>320</w:t>
            </w:r>
          </w:p>
        </w:tc>
        <w:tc>
          <w:tcPr>
            <w:tcW w:w="0" w:type="dxa"/>
            <w:vAlign w:val="bottom"/>
          </w:tcPr>
          <w:p>
            <w:pPr>
              <w:spacing w:after="0"/>
              <w:rPr>
                <w:sz w:val="1"/>
                <w:szCs w:val="1"/>
                <w:color w:val="auto"/>
              </w:rPr>
            </w:pPr>
          </w:p>
        </w:tc>
      </w:tr>
      <w:tr>
        <w:trPr>
          <w:trHeight w:val="163"/>
        </w:trPr>
        <w:tc>
          <w:tcPr>
            <w:tcW w:w="1720" w:type="dxa"/>
            <w:vAlign w:val="bottom"/>
          </w:tcPr>
          <w:p>
            <w:pPr>
              <w:ind w:left="260"/>
              <w:spacing w:after="0" w:line="143" w:lineRule="exact"/>
              <w:rPr>
                <w:sz w:val="20"/>
                <w:szCs w:val="20"/>
                <w:color w:val="auto"/>
              </w:rPr>
            </w:pPr>
            <w:r>
              <w:rPr>
                <w:rFonts w:ascii="Arial" w:cs="Arial" w:eastAsia="Arial" w:hAnsi="Arial"/>
                <w:sz w:val="16"/>
                <w:szCs w:val="16"/>
                <w:color w:val="auto"/>
              </w:rPr>
              <w:t>of ratio</w:t>
            </w:r>
          </w:p>
        </w:tc>
        <w:tc>
          <w:tcPr>
            <w:tcW w:w="380" w:type="dxa"/>
            <w:vAlign w:val="bottom"/>
            <w:vMerge w:val="continue"/>
          </w:tcPr>
          <w:p>
            <w:pPr>
              <w:spacing w:after="0"/>
              <w:rPr>
                <w:sz w:val="14"/>
                <w:szCs w:val="14"/>
                <w:color w:val="auto"/>
              </w:rPr>
            </w:pPr>
          </w:p>
        </w:tc>
        <w:tc>
          <w:tcPr>
            <w:tcW w:w="940" w:type="dxa"/>
            <w:vAlign w:val="bottom"/>
            <w:vMerge w:val="continue"/>
          </w:tcPr>
          <w:p>
            <w:pPr>
              <w:spacing w:after="0"/>
              <w:rPr>
                <w:sz w:val="14"/>
                <w:szCs w:val="14"/>
                <w:color w:val="auto"/>
              </w:rPr>
            </w:pPr>
          </w:p>
        </w:tc>
        <w:tc>
          <w:tcPr>
            <w:tcW w:w="700" w:type="dxa"/>
            <w:vAlign w:val="bottom"/>
            <w:gridSpan w:val="2"/>
            <w:vMerge w:val="continue"/>
          </w:tcPr>
          <w:p>
            <w:pPr>
              <w:spacing w:after="0"/>
              <w:rPr>
                <w:sz w:val="14"/>
                <w:szCs w:val="14"/>
                <w:color w:val="auto"/>
              </w:rPr>
            </w:pPr>
          </w:p>
        </w:tc>
        <w:tc>
          <w:tcPr>
            <w:tcW w:w="940" w:type="dxa"/>
            <w:vAlign w:val="bottom"/>
            <w:vMerge w:val="continue"/>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940" w:type="dxa"/>
            <w:vAlign w:val="bottom"/>
            <w:vMerge w:val="continue"/>
          </w:tcPr>
          <w:p>
            <w:pPr>
              <w:spacing w:after="0"/>
              <w:rPr>
                <w:sz w:val="14"/>
                <w:szCs w:val="14"/>
                <w:color w:val="auto"/>
              </w:rPr>
            </w:pPr>
          </w:p>
        </w:tc>
        <w:tc>
          <w:tcPr>
            <w:tcW w:w="700" w:type="dxa"/>
            <w:vAlign w:val="bottom"/>
            <w:gridSpan w:val="2"/>
            <w:vMerge w:val="continue"/>
          </w:tcPr>
          <w:p>
            <w:pPr>
              <w:spacing w:after="0"/>
              <w:rPr>
                <w:sz w:val="14"/>
                <w:szCs w:val="14"/>
                <w:color w:val="auto"/>
              </w:rPr>
            </w:pPr>
          </w:p>
        </w:tc>
        <w:tc>
          <w:tcPr>
            <w:tcW w:w="940" w:type="dxa"/>
            <w:vAlign w:val="bottom"/>
            <w:vMerge w:val="continue"/>
          </w:tcPr>
          <w:p>
            <w:pPr>
              <w:spacing w:after="0"/>
              <w:rPr>
                <w:sz w:val="14"/>
                <w:szCs w:val="14"/>
                <w:color w:val="auto"/>
              </w:rPr>
            </w:pPr>
          </w:p>
        </w:tc>
        <w:tc>
          <w:tcPr>
            <w:tcW w:w="700" w:type="dxa"/>
            <w:vAlign w:val="bottom"/>
            <w:gridSpan w:val="2"/>
            <w:vMerge w:val="continue"/>
          </w:tcPr>
          <w:p>
            <w:pPr>
              <w:spacing w:after="0"/>
              <w:rPr>
                <w:sz w:val="14"/>
                <w:szCs w:val="14"/>
                <w:color w:val="auto"/>
              </w:rPr>
            </w:pPr>
          </w:p>
        </w:tc>
        <w:tc>
          <w:tcPr>
            <w:tcW w:w="960" w:type="dxa"/>
            <w:vAlign w:val="bottom"/>
            <w:vMerge w:val="continue"/>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720" w:type="dxa"/>
            <w:vAlign w:val="bottom"/>
            <w:vMerge w:val="restart"/>
          </w:tcPr>
          <w:p>
            <w:pPr>
              <w:spacing w:after="0"/>
              <w:rPr>
                <w:sz w:val="20"/>
                <w:szCs w:val="20"/>
                <w:color w:val="auto"/>
              </w:rPr>
            </w:pPr>
            <w:r>
              <w:rPr>
                <w:rFonts w:ascii="Arial" w:cs="Arial" w:eastAsia="Arial" w:hAnsi="Arial"/>
                <w:sz w:val="18"/>
                <w:szCs w:val="18"/>
                <w:color w:val="auto"/>
              </w:rPr>
              <w:t>Ratio of</w:t>
            </w:r>
          </w:p>
        </w:tc>
        <w:tc>
          <w:tcPr>
            <w:tcW w:w="3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1720" w:type="dxa"/>
            <w:vAlign w:val="bottom"/>
            <w:vMerge w:val="continue"/>
          </w:tcPr>
          <w:p>
            <w:pPr>
              <w:spacing w:after="0"/>
              <w:rPr>
                <w:sz w:val="15"/>
                <w:szCs w:val="15"/>
                <w:color w:val="auto"/>
              </w:rPr>
            </w:pPr>
          </w:p>
        </w:tc>
        <w:tc>
          <w:tcPr>
            <w:tcW w:w="3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1720" w:type="dxa"/>
            <w:vAlign w:val="bottom"/>
          </w:tcPr>
          <w:p>
            <w:pPr>
              <w:ind w:left="260"/>
              <w:spacing w:after="0" w:line="202" w:lineRule="exact"/>
              <w:rPr>
                <w:sz w:val="20"/>
                <w:szCs w:val="20"/>
                <w:color w:val="auto"/>
              </w:rPr>
            </w:pPr>
            <w:r>
              <w:rPr>
                <w:rFonts w:ascii="Arial" w:cs="Arial" w:eastAsia="Arial" w:hAnsi="Arial"/>
                <w:sz w:val="18"/>
                <w:szCs w:val="18"/>
                <w:color w:val="auto"/>
              </w:rPr>
              <w:t>earnings to</w:t>
            </w:r>
          </w:p>
        </w:tc>
        <w:tc>
          <w:tcPr>
            <w:tcW w:w="3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720" w:type="dxa"/>
            <w:vAlign w:val="bottom"/>
          </w:tcPr>
          <w:p>
            <w:pPr>
              <w:ind w:left="260"/>
              <w:spacing w:after="0" w:line="202" w:lineRule="exact"/>
              <w:rPr>
                <w:sz w:val="20"/>
                <w:szCs w:val="20"/>
                <w:color w:val="auto"/>
              </w:rPr>
            </w:pPr>
            <w:r>
              <w:rPr>
                <w:rFonts w:ascii="Arial" w:cs="Arial" w:eastAsia="Arial" w:hAnsi="Arial"/>
                <w:sz w:val="18"/>
                <w:szCs w:val="18"/>
                <w:color w:val="auto"/>
              </w:rPr>
              <w:t>combined</w:t>
            </w:r>
          </w:p>
        </w:tc>
        <w:tc>
          <w:tcPr>
            <w:tcW w:w="3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720" w:type="dxa"/>
            <w:vAlign w:val="bottom"/>
          </w:tcPr>
          <w:p>
            <w:pPr>
              <w:ind w:left="260"/>
              <w:spacing w:after="0" w:line="202" w:lineRule="exact"/>
              <w:rPr>
                <w:sz w:val="20"/>
                <w:szCs w:val="20"/>
                <w:color w:val="auto"/>
              </w:rPr>
            </w:pPr>
            <w:r>
              <w:rPr>
                <w:rFonts w:ascii="Arial" w:cs="Arial" w:eastAsia="Arial" w:hAnsi="Arial"/>
                <w:sz w:val="18"/>
                <w:szCs w:val="18"/>
                <w:color w:val="auto"/>
              </w:rPr>
              <w:t>fixed</w:t>
            </w:r>
          </w:p>
        </w:tc>
        <w:tc>
          <w:tcPr>
            <w:tcW w:w="3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720" w:type="dxa"/>
            <w:vAlign w:val="bottom"/>
          </w:tcPr>
          <w:p>
            <w:pPr>
              <w:ind w:left="260"/>
              <w:spacing w:after="0" w:line="202" w:lineRule="exact"/>
              <w:rPr>
                <w:sz w:val="20"/>
                <w:szCs w:val="20"/>
                <w:color w:val="auto"/>
              </w:rPr>
            </w:pPr>
            <w:r>
              <w:rPr>
                <w:rFonts w:ascii="Arial" w:cs="Arial" w:eastAsia="Arial" w:hAnsi="Arial"/>
                <w:sz w:val="18"/>
                <w:szCs w:val="18"/>
                <w:color w:val="auto"/>
              </w:rPr>
              <w:t>charges and</w:t>
            </w:r>
          </w:p>
        </w:tc>
        <w:tc>
          <w:tcPr>
            <w:tcW w:w="3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720" w:type="dxa"/>
            <w:vAlign w:val="bottom"/>
          </w:tcPr>
          <w:p>
            <w:pPr>
              <w:ind w:left="260"/>
              <w:spacing w:after="0" w:line="202" w:lineRule="exact"/>
              <w:rPr>
                <w:sz w:val="20"/>
                <w:szCs w:val="20"/>
                <w:color w:val="auto"/>
              </w:rPr>
            </w:pPr>
            <w:r>
              <w:rPr>
                <w:rFonts w:ascii="Arial" w:cs="Arial" w:eastAsia="Arial" w:hAnsi="Arial"/>
                <w:sz w:val="18"/>
                <w:szCs w:val="18"/>
                <w:color w:val="auto"/>
              </w:rPr>
              <w:t>preferred</w:t>
            </w:r>
          </w:p>
        </w:tc>
        <w:tc>
          <w:tcPr>
            <w:tcW w:w="3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720" w:type="dxa"/>
            <w:vAlign w:val="bottom"/>
          </w:tcPr>
          <w:p>
            <w:pPr>
              <w:ind w:left="260"/>
              <w:spacing w:after="0" w:line="202" w:lineRule="exact"/>
              <w:rPr>
                <w:sz w:val="20"/>
                <w:szCs w:val="20"/>
                <w:color w:val="auto"/>
              </w:rPr>
            </w:pPr>
            <w:r>
              <w:rPr>
                <w:rFonts w:ascii="Arial" w:cs="Arial" w:eastAsia="Arial" w:hAnsi="Arial"/>
                <w:sz w:val="18"/>
                <w:szCs w:val="18"/>
                <w:color w:val="auto"/>
              </w:rPr>
              <w:t>stock</w:t>
            </w:r>
          </w:p>
        </w:tc>
        <w:tc>
          <w:tcPr>
            <w:tcW w:w="380" w:type="dxa"/>
            <w:vAlign w:val="bottom"/>
          </w:tcPr>
          <w:p>
            <w:pPr>
              <w:spacing w:after="0"/>
              <w:rPr>
                <w:sz w:val="17"/>
                <w:szCs w:val="17"/>
                <w:color w:val="auto"/>
              </w:rPr>
            </w:pPr>
          </w:p>
        </w:tc>
        <w:tc>
          <w:tcPr>
            <w:tcW w:w="940" w:type="dxa"/>
            <w:vAlign w:val="bottom"/>
            <w:vMerge w:val="restart"/>
          </w:tcPr>
          <w:p>
            <w:pPr>
              <w:jc w:val="right"/>
              <w:ind w:right="30"/>
              <w:spacing w:after="0"/>
              <w:rPr>
                <w:sz w:val="20"/>
                <w:szCs w:val="20"/>
                <w:color w:val="auto"/>
              </w:rPr>
            </w:pPr>
            <w:r>
              <w:rPr>
                <w:rFonts w:ascii="Arial" w:cs="Arial" w:eastAsia="Arial" w:hAnsi="Arial"/>
                <w:sz w:val="18"/>
                <w:szCs w:val="18"/>
                <w:color w:val="auto"/>
              </w:rPr>
              <w:t>4.41</w:t>
            </w:r>
          </w:p>
        </w:tc>
        <w:tc>
          <w:tcPr>
            <w:tcW w:w="3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40" w:type="dxa"/>
            <w:vAlign w:val="bottom"/>
            <w:vMerge w:val="restart"/>
          </w:tcPr>
          <w:p>
            <w:pPr>
              <w:jc w:val="right"/>
              <w:ind w:right="30"/>
              <w:spacing w:after="0"/>
              <w:rPr>
                <w:sz w:val="20"/>
                <w:szCs w:val="20"/>
                <w:color w:val="auto"/>
              </w:rPr>
            </w:pPr>
            <w:r>
              <w:rPr>
                <w:rFonts w:ascii="Arial" w:cs="Arial" w:eastAsia="Arial" w:hAnsi="Arial"/>
                <w:sz w:val="18"/>
                <w:szCs w:val="18"/>
                <w:color w:val="auto"/>
              </w:rPr>
              <w:t>4.44</w:t>
            </w:r>
          </w:p>
        </w:tc>
        <w:tc>
          <w:tcPr>
            <w:tcW w:w="3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40" w:type="dxa"/>
            <w:vAlign w:val="bottom"/>
            <w:vMerge w:val="restart"/>
          </w:tcPr>
          <w:p>
            <w:pPr>
              <w:jc w:val="right"/>
              <w:ind w:right="50"/>
              <w:spacing w:after="0"/>
              <w:rPr>
                <w:sz w:val="20"/>
                <w:szCs w:val="20"/>
                <w:color w:val="auto"/>
              </w:rPr>
            </w:pPr>
            <w:r>
              <w:rPr>
                <w:rFonts w:ascii="Arial" w:cs="Arial" w:eastAsia="Arial" w:hAnsi="Arial"/>
                <w:sz w:val="18"/>
                <w:szCs w:val="18"/>
                <w:color w:val="auto"/>
              </w:rPr>
              <w:t>4.75</w:t>
            </w:r>
          </w:p>
        </w:tc>
        <w:tc>
          <w:tcPr>
            <w:tcW w:w="3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40" w:type="dxa"/>
            <w:vAlign w:val="bottom"/>
            <w:vMerge w:val="restart"/>
          </w:tcPr>
          <w:p>
            <w:pPr>
              <w:jc w:val="right"/>
              <w:ind w:right="30"/>
              <w:spacing w:after="0"/>
              <w:rPr>
                <w:sz w:val="20"/>
                <w:szCs w:val="20"/>
                <w:color w:val="auto"/>
              </w:rPr>
            </w:pPr>
            <w:r>
              <w:rPr>
                <w:rFonts w:ascii="Arial" w:cs="Arial" w:eastAsia="Arial" w:hAnsi="Arial"/>
                <w:sz w:val="18"/>
                <w:szCs w:val="18"/>
                <w:color w:val="auto"/>
              </w:rPr>
              <w:t>5.28</w:t>
            </w:r>
          </w:p>
        </w:tc>
        <w:tc>
          <w:tcPr>
            <w:tcW w:w="3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60" w:type="dxa"/>
            <w:vAlign w:val="bottom"/>
            <w:vMerge w:val="restart"/>
          </w:tcPr>
          <w:p>
            <w:pPr>
              <w:jc w:val="right"/>
              <w:ind w:right="50"/>
              <w:spacing w:after="0"/>
              <w:rPr>
                <w:sz w:val="20"/>
                <w:szCs w:val="20"/>
                <w:color w:val="auto"/>
              </w:rPr>
            </w:pPr>
            <w:r>
              <w:rPr>
                <w:rFonts w:ascii="Arial" w:cs="Arial" w:eastAsia="Arial" w:hAnsi="Arial"/>
                <w:sz w:val="18"/>
                <w:szCs w:val="18"/>
                <w:color w:val="auto"/>
              </w:rPr>
              <w:t>4.25</w:t>
            </w:r>
          </w:p>
        </w:tc>
        <w:tc>
          <w:tcPr>
            <w:tcW w:w="3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20" w:type="dxa"/>
            <w:vAlign w:val="bottom"/>
            <w:vMerge w:val="restart"/>
          </w:tcPr>
          <w:p>
            <w:pPr>
              <w:jc w:val="right"/>
              <w:ind w:right="30"/>
              <w:spacing w:after="0"/>
              <w:rPr>
                <w:sz w:val="20"/>
                <w:szCs w:val="20"/>
                <w:color w:val="auto"/>
              </w:rPr>
            </w:pPr>
            <w:r>
              <w:rPr>
                <w:rFonts w:ascii="Arial" w:cs="Arial" w:eastAsia="Arial" w:hAnsi="Arial"/>
                <w:sz w:val="18"/>
                <w:szCs w:val="18"/>
                <w:color w:val="auto"/>
              </w:rPr>
              <w:t>3.72</w:t>
            </w:r>
          </w:p>
        </w:tc>
        <w:tc>
          <w:tcPr>
            <w:tcW w:w="0" w:type="dxa"/>
            <w:vAlign w:val="bottom"/>
          </w:tcPr>
          <w:p>
            <w:pPr>
              <w:spacing w:after="0"/>
              <w:rPr>
                <w:sz w:val="1"/>
                <w:szCs w:val="1"/>
                <w:color w:val="auto"/>
              </w:rPr>
            </w:pPr>
          </w:p>
        </w:tc>
      </w:tr>
      <w:tr>
        <w:trPr>
          <w:trHeight w:val="163"/>
        </w:trPr>
        <w:tc>
          <w:tcPr>
            <w:tcW w:w="1720" w:type="dxa"/>
            <w:vAlign w:val="bottom"/>
          </w:tcPr>
          <w:p>
            <w:pPr>
              <w:ind w:left="260"/>
              <w:spacing w:after="0" w:line="143" w:lineRule="exact"/>
              <w:rPr>
                <w:sz w:val="20"/>
                <w:szCs w:val="20"/>
                <w:color w:val="auto"/>
              </w:rPr>
            </w:pPr>
            <w:r>
              <w:rPr>
                <w:rFonts w:ascii="Arial" w:cs="Arial" w:eastAsia="Arial" w:hAnsi="Arial"/>
                <w:sz w:val="16"/>
                <w:szCs w:val="16"/>
                <w:color w:val="auto"/>
              </w:rPr>
              <w:t>dividends</w:t>
            </w:r>
          </w:p>
        </w:tc>
        <w:tc>
          <w:tcPr>
            <w:tcW w:w="38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vMerge w:val="continue"/>
          </w:tcPr>
          <w:p>
            <w:pPr>
              <w:spacing w:after="0"/>
              <w:rPr>
                <w:sz w:val="14"/>
                <w:szCs w:val="14"/>
                <w:color w:val="auto"/>
              </w:rPr>
            </w:pPr>
          </w:p>
        </w:tc>
        <w:tc>
          <w:tcPr>
            <w:tcW w:w="32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vMerge w:val="continue"/>
          </w:tcPr>
          <w:p>
            <w:pPr>
              <w:spacing w:after="0"/>
              <w:rPr>
                <w:sz w:val="14"/>
                <w:szCs w:val="14"/>
                <w:color w:val="auto"/>
              </w:rPr>
            </w:pPr>
          </w:p>
        </w:tc>
        <w:tc>
          <w:tcPr>
            <w:tcW w:w="34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vMerge w:val="continue"/>
          </w:tcPr>
          <w:p>
            <w:pPr>
              <w:spacing w:after="0"/>
              <w:rPr>
                <w:sz w:val="14"/>
                <w:szCs w:val="14"/>
                <w:color w:val="auto"/>
              </w:rPr>
            </w:pPr>
          </w:p>
        </w:tc>
        <w:tc>
          <w:tcPr>
            <w:tcW w:w="32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vMerge w:val="continue"/>
          </w:tcPr>
          <w:p>
            <w:pPr>
              <w:spacing w:after="0"/>
              <w:rPr>
                <w:sz w:val="14"/>
                <w:szCs w:val="14"/>
                <w:color w:val="auto"/>
              </w:rPr>
            </w:pPr>
          </w:p>
        </w:tc>
        <w:tc>
          <w:tcPr>
            <w:tcW w:w="32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vMerge w:val="continue"/>
          </w:tcPr>
          <w:p>
            <w:pPr>
              <w:spacing w:after="0"/>
              <w:rPr>
                <w:sz w:val="14"/>
                <w:szCs w:val="14"/>
                <w:color w:val="auto"/>
              </w:rPr>
            </w:pPr>
          </w:p>
        </w:tc>
        <w:tc>
          <w:tcPr>
            <w:tcW w:w="320" w:type="dxa"/>
            <w:vAlign w:val="bottom"/>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720" w:type="dxa"/>
            <w:vAlign w:val="bottom"/>
            <w:vMerge w:val="restart"/>
          </w:tcPr>
          <w:p>
            <w:pPr>
              <w:spacing w:after="0"/>
              <w:rPr>
                <w:sz w:val="20"/>
                <w:szCs w:val="20"/>
                <w:color w:val="auto"/>
              </w:rPr>
            </w:pPr>
            <w:r>
              <w:rPr>
                <w:rFonts w:ascii="Arial" w:cs="Arial" w:eastAsia="Arial" w:hAnsi="Arial"/>
                <w:sz w:val="18"/>
                <w:szCs w:val="18"/>
                <w:color w:val="auto"/>
              </w:rPr>
              <w:t>Ratio of</w:t>
            </w:r>
          </w:p>
        </w:tc>
        <w:tc>
          <w:tcPr>
            <w:tcW w:w="3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8"/>
        </w:trPr>
        <w:tc>
          <w:tcPr>
            <w:tcW w:w="1720" w:type="dxa"/>
            <w:vAlign w:val="bottom"/>
            <w:vMerge w:val="continue"/>
          </w:tcPr>
          <w:p>
            <w:pPr>
              <w:spacing w:after="0"/>
              <w:rPr>
                <w:sz w:val="24"/>
                <w:szCs w:val="24"/>
                <w:color w:val="auto"/>
              </w:rPr>
            </w:pPr>
          </w:p>
        </w:tc>
        <w:tc>
          <w:tcPr>
            <w:tcW w:w="3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1720" w:type="dxa"/>
            <w:vAlign w:val="bottom"/>
          </w:tcPr>
          <w:p>
            <w:pPr>
              <w:ind w:left="260"/>
              <w:spacing w:after="0" w:line="202" w:lineRule="exact"/>
              <w:rPr>
                <w:sz w:val="20"/>
                <w:szCs w:val="20"/>
                <w:color w:val="auto"/>
              </w:rPr>
            </w:pPr>
            <w:r>
              <w:rPr>
                <w:rFonts w:ascii="Arial" w:cs="Arial" w:eastAsia="Arial" w:hAnsi="Arial"/>
                <w:sz w:val="18"/>
                <w:szCs w:val="18"/>
                <w:color w:val="auto"/>
              </w:rPr>
              <w:t>earnings to</w:t>
            </w:r>
          </w:p>
        </w:tc>
        <w:tc>
          <w:tcPr>
            <w:tcW w:w="3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720" w:type="dxa"/>
            <w:vAlign w:val="bottom"/>
          </w:tcPr>
          <w:p>
            <w:pPr>
              <w:ind w:left="260"/>
              <w:spacing w:after="0" w:line="202" w:lineRule="exact"/>
              <w:rPr>
                <w:sz w:val="20"/>
                <w:szCs w:val="20"/>
                <w:color w:val="auto"/>
              </w:rPr>
            </w:pPr>
            <w:r>
              <w:rPr>
                <w:rFonts w:ascii="Arial" w:cs="Arial" w:eastAsia="Arial" w:hAnsi="Arial"/>
                <w:sz w:val="18"/>
                <w:szCs w:val="18"/>
                <w:color w:val="auto"/>
              </w:rPr>
              <w:t>fixed</w:t>
            </w:r>
          </w:p>
        </w:tc>
        <w:tc>
          <w:tcPr>
            <w:tcW w:w="380" w:type="dxa"/>
            <w:vAlign w:val="bottom"/>
          </w:tcPr>
          <w:p>
            <w:pPr>
              <w:spacing w:after="0"/>
              <w:rPr>
                <w:sz w:val="17"/>
                <w:szCs w:val="17"/>
                <w:color w:val="auto"/>
              </w:rPr>
            </w:pPr>
          </w:p>
        </w:tc>
        <w:tc>
          <w:tcPr>
            <w:tcW w:w="940" w:type="dxa"/>
            <w:vAlign w:val="bottom"/>
            <w:vMerge w:val="restart"/>
          </w:tcPr>
          <w:p>
            <w:pPr>
              <w:jc w:val="right"/>
              <w:ind w:right="30"/>
              <w:spacing w:after="0"/>
              <w:rPr>
                <w:sz w:val="20"/>
                <w:szCs w:val="20"/>
                <w:color w:val="auto"/>
              </w:rPr>
            </w:pPr>
            <w:r>
              <w:rPr>
                <w:rFonts w:ascii="Arial" w:cs="Arial" w:eastAsia="Arial" w:hAnsi="Arial"/>
                <w:sz w:val="18"/>
                <w:szCs w:val="18"/>
                <w:color w:val="auto"/>
              </w:rPr>
              <w:t>4.74</w:t>
            </w:r>
          </w:p>
        </w:tc>
        <w:tc>
          <w:tcPr>
            <w:tcW w:w="3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40" w:type="dxa"/>
            <w:vAlign w:val="bottom"/>
            <w:vMerge w:val="restart"/>
          </w:tcPr>
          <w:p>
            <w:pPr>
              <w:jc w:val="right"/>
              <w:ind w:right="30"/>
              <w:spacing w:after="0"/>
              <w:rPr>
                <w:sz w:val="20"/>
                <w:szCs w:val="20"/>
                <w:color w:val="auto"/>
              </w:rPr>
            </w:pPr>
            <w:r>
              <w:rPr>
                <w:rFonts w:ascii="Arial" w:cs="Arial" w:eastAsia="Arial" w:hAnsi="Arial"/>
                <w:sz w:val="18"/>
                <w:szCs w:val="18"/>
                <w:color w:val="auto"/>
              </w:rPr>
              <w:t>4.73</w:t>
            </w:r>
          </w:p>
        </w:tc>
        <w:tc>
          <w:tcPr>
            <w:tcW w:w="3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40" w:type="dxa"/>
            <w:vAlign w:val="bottom"/>
            <w:vMerge w:val="restart"/>
          </w:tcPr>
          <w:p>
            <w:pPr>
              <w:jc w:val="right"/>
              <w:ind w:right="50"/>
              <w:spacing w:after="0"/>
              <w:rPr>
                <w:sz w:val="20"/>
                <w:szCs w:val="20"/>
                <w:color w:val="auto"/>
              </w:rPr>
            </w:pPr>
            <w:r>
              <w:rPr>
                <w:rFonts w:ascii="Arial" w:cs="Arial" w:eastAsia="Arial" w:hAnsi="Arial"/>
                <w:sz w:val="18"/>
                <w:szCs w:val="18"/>
                <w:color w:val="auto"/>
              </w:rPr>
              <w:t>5.06</w:t>
            </w:r>
          </w:p>
        </w:tc>
        <w:tc>
          <w:tcPr>
            <w:tcW w:w="3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40" w:type="dxa"/>
            <w:vAlign w:val="bottom"/>
            <w:vMerge w:val="restart"/>
          </w:tcPr>
          <w:p>
            <w:pPr>
              <w:jc w:val="right"/>
              <w:ind w:right="30"/>
              <w:spacing w:after="0"/>
              <w:rPr>
                <w:sz w:val="20"/>
                <w:szCs w:val="20"/>
                <w:color w:val="auto"/>
              </w:rPr>
            </w:pPr>
            <w:r>
              <w:rPr>
                <w:rFonts w:ascii="Arial" w:cs="Arial" w:eastAsia="Arial" w:hAnsi="Arial"/>
                <w:sz w:val="18"/>
                <w:szCs w:val="18"/>
                <w:color w:val="auto"/>
              </w:rPr>
              <w:t>5.59</w:t>
            </w:r>
          </w:p>
        </w:tc>
        <w:tc>
          <w:tcPr>
            <w:tcW w:w="3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60" w:type="dxa"/>
            <w:vAlign w:val="bottom"/>
            <w:vMerge w:val="restart"/>
          </w:tcPr>
          <w:p>
            <w:pPr>
              <w:jc w:val="right"/>
              <w:ind w:right="50"/>
              <w:spacing w:after="0"/>
              <w:rPr>
                <w:sz w:val="20"/>
                <w:szCs w:val="20"/>
                <w:color w:val="auto"/>
              </w:rPr>
            </w:pPr>
            <w:r>
              <w:rPr>
                <w:rFonts w:ascii="Arial" w:cs="Arial" w:eastAsia="Arial" w:hAnsi="Arial"/>
                <w:sz w:val="18"/>
                <w:szCs w:val="18"/>
                <w:color w:val="auto"/>
              </w:rPr>
              <w:t>4.44</w:t>
            </w:r>
          </w:p>
        </w:tc>
        <w:tc>
          <w:tcPr>
            <w:tcW w:w="3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20" w:type="dxa"/>
            <w:vAlign w:val="bottom"/>
            <w:vMerge w:val="restart"/>
          </w:tcPr>
          <w:p>
            <w:pPr>
              <w:jc w:val="right"/>
              <w:ind w:right="30"/>
              <w:spacing w:after="0"/>
              <w:rPr>
                <w:sz w:val="20"/>
                <w:szCs w:val="20"/>
                <w:color w:val="auto"/>
              </w:rPr>
            </w:pPr>
            <w:r>
              <w:rPr>
                <w:rFonts w:ascii="Arial" w:cs="Arial" w:eastAsia="Arial" w:hAnsi="Arial"/>
                <w:sz w:val="18"/>
                <w:szCs w:val="18"/>
                <w:color w:val="auto"/>
              </w:rPr>
              <w:t>3.90</w:t>
            </w:r>
          </w:p>
        </w:tc>
        <w:tc>
          <w:tcPr>
            <w:tcW w:w="0" w:type="dxa"/>
            <w:vAlign w:val="bottom"/>
          </w:tcPr>
          <w:p>
            <w:pPr>
              <w:spacing w:after="0"/>
              <w:rPr>
                <w:sz w:val="1"/>
                <w:szCs w:val="1"/>
                <w:color w:val="auto"/>
              </w:rPr>
            </w:pPr>
          </w:p>
        </w:tc>
      </w:tr>
      <w:tr>
        <w:trPr>
          <w:trHeight w:val="163"/>
        </w:trPr>
        <w:tc>
          <w:tcPr>
            <w:tcW w:w="1720" w:type="dxa"/>
            <w:vAlign w:val="bottom"/>
          </w:tcPr>
          <w:p>
            <w:pPr>
              <w:ind w:left="260"/>
              <w:spacing w:after="0" w:line="143" w:lineRule="exact"/>
              <w:rPr>
                <w:sz w:val="20"/>
                <w:szCs w:val="20"/>
                <w:color w:val="auto"/>
              </w:rPr>
            </w:pPr>
            <w:r>
              <w:rPr>
                <w:rFonts w:ascii="Arial" w:cs="Arial" w:eastAsia="Arial" w:hAnsi="Arial"/>
                <w:sz w:val="16"/>
                <w:szCs w:val="16"/>
                <w:color w:val="auto"/>
              </w:rPr>
              <w:t>charges</w:t>
            </w:r>
          </w:p>
        </w:tc>
        <w:tc>
          <w:tcPr>
            <w:tcW w:w="38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vMerge w:val="continue"/>
          </w:tcPr>
          <w:p>
            <w:pPr>
              <w:spacing w:after="0"/>
              <w:rPr>
                <w:sz w:val="14"/>
                <w:szCs w:val="14"/>
                <w:color w:val="auto"/>
              </w:rPr>
            </w:pPr>
          </w:p>
        </w:tc>
        <w:tc>
          <w:tcPr>
            <w:tcW w:w="32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vMerge w:val="continue"/>
          </w:tcPr>
          <w:p>
            <w:pPr>
              <w:spacing w:after="0"/>
              <w:rPr>
                <w:sz w:val="14"/>
                <w:szCs w:val="14"/>
                <w:color w:val="auto"/>
              </w:rPr>
            </w:pPr>
          </w:p>
        </w:tc>
        <w:tc>
          <w:tcPr>
            <w:tcW w:w="34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vMerge w:val="continue"/>
          </w:tcPr>
          <w:p>
            <w:pPr>
              <w:spacing w:after="0"/>
              <w:rPr>
                <w:sz w:val="14"/>
                <w:szCs w:val="14"/>
                <w:color w:val="auto"/>
              </w:rPr>
            </w:pPr>
          </w:p>
        </w:tc>
        <w:tc>
          <w:tcPr>
            <w:tcW w:w="32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vMerge w:val="continue"/>
          </w:tcPr>
          <w:p>
            <w:pPr>
              <w:spacing w:after="0"/>
              <w:rPr>
                <w:sz w:val="14"/>
                <w:szCs w:val="14"/>
                <w:color w:val="auto"/>
              </w:rPr>
            </w:pPr>
          </w:p>
        </w:tc>
        <w:tc>
          <w:tcPr>
            <w:tcW w:w="32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vMerge w:val="continue"/>
          </w:tcPr>
          <w:p>
            <w:pPr>
              <w:spacing w:after="0"/>
              <w:rPr>
                <w:sz w:val="14"/>
                <w:szCs w:val="14"/>
                <w:color w:val="auto"/>
              </w:rPr>
            </w:pPr>
          </w:p>
        </w:tc>
        <w:tc>
          <w:tcPr>
            <w:tcW w:w="320" w:type="dxa"/>
            <w:vAlign w:val="bottom"/>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520" w:right="200" w:hanging="499"/>
        <w:spacing w:after="0" w:line="246" w:lineRule="auto"/>
        <w:tabs>
          <w:tab w:leader="none" w:pos="52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In computing this ratio, “Preferred stock dividends” represents the before-tax earnings necessary to pay such dividends, computed at the effective tax rates for the applicable periods.</w:t>
      </w:r>
    </w:p>
    <w:p>
      <w:pPr>
        <w:sectPr>
          <w:pgSz w:w="11900" w:h="16838" w:orient="portrait"/>
          <w:cols w:equalWidth="0" w:num="1">
            <w:col w:w="11280"/>
          </w:cols>
          <w:pgMar w:left="380" w:top="873" w:right="239" w:bottom="1440" w:gutter="0" w:footer="0" w:header="0"/>
        </w:sectPr>
      </w:pPr>
    </w:p>
    <w:bookmarkStart w:id="79" w:name="page80"/>
    <w:bookmarkEnd w:id="79"/>
    <w:p>
      <w:pPr>
        <w:jc w:val="center"/>
        <w:ind w:right="140"/>
        <w:spacing w:after="0"/>
        <w:rPr>
          <w:sz w:val="20"/>
          <w:szCs w:val="20"/>
          <w:color w:val="auto"/>
        </w:rPr>
      </w:pPr>
      <w:r>
        <w:rPr>
          <w:rFonts w:ascii="Arial" w:cs="Arial" w:eastAsia="Arial" w:hAnsi="Arial"/>
          <w:sz w:val="18"/>
          <w:szCs w:val="18"/>
          <w:b w:val="1"/>
          <w:bCs w:val="1"/>
          <w:color w:val="auto"/>
        </w:rPr>
        <w:t>EXHIBIT 12.3</w:t>
      </w:r>
    </w:p>
    <w:p>
      <w:pPr>
        <w:spacing w:after="0" w:line="13" w:lineRule="exact"/>
        <w:rPr>
          <w:sz w:val="20"/>
          <w:szCs w:val="20"/>
          <w:color w:val="auto"/>
        </w:rPr>
      </w:pPr>
    </w:p>
    <w:p>
      <w:pPr>
        <w:jc w:val="center"/>
        <w:ind w:right="140"/>
        <w:spacing w:after="0"/>
        <w:rPr>
          <w:sz w:val="20"/>
          <w:szCs w:val="20"/>
          <w:color w:val="auto"/>
        </w:rPr>
      </w:pPr>
      <w:r>
        <w:rPr>
          <w:rFonts w:ascii="Arial" w:cs="Arial" w:eastAsia="Arial" w:hAnsi="Arial"/>
          <w:sz w:val="18"/>
          <w:szCs w:val="18"/>
          <w:b w:val="1"/>
          <w:bCs w:val="1"/>
          <w:color w:val="auto"/>
        </w:rPr>
        <w:t>SOUTHERN CALIFORNIA GAS COMPANY</w:t>
      </w:r>
    </w:p>
    <w:p>
      <w:pPr>
        <w:jc w:val="center"/>
        <w:ind w:right="140"/>
        <w:spacing w:after="0" w:line="234" w:lineRule="auto"/>
        <w:rPr>
          <w:sz w:val="20"/>
          <w:szCs w:val="20"/>
          <w:color w:val="auto"/>
        </w:rPr>
      </w:pPr>
      <w:r>
        <w:rPr>
          <w:rFonts w:ascii="Arial" w:cs="Arial" w:eastAsia="Arial" w:hAnsi="Arial"/>
          <w:sz w:val="18"/>
          <w:szCs w:val="18"/>
          <w:b w:val="1"/>
          <w:bCs w:val="1"/>
          <w:color w:val="auto"/>
        </w:rPr>
        <w:t>COMPUTATION OF RATIO OF EARNINGS TO COMBINED FIXED CHARGES</w:t>
      </w:r>
    </w:p>
    <w:p>
      <w:pPr>
        <w:jc w:val="center"/>
        <w:ind w:right="140"/>
        <w:spacing w:after="0" w:line="235" w:lineRule="auto"/>
        <w:rPr>
          <w:sz w:val="20"/>
          <w:szCs w:val="20"/>
          <w:color w:val="auto"/>
        </w:rPr>
      </w:pPr>
      <w:r>
        <w:rPr>
          <w:rFonts w:ascii="Arial" w:cs="Arial" w:eastAsia="Arial" w:hAnsi="Arial"/>
          <w:sz w:val="18"/>
          <w:szCs w:val="18"/>
          <w:b w:val="1"/>
          <w:bCs w:val="1"/>
          <w:color w:val="auto"/>
        </w:rPr>
        <w:t>AND PREFERRED STOCK DIVIDENDS</w:t>
      </w:r>
    </w:p>
    <w:p>
      <w:pPr>
        <w:spacing w:after="0" w:line="1" w:lineRule="exact"/>
        <w:rPr>
          <w:sz w:val="20"/>
          <w:szCs w:val="20"/>
          <w:color w:val="auto"/>
        </w:rPr>
      </w:pPr>
    </w:p>
    <w:p>
      <w:pPr>
        <w:jc w:val="center"/>
        <w:ind w:right="140"/>
        <w:spacing w:after="0"/>
        <w:rPr>
          <w:sz w:val="20"/>
          <w:szCs w:val="20"/>
          <w:color w:val="auto"/>
        </w:rPr>
      </w:pPr>
      <w:r>
        <w:rPr>
          <w:rFonts w:ascii="Arial" w:cs="Arial" w:eastAsia="Arial" w:hAnsi="Arial"/>
          <w:sz w:val="18"/>
          <w:szCs w:val="18"/>
          <w:b w:val="1"/>
          <w:bCs w:val="1"/>
          <w:color w:val="auto"/>
        </w:rPr>
        <w:t>(Dollars in millions)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8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80" w:type="dxa"/>
            <w:vAlign w:val="bottom"/>
            <w:gridSpan w:val="2"/>
          </w:tcPr>
          <w:p>
            <w:pPr>
              <w:jc w:val="right"/>
              <w:ind w:right="210"/>
              <w:spacing w:after="0"/>
              <w:rPr>
                <w:sz w:val="20"/>
                <w:szCs w:val="20"/>
                <w:color w:val="auto"/>
              </w:rPr>
            </w:pPr>
            <w:r>
              <w:rPr>
                <w:rFonts w:ascii="Arial" w:cs="Arial" w:eastAsia="Arial" w:hAnsi="Arial"/>
                <w:sz w:val="18"/>
                <w:szCs w:val="18"/>
                <w:color w:val="auto"/>
              </w:rPr>
              <w:t>June 30,</w:t>
            </w:r>
          </w:p>
        </w:tc>
        <w:tc>
          <w:tcPr>
            <w:tcW w:w="0" w:type="dxa"/>
            <w:vAlign w:val="bottom"/>
          </w:tcPr>
          <w:p>
            <w:pPr>
              <w:spacing w:after="0"/>
              <w:rPr>
                <w:sz w:val="1"/>
                <w:szCs w:val="1"/>
                <w:color w:val="auto"/>
              </w:rPr>
            </w:pPr>
          </w:p>
        </w:tc>
      </w:tr>
      <w:tr>
        <w:trPr>
          <w:trHeight w:val="203"/>
        </w:trPr>
        <w:tc>
          <w:tcPr>
            <w:tcW w:w="184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330"/>
              <w:spacing w:after="0" w:line="203" w:lineRule="exact"/>
              <w:rPr>
                <w:sz w:val="20"/>
                <w:szCs w:val="20"/>
                <w:color w:val="auto"/>
              </w:rPr>
            </w:pPr>
            <w:r>
              <w:rPr>
                <w:rFonts w:ascii="Arial" w:cs="Arial" w:eastAsia="Arial" w:hAnsi="Arial"/>
                <w:sz w:val="18"/>
                <w:szCs w:val="18"/>
                <w:color w:val="auto"/>
              </w:rPr>
              <w:t>2006</w:t>
            </w:r>
          </w:p>
        </w:tc>
        <w:tc>
          <w:tcPr>
            <w:tcW w:w="36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350"/>
              <w:spacing w:after="0" w:line="203" w:lineRule="exact"/>
              <w:rPr>
                <w:sz w:val="20"/>
                <w:szCs w:val="20"/>
                <w:color w:val="auto"/>
              </w:rPr>
            </w:pPr>
            <w:r>
              <w:rPr>
                <w:rFonts w:ascii="Arial" w:cs="Arial" w:eastAsia="Arial" w:hAnsi="Arial"/>
                <w:sz w:val="18"/>
                <w:szCs w:val="18"/>
                <w:color w:val="auto"/>
              </w:rPr>
              <w:t>2007</w:t>
            </w:r>
          </w:p>
        </w:tc>
        <w:tc>
          <w:tcPr>
            <w:tcW w:w="36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350"/>
              <w:spacing w:after="0" w:line="203" w:lineRule="exact"/>
              <w:rPr>
                <w:sz w:val="20"/>
                <w:szCs w:val="20"/>
                <w:color w:val="auto"/>
              </w:rPr>
            </w:pPr>
            <w:r>
              <w:rPr>
                <w:rFonts w:ascii="Arial" w:cs="Arial" w:eastAsia="Arial" w:hAnsi="Arial"/>
                <w:sz w:val="18"/>
                <w:szCs w:val="18"/>
                <w:color w:val="auto"/>
              </w:rPr>
              <w:t>2008</w:t>
            </w:r>
          </w:p>
        </w:tc>
        <w:tc>
          <w:tcPr>
            <w:tcW w:w="34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350"/>
              <w:spacing w:after="0" w:line="203" w:lineRule="exact"/>
              <w:rPr>
                <w:sz w:val="20"/>
                <w:szCs w:val="20"/>
                <w:color w:val="auto"/>
              </w:rPr>
            </w:pPr>
            <w:r>
              <w:rPr>
                <w:rFonts w:ascii="Arial" w:cs="Arial" w:eastAsia="Arial" w:hAnsi="Arial"/>
                <w:sz w:val="18"/>
                <w:szCs w:val="18"/>
                <w:color w:val="auto"/>
              </w:rPr>
              <w:t>2009</w:t>
            </w:r>
          </w:p>
        </w:tc>
        <w:tc>
          <w:tcPr>
            <w:tcW w:w="34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350"/>
              <w:spacing w:after="0" w:line="203" w:lineRule="exact"/>
              <w:rPr>
                <w:sz w:val="20"/>
                <w:szCs w:val="20"/>
                <w:color w:val="auto"/>
              </w:rPr>
            </w:pPr>
            <w:r>
              <w:rPr>
                <w:rFonts w:ascii="Arial" w:cs="Arial" w:eastAsia="Arial" w:hAnsi="Arial"/>
                <w:sz w:val="18"/>
                <w:szCs w:val="18"/>
                <w:color w:val="auto"/>
              </w:rPr>
              <w:t>2010</w:t>
            </w:r>
          </w:p>
        </w:tc>
        <w:tc>
          <w:tcPr>
            <w:tcW w:w="36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350"/>
              <w:spacing w:after="0" w:line="203" w:lineRule="exact"/>
              <w:rPr>
                <w:sz w:val="20"/>
                <w:szCs w:val="20"/>
                <w:color w:val="auto"/>
              </w:rPr>
            </w:pPr>
            <w:r>
              <w:rPr>
                <w:rFonts w:ascii="Arial" w:cs="Arial" w:eastAsia="Arial" w:hAnsi="Arial"/>
                <w:sz w:val="18"/>
                <w:szCs w:val="18"/>
                <w:color w:val="auto"/>
              </w:rPr>
              <w:t>2011</w:t>
            </w:r>
          </w:p>
        </w:tc>
        <w:tc>
          <w:tcPr>
            <w:tcW w:w="0" w:type="dxa"/>
            <w:vAlign w:val="bottom"/>
          </w:tcPr>
          <w:p>
            <w:pPr>
              <w:spacing w:after="0"/>
              <w:rPr>
                <w:sz w:val="1"/>
                <w:szCs w:val="1"/>
                <w:color w:val="auto"/>
              </w:rPr>
            </w:pPr>
          </w:p>
        </w:tc>
      </w:tr>
      <w:tr>
        <w:trPr>
          <w:trHeight w:val="222"/>
        </w:trPr>
        <w:tc>
          <w:tcPr>
            <w:tcW w:w="1840" w:type="dxa"/>
            <w:vAlign w:val="bottom"/>
          </w:tcPr>
          <w:p>
            <w:pPr>
              <w:spacing w:after="0"/>
              <w:rPr>
                <w:sz w:val="20"/>
                <w:szCs w:val="20"/>
                <w:color w:val="auto"/>
              </w:rPr>
            </w:pPr>
            <w:r>
              <w:rPr>
                <w:rFonts w:ascii="Arial" w:cs="Arial" w:eastAsia="Arial" w:hAnsi="Arial"/>
                <w:sz w:val="18"/>
                <w:szCs w:val="18"/>
                <w:color w:val="auto"/>
              </w:rPr>
              <w:t>Fixed Charges:</w:t>
            </w:r>
          </w:p>
        </w:tc>
        <w:tc>
          <w:tcPr>
            <w:tcW w:w="3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1840" w:type="dxa"/>
            <w:vAlign w:val="bottom"/>
          </w:tcPr>
          <w:p>
            <w:pPr>
              <w:spacing w:after="0" w:line="202" w:lineRule="exact"/>
              <w:rPr>
                <w:sz w:val="20"/>
                <w:szCs w:val="20"/>
                <w:color w:val="auto"/>
              </w:rPr>
            </w:pPr>
            <w:r>
              <w:rPr>
                <w:rFonts w:ascii="Arial" w:cs="Arial" w:eastAsia="Arial" w:hAnsi="Arial"/>
                <w:sz w:val="18"/>
                <w:szCs w:val="18"/>
                <w:color w:val="auto"/>
              </w:rPr>
              <w:t>Interest</w:t>
            </w:r>
          </w:p>
        </w:tc>
        <w:tc>
          <w:tcPr>
            <w:tcW w:w="3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880" w:type="dxa"/>
            <w:vAlign w:val="bottom"/>
          </w:tcPr>
          <w:p>
            <w:pPr>
              <w:jc w:val="right"/>
              <w:ind w:right="30"/>
              <w:spacing w:after="0" w:line="202" w:lineRule="exact"/>
              <w:rPr>
                <w:sz w:val="20"/>
                <w:szCs w:val="20"/>
                <w:color w:val="auto"/>
              </w:rPr>
            </w:pPr>
            <w:r>
              <w:rPr>
                <w:rFonts w:ascii="Arial" w:cs="Arial" w:eastAsia="Arial" w:hAnsi="Arial"/>
                <w:sz w:val="18"/>
                <w:szCs w:val="18"/>
                <w:color w:val="auto"/>
              </w:rPr>
              <w:t>72</w:t>
            </w:r>
          </w:p>
        </w:tc>
        <w:tc>
          <w:tcPr>
            <w:tcW w:w="76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w:t>
            </w:r>
          </w:p>
        </w:tc>
        <w:tc>
          <w:tcPr>
            <w:tcW w:w="880" w:type="dxa"/>
            <w:vAlign w:val="bottom"/>
          </w:tcPr>
          <w:p>
            <w:pPr>
              <w:jc w:val="right"/>
              <w:ind w:right="30"/>
              <w:spacing w:after="0" w:line="202" w:lineRule="exact"/>
              <w:rPr>
                <w:sz w:val="20"/>
                <w:szCs w:val="20"/>
                <w:color w:val="auto"/>
              </w:rPr>
            </w:pPr>
            <w:r>
              <w:rPr>
                <w:rFonts w:ascii="Arial" w:cs="Arial" w:eastAsia="Arial" w:hAnsi="Arial"/>
                <w:sz w:val="18"/>
                <w:szCs w:val="18"/>
                <w:color w:val="auto"/>
              </w:rPr>
              <w:t>72</w:t>
            </w:r>
          </w:p>
        </w:tc>
        <w:tc>
          <w:tcPr>
            <w:tcW w:w="76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w:t>
            </w:r>
          </w:p>
        </w:tc>
        <w:tc>
          <w:tcPr>
            <w:tcW w:w="880" w:type="dxa"/>
            <w:vAlign w:val="bottom"/>
          </w:tcPr>
          <w:p>
            <w:pPr>
              <w:jc w:val="right"/>
              <w:ind w:right="50"/>
              <w:spacing w:after="0" w:line="202" w:lineRule="exact"/>
              <w:rPr>
                <w:sz w:val="20"/>
                <w:szCs w:val="20"/>
                <w:color w:val="auto"/>
              </w:rPr>
            </w:pPr>
            <w:r>
              <w:rPr>
                <w:rFonts w:ascii="Arial" w:cs="Arial" w:eastAsia="Arial" w:hAnsi="Arial"/>
                <w:sz w:val="18"/>
                <w:szCs w:val="18"/>
                <w:color w:val="auto"/>
              </w:rPr>
              <w:t>65</w:t>
            </w:r>
          </w:p>
        </w:tc>
        <w:tc>
          <w:tcPr>
            <w:tcW w:w="74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w:t>
            </w:r>
          </w:p>
        </w:tc>
        <w:tc>
          <w:tcPr>
            <w:tcW w:w="900" w:type="dxa"/>
            <w:vAlign w:val="bottom"/>
          </w:tcPr>
          <w:p>
            <w:pPr>
              <w:jc w:val="right"/>
              <w:ind w:right="50"/>
              <w:spacing w:after="0" w:line="202" w:lineRule="exact"/>
              <w:rPr>
                <w:sz w:val="20"/>
                <w:szCs w:val="20"/>
                <w:color w:val="auto"/>
              </w:rPr>
            </w:pPr>
            <w:r>
              <w:rPr>
                <w:rFonts w:ascii="Arial" w:cs="Arial" w:eastAsia="Arial" w:hAnsi="Arial"/>
                <w:sz w:val="18"/>
                <w:szCs w:val="18"/>
                <w:color w:val="auto"/>
              </w:rPr>
              <w:t>74</w:t>
            </w:r>
          </w:p>
        </w:tc>
        <w:tc>
          <w:tcPr>
            <w:tcW w:w="74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w:t>
            </w:r>
          </w:p>
        </w:tc>
        <w:tc>
          <w:tcPr>
            <w:tcW w:w="880" w:type="dxa"/>
            <w:vAlign w:val="bottom"/>
          </w:tcPr>
          <w:p>
            <w:pPr>
              <w:jc w:val="right"/>
              <w:ind w:right="30"/>
              <w:spacing w:after="0" w:line="202" w:lineRule="exact"/>
              <w:rPr>
                <w:sz w:val="20"/>
                <w:szCs w:val="20"/>
                <w:color w:val="auto"/>
              </w:rPr>
            </w:pPr>
            <w:r>
              <w:rPr>
                <w:rFonts w:ascii="Arial" w:cs="Arial" w:eastAsia="Arial" w:hAnsi="Arial"/>
                <w:sz w:val="18"/>
                <w:szCs w:val="18"/>
                <w:color w:val="auto"/>
              </w:rPr>
              <w:t>72</w:t>
            </w:r>
          </w:p>
        </w:tc>
        <w:tc>
          <w:tcPr>
            <w:tcW w:w="7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880" w:type="dxa"/>
            <w:vAlign w:val="bottom"/>
          </w:tcPr>
          <w:p>
            <w:pPr>
              <w:jc w:val="right"/>
              <w:ind w:right="30"/>
              <w:spacing w:after="0" w:line="202" w:lineRule="exact"/>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03"/>
        </w:trPr>
        <w:tc>
          <w:tcPr>
            <w:tcW w:w="1840" w:type="dxa"/>
            <w:vAlign w:val="bottom"/>
          </w:tcPr>
          <w:p>
            <w:pPr>
              <w:spacing w:after="0" w:line="202" w:lineRule="exact"/>
              <w:rPr>
                <w:sz w:val="20"/>
                <w:szCs w:val="20"/>
                <w:color w:val="auto"/>
              </w:rPr>
            </w:pPr>
            <w:r>
              <w:rPr>
                <w:rFonts w:ascii="Arial" w:cs="Arial" w:eastAsia="Arial" w:hAnsi="Arial"/>
                <w:sz w:val="18"/>
                <w:szCs w:val="18"/>
                <w:color w:val="auto"/>
              </w:rPr>
              <w:t>Interest portion of</w:t>
            </w:r>
          </w:p>
        </w:tc>
        <w:tc>
          <w:tcPr>
            <w:tcW w:w="380" w:type="dxa"/>
            <w:vAlign w:val="bottom"/>
          </w:tcPr>
          <w:p>
            <w:pPr>
              <w:spacing w:after="0"/>
              <w:rPr>
                <w:sz w:val="17"/>
                <w:szCs w:val="17"/>
                <w:color w:val="auto"/>
              </w:rPr>
            </w:pPr>
          </w:p>
        </w:tc>
        <w:tc>
          <w:tcPr>
            <w:tcW w:w="880" w:type="dxa"/>
            <w:vAlign w:val="bottom"/>
            <w:vMerge w:val="restart"/>
          </w:tcPr>
          <w:p>
            <w:pPr>
              <w:jc w:val="right"/>
              <w:ind w:right="30"/>
              <w:spacing w:after="0"/>
              <w:rPr>
                <w:sz w:val="20"/>
                <w:szCs w:val="20"/>
                <w:color w:val="auto"/>
              </w:rPr>
            </w:pPr>
            <w:r>
              <w:rPr>
                <w:rFonts w:ascii="Arial" w:cs="Arial" w:eastAsia="Arial" w:hAnsi="Arial"/>
                <w:sz w:val="18"/>
                <w:szCs w:val="18"/>
                <w:color w:val="auto"/>
              </w:rPr>
              <w:t>4</w:t>
            </w:r>
          </w:p>
        </w:tc>
        <w:tc>
          <w:tcPr>
            <w:tcW w:w="3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80" w:type="dxa"/>
            <w:vAlign w:val="bottom"/>
            <w:vMerge w:val="restart"/>
          </w:tcPr>
          <w:p>
            <w:pPr>
              <w:jc w:val="right"/>
              <w:ind w:right="30"/>
              <w:spacing w:after="0"/>
              <w:rPr>
                <w:sz w:val="20"/>
                <w:szCs w:val="20"/>
                <w:color w:val="auto"/>
              </w:rPr>
            </w:pPr>
            <w:r>
              <w:rPr>
                <w:rFonts w:ascii="Arial" w:cs="Arial" w:eastAsia="Arial" w:hAnsi="Arial"/>
                <w:sz w:val="18"/>
                <w:szCs w:val="18"/>
                <w:color w:val="auto"/>
              </w:rPr>
              <w:t>3</w:t>
            </w:r>
          </w:p>
        </w:tc>
        <w:tc>
          <w:tcPr>
            <w:tcW w:w="3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80" w:type="dxa"/>
            <w:vAlign w:val="bottom"/>
            <w:vMerge w:val="restart"/>
          </w:tcPr>
          <w:p>
            <w:pPr>
              <w:jc w:val="right"/>
              <w:ind w:right="50"/>
              <w:spacing w:after="0"/>
              <w:rPr>
                <w:sz w:val="20"/>
                <w:szCs w:val="20"/>
                <w:color w:val="auto"/>
              </w:rPr>
            </w:pPr>
            <w:r>
              <w:rPr>
                <w:rFonts w:ascii="Arial" w:cs="Arial" w:eastAsia="Arial" w:hAnsi="Arial"/>
                <w:sz w:val="18"/>
                <w:szCs w:val="18"/>
                <w:color w:val="auto"/>
              </w:rPr>
              <w:t>2</w:t>
            </w:r>
          </w:p>
        </w:tc>
        <w:tc>
          <w:tcPr>
            <w:tcW w:w="3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00" w:type="dxa"/>
            <w:vAlign w:val="bottom"/>
            <w:vMerge w:val="restart"/>
          </w:tcPr>
          <w:p>
            <w:pPr>
              <w:jc w:val="right"/>
              <w:ind w:right="50"/>
              <w:spacing w:after="0"/>
              <w:rPr>
                <w:sz w:val="20"/>
                <w:szCs w:val="20"/>
                <w:color w:val="auto"/>
              </w:rPr>
            </w:pPr>
            <w:r>
              <w:rPr>
                <w:rFonts w:ascii="Arial" w:cs="Arial" w:eastAsia="Arial" w:hAnsi="Arial"/>
                <w:sz w:val="18"/>
                <w:szCs w:val="18"/>
                <w:color w:val="auto"/>
              </w:rPr>
              <w:t>1</w:t>
            </w:r>
          </w:p>
        </w:tc>
        <w:tc>
          <w:tcPr>
            <w:tcW w:w="3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80" w:type="dxa"/>
            <w:vAlign w:val="bottom"/>
            <w:vMerge w:val="restart"/>
          </w:tcPr>
          <w:p>
            <w:pPr>
              <w:jc w:val="right"/>
              <w:ind w:right="30"/>
              <w:spacing w:after="0"/>
              <w:rPr>
                <w:sz w:val="20"/>
                <w:szCs w:val="20"/>
                <w:color w:val="auto"/>
              </w:rPr>
            </w:pPr>
            <w:r>
              <w:rPr>
                <w:rFonts w:ascii="Arial" w:cs="Arial" w:eastAsia="Arial" w:hAnsi="Arial"/>
                <w:sz w:val="18"/>
                <w:szCs w:val="18"/>
                <w:color w:val="auto"/>
              </w:rPr>
              <w:t>2</w:t>
            </w:r>
          </w:p>
        </w:tc>
        <w:tc>
          <w:tcPr>
            <w:tcW w:w="3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80" w:type="dxa"/>
            <w:vAlign w:val="bottom"/>
            <w:vMerge w:val="restart"/>
          </w:tcPr>
          <w:p>
            <w:pPr>
              <w:jc w:val="right"/>
              <w:ind w:right="3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190"/>
        </w:trPr>
        <w:tc>
          <w:tcPr>
            <w:tcW w:w="1840" w:type="dxa"/>
            <w:vAlign w:val="bottom"/>
          </w:tcPr>
          <w:p>
            <w:pPr>
              <w:ind w:left="260"/>
              <w:spacing w:after="0" w:line="190" w:lineRule="exact"/>
              <w:rPr>
                <w:sz w:val="20"/>
                <w:szCs w:val="20"/>
                <w:color w:val="auto"/>
              </w:rPr>
            </w:pPr>
            <w:r>
              <w:rPr>
                <w:rFonts w:ascii="Arial" w:cs="Arial" w:eastAsia="Arial" w:hAnsi="Arial"/>
                <w:sz w:val="18"/>
                <w:szCs w:val="18"/>
                <w:color w:val="auto"/>
              </w:rPr>
              <w:t>annual rentals</w:t>
            </w:r>
          </w:p>
        </w:tc>
        <w:tc>
          <w:tcPr>
            <w:tcW w:w="3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36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36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34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vMerge w:val="continue"/>
          </w:tcPr>
          <w:p>
            <w:pPr>
              <w:spacing w:after="0"/>
              <w:rPr>
                <w:sz w:val="16"/>
                <w:szCs w:val="16"/>
                <w:color w:val="auto"/>
              </w:rPr>
            </w:pPr>
          </w:p>
        </w:tc>
        <w:tc>
          <w:tcPr>
            <w:tcW w:w="34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36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1840" w:type="dxa"/>
            <w:vAlign w:val="bottom"/>
          </w:tcPr>
          <w:p>
            <w:pPr>
              <w:spacing w:after="0"/>
              <w:rPr>
                <w:sz w:val="20"/>
                <w:szCs w:val="20"/>
                <w:color w:val="auto"/>
              </w:rPr>
            </w:pPr>
            <w:r>
              <w:rPr>
                <w:rFonts w:ascii="Arial" w:cs="Arial" w:eastAsia="Arial" w:hAnsi="Arial"/>
                <w:sz w:val="18"/>
                <w:szCs w:val="18"/>
                <w:color w:val="auto"/>
              </w:rPr>
              <w:t>Total fixed charges</w:t>
            </w:r>
          </w:p>
        </w:tc>
        <w:tc>
          <w:tcPr>
            <w:tcW w:w="380" w:type="dxa"/>
            <w:vAlign w:val="bottom"/>
          </w:tcPr>
          <w:p>
            <w:pPr>
              <w:spacing w:after="0"/>
              <w:rPr>
                <w:sz w:val="18"/>
                <w:szCs w:val="18"/>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76</w:t>
            </w:r>
          </w:p>
        </w:tc>
        <w:tc>
          <w:tcPr>
            <w:tcW w:w="3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75</w:t>
            </w:r>
          </w:p>
        </w:tc>
        <w:tc>
          <w:tcPr>
            <w:tcW w:w="3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80" w:type="dxa"/>
            <w:vAlign w:val="bottom"/>
          </w:tcPr>
          <w:p>
            <w:pPr>
              <w:jc w:val="right"/>
              <w:ind w:right="50"/>
              <w:spacing w:after="0"/>
              <w:rPr>
                <w:sz w:val="20"/>
                <w:szCs w:val="20"/>
                <w:color w:val="auto"/>
              </w:rPr>
            </w:pPr>
            <w:r>
              <w:rPr>
                <w:rFonts w:ascii="Arial" w:cs="Arial" w:eastAsia="Arial" w:hAnsi="Arial"/>
                <w:sz w:val="18"/>
                <w:szCs w:val="18"/>
                <w:color w:val="auto"/>
              </w:rPr>
              <w:t>67</w:t>
            </w:r>
          </w:p>
        </w:tc>
        <w:tc>
          <w:tcPr>
            <w:tcW w:w="3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00" w:type="dxa"/>
            <w:vAlign w:val="bottom"/>
          </w:tcPr>
          <w:p>
            <w:pPr>
              <w:jc w:val="right"/>
              <w:ind w:right="50"/>
              <w:spacing w:after="0"/>
              <w:rPr>
                <w:sz w:val="20"/>
                <w:szCs w:val="20"/>
                <w:color w:val="auto"/>
              </w:rPr>
            </w:pPr>
            <w:r>
              <w:rPr>
                <w:rFonts w:ascii="Arial" w:cs="Arial" w:eastAsia="Arial" w:hAnsi="Arial"/>
                <w:sz w:val="18"/>
                <w:szCs w:val="18"/>
                <w:color w:val="auto"/>
              </w:rPr>
              <w:t>75</w:t>
            </w:r>
          </w:p>
        </w:tc>
        <w:tc>
          <w:tcPr>
            <w:tcW w:w="3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74</w:t>
            </w:r>
          </w:p>
        </w:tc>
        <w:tc>
          <w:tcPr>
            <w:tcW w:w="3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03"/>
        </w:trPr>
        <w:tc>
          <w:tcPr>
            <w:tcW w:w="1840" w:type="dxa"/>
            <w:vAlign w:val="bottom"/>
          </w:tcPr>
          <w:p>
            <w:pPr>
              <w:spacing w:after="0" w:line="202" w:lineRule="exact"/>
              <w:rPr>
                <w:sz w:val="20"/>
                <w:szCs w:val="20"/>
                <w:color w:val="auto"/>
              </w:rPr>
            </w:pPr>
            <w:r>
              <w:rPr>
                <w:rFonts w:ascii="Arial" w:cs="Arial" w:eastAsia="Arial" w:hAnsi="Arial"/>
                <w:sz w:val="18"/>
                <w:szCs w:val="18"/>
                <w:color w:val="auto"/>
              </w:rPr>
              <w:t>Preferred stock</w:t>
            </w:r>
          </w:p>
        </w:tc>
        <w:tc>
          <w:tcPr>
            <w:tcW w:w="380" w:type="dxa"/>
            <w:vAlign w:val="bottom"/>
          </w:tcPr>
          <w:p>
            <w:pPr>
              <w:spacing w:after="0"/>
              <w:rPr>
                <w:sz w:val="17"/>
                <w:szCs w:val="17"/>
                <w:color w:val="auto"/>
              </w:rPr>
            </w:pPr>
          </w:p>
        </w:tc>
        <w:tc>
          <w:tcPr>
            <w:tcW w:w="880" w:type="dxa"/>
            <w:vAlign w:val="bottom"/>
            <w:vMerge w:val="restart"/>
          </w:tcPr>
          <w:p>
            <w:pPr>
              <w:jc w:val="right"/>
              <w:ind w:right="30"/>
              <w:spacing w:after="0"/>
              <w:rPr>
                <w:sz w:val="20"/>
                <w:szCs w:val="20"/>
                <w:color w:val="auto"/>
              </w:rPr>
            </w:pPr>
            <w:r>
              <w:rPr>
                <w:rFonts w:ascii="Arial" w:cs="Arial" w:eastAsia="Arial" w:hAnsi="Arial"/>
                <w:sz w:val="18"/>
                <w:szCs w:val="18"/>
                <w:color w:val="auto"/>
              </w:rPr>
              <w:t>2</w:t>
            </w:r>
          </w:p>
        </w:tc>
        <w:tc>
          <w:tcPr>
            <w:tcW w:w="3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80" w:type="dxa"/>
            <w:vAlign w:val="bottom"/>
            <w:vMerge w:val="restart"/>
          </w:tcPr>
          <w:p>
            <w:pPr>
              <w:jc w:val="right"/>
              <w:ind w:right="30"/>
              <w:spacing w:after="0"/>
              <w:rPr>
                <w:sz w:val="20"/>
                <w:szCs w:val="20"/>
                <w:color w:val="auto"/>
              </w:rPr>
            </w:pPr>
            <w:r>
              <w:rPr>
                <w:rFonts w:ascii="Arial" w:cs="Arial" w:eastAsia="Arial" w:hAnsi="Arial"/>
                <w:sz w:val="18"/>
                <w:szCs w:val="18"/>
                <w:color w:val="auto"/>
              </w:rPr>
              <w:t>2</w:t>
            </w:r>
          </w:p>
        </w:tc>
        <w:tc>
          <w:tcPr>
            <w:tcW w:w="3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80" w:type="dxa"/>
            <w:vAlign w:val="bottom"/>
            <w:vMerge w:val="restart"/>
          </w:tcPr>
          <w:p>
            <w:pPr>
              <w:jc w:val="right"/>
              <w:ind w:right="50"/>
              <w:spacing w:after="0"/>
              <w:rPr>
                <w:sz w:val="20"/>
                <w:szCs w:val="20"/>
                <w:color w:val="auto"/>
              </w:rPr>
            </w:pPr>
            <w:r>
              <w:rPr>
                <w:rFonts w:ascii="Arial" w:cs="Arial" w:eastAsia="Arial" w:hAnsi="Arial"/>
                <w:sz w:val="18"/>
                <w:szCs w:val="18"/>
                <w:color w:val="auto"/>
              </w:rPr>
              <w:t>2</w:t>
            </w:r>
          </w:p>
        </w:tc>
        <w:tc>
          <w:tcPr>
            <w:tcW w:w="3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00" w:type="dxa"/>
            <w:vAlign w:val="bottom"/>
            <w:vMerge w:val="restart"/>
          </w:tcPr>
          <w:p>
            <w:pPr>
              <w:jc w:val="right"/>
              <w:ind w:right="50"/>
              <w:spacing w:after="0"/>
              <w:rPr>
                <w:sz w:val="20"/>
                <w:szCs w:val="20"/>
                <w:color w:val="auto"/>
              </w:rPr>
            </w:pPr>
            <w:r>
              <w:rPr>
                <w:rFonts w:ascii="Arial" w:cs="Arial" w:eastAsia="Arial" w:hAnsi="Arial"/>
                <w:sz w:val="18"/>
                <w:szCs w:val="18"/>
                <w:color w:val="auto"/>
              </w:rPr>
              <w:t>2</w:t>
            </w:r>
          </w:p>
        </w:tc>
        <w:tc>
          <w:tcPr>
            <w:tcW w:w="3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80" w:type="dxa"/>
            <w:vAlign w:val="bottom"/>
            <w:vMerge w:val="restart"/>
          </w:tcPr>
          <w:p>
            <w:pPr>
              <w:jc w:val="right"/>
              <w:ind w:right="30"/>
              <w:spacing w:after="0"/>
              <w:rPr>
                <w:sz w:val="20"/>
                <w:szCs w:val="20"/>
                <w:color w:val="auto"/>
              </w:rPr>
            </w:pPr>
            <w:r>
              <w:rPr>
                <w:rFonts w:ascii="Arial" w:cs="Arial" w:eastAsia="Arial" w:hAnsi="Arial"/>
                <w:sz w:val="18"/>
                <w:szCs w:val="18"/>
                <w:color w:val="auto"/>
              </w:rPr>
              <w:t>2</w:t>
            </w:r>
          </w:p>
        </w:tc>
        <w:tc>
          <w:tcPr>
            <w:tcW w:w="3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80" w:type="dxa"/>
            <w:vAlign w:val="bottom"/>
            <w:vMerge w:val="restart"/>
          </w:tcPr>
          <w:p>
            <w:pPr>
              <w:jc w:val="right"/>
              <w:ind w:right="3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190"/>
        </w:trPr>
        <w:tc>
          <w:tcPr>
            <w:tcW w:w="1840" w:type="dxa"/>
            <w:vAlign w:val="bottom"/>
          </w:tcPr>
          <w:p>
            <w:pPr>
              <w:ind w:left="260"/>
              <w:spacing w:after="0" w:line="190" w:lineRule="exact"/>
              <w:rPr>
                <w:sz w:val="20"/>
                <w:szCs w:val="20"/>
                <w:color w:val="auto"/>
              </w:rPr>
            </w:pPr>
            <w:r>
              <w:rPr>
                <w:rFonts w:ascii="Arial" w:cs="Arial" w:eastAsia="Arial" w:hAnsi="Arial"/>
                <w:sz w:val="18"/>
                <w:szCs w:val="18"/>
                <w:color w:val="auto"/>
              </w:rPr>
              <w:t>dividends (1)</w:t>
            </w:r>
          </w:p>
        </w:tc>
        <w:tc>
          <w:tcPr>
            <w:tcW w:w="3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36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36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34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vMerge w:val="continue"/>
          </w:tcPr>
          <w:p>
            <w:pPr>
              <w:spacing w:after="0"/>
              <w:rPr>
                <w:sz w:val="16"/>
                <w:szCs w:val="16"/>
                <w:color w:val="auto"/>
              </w:rPr>
            </w:pPr>
          </w:p>
        </w:tc>
        <w:tc>
          <w:tcPr>
            <w:tcW w:w="34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36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1840" w:type="dxa"/>
            <w:vAlign w:val="bottom"/>
          </w:tcPr>
          <w:p>
            <w:pPr>
              <w:spacing w:after="0" w:line="195" w:lineRule="exact"/>
              <w:rPr>
                <w:sz w:val="20"/>
                <w:szCs w:val="20"/>
                <w:color w:val="auto"/>
              </w:rPr>
            </w:pPr>
            <w:r>
              <w:rPr>
                <w:rFonts w:ascii="Arial" w:cs="Arial" w:eastAsia="Arial" w:hAnsi="Arial"/>
                <w:sz w:val="18"/>
                <w:szCs w:val="18"/>
                <w:color w:val="auto"/>
              </w:rPr>
              <w:t>Combined fixed</w:t>
            </w:r>
          </w:p>
        </w:tc>
        <w:tc>
          <w:tcPr>
            <w:tcW w:w="3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1840" w:type="dxa"/>
            <w:vAlign w:val="bottom"/>
          </w:tcPr>
          <w:p>
            <w:pPr>
              <w:ind w:left="260"/>
              <w:spacing w:after="0" w:line="202" w:lineRule="exact"/>
              <w:rPr>
                <w:sz w:val="20"/>
                <w:szCs w:val="20"/>
                <w:color w:val="auto"/>
              </w:rPr>
            </w:pPr>
            <w:r>
              <w:rPr>
                <w:rFonts w:ascii="Arial" w:cs="Arial" w:eastAsia="Arial" w:hAnsi="Arial"/>
                <w:sz w:val="18"/>
                <w:szCs w:val="18"/>
                <w:color w:val="auto"/>
              </w:rPr>
              <w:t>charges and</w:t>
            </w:r>
          </w:p>
        </w:tc>
        <w:tc>
          <w:tcPr>
            <w:tcW w:w="3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840" w:type="dxa"/>
            <w:vAlign w:val="bottom"/>
          </w:tcPr>
          <w:p>
            <w:pPr>
              <w:ind w:left="260"/>
              <w:spacing w:after="0" w:line="202" w:lineRule="exact"/>
              <w:rPr>
                <w:sz w:val="20"/>
                <w:szCs w:val="20"/>
                <w:color w:val="auto"/>
              </w:rPr>
            </w:pPr>
            <w:r>
              <w:rPr>
                <w:rFonts w:ascii="Arial" w:cs="Arial" w:eastAsia="Arial" w:hAnsi="Arial"/>
                <w:sz w:val="18"/>
                <w:szCs w:val="18"/>
                <w:color w:val="auto"/>
              </w:rPr>
              <w:t>preferred stock</w:t>
            </w:r>
          </w:p>
        </w:tc>
        <w:tc>
          <w:tcPr>
            <w:tcW w:w="3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840" w:type="dxa"/>
            <w:vAlign w:val="bottom"/>
          </w:tcPr>
          <w:p>
            <w:pPr>
              <w:ind w:left="260"/>
              <w:spacing w:after="0" w:line="202" w:lineRule="exact"/>
              <w:rPr>
                <w:sz w:val="20"/>
                <w:szCs w:val="20"/>
                <w:color w:val="auto"/>
              </w:rPr>
            </w:pPr>
            <w:r>
              <w:rPr>
                <w:rFonts w:ascii="Arial" w:cs="Arial" w:eastAsia="Arial" w:hAnsi="Arial"/>
                <w:sz w:val="18"/>
                <w:szCs w:val="18"/>
                <w:color w:val="auto"/>
              </w:rPr>
              <w:t>dividends for</w:t>
            </w:r>
          </w:p>
        </w:tc>
        <w:tc>
          <w:tcPr>
            <w:tcW w:w="38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880" w:type="dxa"/>
            <w:vAlign w:val="bottom"/>
            <w:vMerge w:val="restart"/>
          </w:tcPr>
          <w:p>
            <w:pPr>
              <w:jc w:val="right"/>
              <w:ind w:right="30"/>
              <w:spacing w:after="0"/>
              <w:rPr>
                <w:sz w:val="20"/>
                <w:szCs w:val="20"/>
                <w:color w:val="auto"/>
              </w:rPr>
            </w:pPr>
            <w:r>
              <w:rPr>
                <w:rFonts w:ascii="Arial" w:cs="Arial" w:eastAsia="Arial" w:hAnsi="Arial"/>
                <w:sz w:val="18"/>
                <w:szCs w:val="18"/>
                <w:color w:val="auto"/>
              </w:rPr>
              <w:t>78</w:t>
            </w:r>
          </w:p>
        </w:tc>
        <w:tc>
          <w:tcPr>
            <w:tcW w:w="760" w:type="dxa"/>
            <w:vAlign w:val="bottom"/>
            <w:gridSpan w:val="2"/>
            <w:vMerge w:val="restart"/>
          </w:tcPr>
          <w:p>
            <w:pPr>
              <w:jc w:val="right"/>
              <w:ind w:right="40"/>
              <w:spacing w:after="0"/>
              <w:rPr>
                <w:sz w:val="20"/>
                <w:szCs w:val="20"/>
                <w:color w:val="auto"/>
              </w:rPr>
            </w:pPr>
            <w:r>
              <w:rPr>
                <w:rFonts w:ascii="Arial" w:cs="Arial" w:eastAsia="Arial" w:hAnsi="Arial"/>
                <w:sz w:val="18"/>
                <w:szCs w:val="18"/>
                <w:color w:val="auto"/>
              </w:rPr>
              <w:t>$</w:t>
            </w:r>
          </w:p>
        </w:tc>
        <w:tc>
          <w:tcPr>
            <w:tcW w:w="880" w:type="dxa"/>
            <w:vAlign w:val="bottom"/>
            <w:vMerge w:val="restart"/>
          </w:tcPr>
          <w:p>
            <w:pPr>
              <w:jc w:val="right"/>
              <w:ind w:right="30"/>
              <w:spacing w:after="0"/>
              <w:rPr>
                <w:sz w:val="20"/>
                <w:szCs w:val="20"/>
                <w:color w:val="auto"/>
              </w:rPr>
            </w:pPr>
            <w:r>
              <w:rPr>
                <w:rFonts w:ascii="Arial" w:cs="Arial" w:eastAsia="Arial" w:hAnsi="Arial"/>
                <w:sz w:val="18"/>
                <w:szCs w:val="18"/>
                <w:color w:val="auto"/>
              </w:rPr>
              <w:t>77</w:t>
            </w:r>
          </w:p>
        </w:tc>
        <w:tc>
          <w:tcPr>
            <w:tcW w:w="760" w:type="dxa"/>
            <w:vAlign w:val="bottom"/>
            <w:gridSpan w:val="2"/>
            <w:vMerge w:val="restart"/>
          </w:tcPr>
          <w:p>
            <w:pPr>
              <w:jc w:val="right"/>
              <w:ind w:right="60"/>
              <w:spacing w:after="0"/>
              <w:rPr>
                <w:sz w:val="20"/>
                <w:szCs w:val="20"/>
                <w:color w:val="auto"/>
              </w:rPr>
            </w:pPr>
            <w:r>
              <w:rPr>
                <w:rFonts w:ascii="Arial" w:cs="Arial" w:eastAsia="Arial" w:hAnsi="Arial"/>
                <w:sz w:val="18"/>
                <w:szCs w:val="18"/>
                <w:color w:val="auto"/>
              </w:rPr>
              <w:t>$</w:t>
            </w:r>
          </w:p>
        </w:tc>
        <w:tc>
          <w:tcPr>
            <w:tcW w:w="880" w:type="dxa"/>
            <w:vAlign w:val="bottom"/>
            <w:vMerge w:val="restart"/>
          </w:tcPr>
          <w:p>
            <w:pPr>
              <w:jc w:val="right"/>
              <w:ind w:right="50"/>
              <w:spacing w:after="0"/>
              <w:rPr>
                <w:sz w:val="20"/>
                <w:szCs w:val="20"/>
                <w:color w:val="auto"/>
              </w:rPr>
            </w:pPr>
            <w:r>
              <w:rPr>
                <w:rFonts w:ascii="Arial" w:cs="Arial" w:eastAsia="Arial" w:hAnsi="Arial"/>
                <w:sz w:val="18"/>
                <w:szCs w:val="18"/>
                <w:color w:val="auto"/>
              </w:rPr>
              <w:t>69</w:t>
            </w:r>
          </w:p>
        </w:tc>
        <w:tc>
          <w:tcPr>
            <w:tcW w:w="740" w:type="dxa"/>
            <w:vAlign w:val="bottom"/>
            <w:gridSpan w:val="2"/>
            <w:vMerge w:val="restart"/>
          </w:tcPr>
          <w:p>
            <w:pPr>
              <w:jc w:val="right"/>
              <w:ind w:right="40"/>
              <w:spacing w:after="0"/>
              <w:rPr>
                <w:sz w:val="20"/>
                <w:szCs w:val="20"/>
                <w:color w:val="auto"/>
              </w:rPr>
            </w:pPr>
            <w:r>
              <w:rPr>
                <w:rFonts w:ascii="Arial" w:cs="Arial" w:eastAsia="Arial" w:hAnsi="Arial"/>
                <w:sz w:val="18"/>
                <w:szCs w:val="18"/>
                <w:color w:val="auto"/>
              </w:rPr>
              <w:t>$</w:t>
            </w:r>
          </w:p>
        </w:tc>
        <w:tc>
          <w:tcPr>
            <w:tcW w:w="900" w:type="dxa"/>
            <w:vAlign w:val="bottom"/>
            <w:vMerge w:val="restart"/>
          </w:tcPr>
          <w:p>
            <w:pPr>
              <w:jc w:val="right"/>
              <w:ind w:right="50"/>
              <w:spacing w:after="0"/>
              <w:rPr>
                <w:sz w:val="20"/>
                <w:szCs w:val="20"/>
                <w:color w:val="auto"/>
              </w:rPr>
            </w:pPr>
            <w:r>
              <w:rPr>
                <w:rFonts w:ascii="Arial" w:cs="Arial" w:eastAsia="Arial" w:hAnsi="Arial"/>
                <w:sz w:val="18"/>
                <w:szCs w:val="18"/>
                <w:color w:val="auto"/>
              </w:rPr>
              <w:t>77</w:t>
            </w:r>
          </w:p>
        </w:tc>
        <w:tc>
          <w:tcPr>
            <w:tcW w:w="740" w:type="dxa"/>
            <w:vAlign w:val="bottom"/>
            <w:gridSpan w:val="2"/>
            <w:vMerge w:val="restart"/>
          </w:tcPr>
          <w:p>
            <w:pPr>
              <w:jc w:val="right"/>
              <w:ind w:right="40"/>
              <w:spacing w:after="0"/>
              <w:rPr>
                <w:sz w:val="20"/>
                <w:szCs w:val="20"/>
                <w:color w:val="auto"/>
              </w:rPr>
            </w:pPr>
            <w:r>
              <w:rPr>
                <w:rFonts w:ascii="Arial" w:cs="Arial" w:eastAsia="Arial" w:hAnsi="Arial"/>
                <w:sz w:val="18"/>
                <w:szCs w:val="18"/>
                <w:color w:val="auto"/>
              </w:rPr>
              <w:t>$</w:t>
            </w:r>
          </w:p>
        </w:tc>
        <w:tc>
          <w:tcPr>
            <w:tcW w:w="880" w:type="dxa"/>
            <w:vAlign w:val="bottom"/>
            <w:vMerge w:val="restart"/>
          </w:tcPr>
          <w:p>
            <w:pPr>
              <w:jc w:val="right"/>
              <w:ind w:right="30"/>
              <w:spacing w:after="0"/>
              <w:rPr>
                <w:sz w:val="20"/>
                <w:szCs w:val="20"/>
                <w:color w:val="auto"/>
              </w:rPr>
            </w:pPr>
            <w:r>
              <w:rPr>
                <w:rFonts w:ascii="Arial" w:cs="Arial" w:eastAsia="Arial" w:hAnsi="Arial"/>
                <w:sz w:val="18"/>
                <w:szCs w:val="18"/>
                <w:color w:val="auto"/>
              </w:rPr>
              <w:t>76</w:t>
            </w:r>
          </w:p>
        </w:tc>
        <w:tc>
          <w:tcPr>
            <w:tcW w:w="76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880" w:type="dxa"/>
            <w:vAlign w:val="bottom"/>
            <w:vMerge w:val="restart"/>
          </w:tcPr>
          <w:p>
            <w:pPr>
              <w:jc w:val="right"/>
              <w:ind w:right="30"/>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163"/>
        </w:trPr>
        <w:tc>
          <w:tcPr>
            <w:tcW w:w="1840" w:type="dxa"/>
            <w:vAlign w:val="bottom"/>
          </w:tcPr>
          <w:p>
            <w:pPr>
              <w:ind w:left="260"/>
              <w:spacing w:after="0" w:line="143" w:lineRule="exact"/>
              <w:rPr>
                <w:sz w:val="20"/>
                <w:szCs w:val="20"/>
                <w:color w:val="auto"/>
              </w:rPr>
            </w:pPr>
            <w:r>
              <w:rPr>
                <w:rFonts w:ascii="Arial" w:cs="Arial" w:eastAsia="Arial" w:hAnsi="Arial"/>
                <w:sz w:val="16"/>
                <w:szCs w:val="16"/>
                <w:color w:val="auto"/>
              </w:rPr>
              <w:t>purpose of ratio</w:t>
            </w:r>
          </w:p>
        </w:tc>
        <w:tc>
          <w:tcPr>
            <w:tcW w:w="38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900" w:type="dxa"/>
            <w:vAlign w:val="bottom"/>
            <w:vMerge w:val="continue"/>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840" w:type="dxa"/>
            <w:vAlign w:val="bottom"/>
            <w:vMerge w:val="restart"/>
          </w:tcPr>
          <w:p>
            <w:pPr>
              <w:spacing w:after="0"/>
              <w:rPr>
                <w:sz w:val="20"/>
                <w:szCs w:val="20"/>
                <w:color w:val="auto"/>
              </w:rPr>
            </w:pPr>
            <w:r>
              <w:rPr>
                <w:rFonts w:ascii="Arial" w:cs="Arial" w:eastAsia="Arial" w:hAnsi="Arial"/>
                <w:sz w:val="18"/>
                <w:szCs w:val="18"/>
                <w:color w:val="auto"/>
              </w:rPr>
              <w:t>Earnings:</w:t>
            </w:r>
          </w:p>
        </w:tc>
        <w:tc>
          <w:tcPr>
            <w:tcW w:w="3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840" w:type="dxa"/>
            <w:vAlign w:val="bottom"/>
            <w:vMerge w:val="continue"/>
          </w:tcPr>
          <w:p>
            <w:pPr>
              <w:spacing w:after="0"/>
              <w:rPr>
                <w:sz w:val="17"/>
                <w:szCs w:val="17"/>
                <w:color w:val="auto"/>
              </w:rPr>
            </w:pPr>
          </w:p>
        </w:tc>
        <w:tc>
          <w:tcPr>
            <w:tcW w:w="3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840" w:type="dxa"/>
            <w:vAlign w:val="bottom"/>
          </w:tcPr>
          <w:p>
            <w:pPr>
              <w:spacing w:after="0" w:line="202" w:lineRule="exact"/>
              <w:rPr>
                <w:sz w:val="20"/>
                <w:szCs w:val="20"/>
                <w:color w:val="auto"/>
              </w:rPr>
            </w:pPr>
            <w:r>
              <w:rPr>
                <w:rFonts w:ascii="Arial" w:cs="Arial" w:eastAsia="Arial" w:hAnsi="Arial"/>
                <w:sz w:val="18"/>
                <w:szCs w:val="18"/>
                <w:color w:val="auto"/>
              </w:rPr>
              <w:t>Pretax income from</w:t>
            </w:r>
          </w:p>
        </w:tc>
        <w:tc>
          <w:tcPr>
            <w:tcW w:w="3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840" w:type="dxa"/>
            <w:vAlign w:val="bottom"/>
          </w:tcPr>
          <w:p>
            <w:pPr>
              <w:ind w:left="260"/>
              <w:spacing w:after="0" w:line="202" w:lineRule="exact"/>
              <w:rPr>
                <w:sz w:val="20"/>
                <w:szCs w:val="20"/>
                <w:color w:val="auto"/>
              </w:rPr>
            </w:pPr>
            <w:r>
              <w:rPr>
                <w:rFonts w:ascii="Arial" w:cs="Arial" w:eastAsia="Arial" w:hAnsi="Arial"/>
                <w:sz w:val="18"/>
                <w:szCs w:val="18"/>
                <w:color w:val="auto"/>
              </w:rPr>
              <w:t>continuing</w:t>
            </w:r>
          </w:p>
        </w:tc>
        <w:tc>
          <w:tcPr>
            <w:tcW w:w="3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840" w:type="dxa"/>
            <w:vAlign w:val="bottom"/>
          </w:tcPr>
          <w:p>
            <w:pPr>
              <w:ind w:left="260"/>
              <w:spacing w:after="0" w:line="202" w:lineRule="exact"/>
              <w:rPr>
                <w:sz w:val="20"/>
                <w:szCs w:val="20"/>
                <w:color w:val="auto"/>
              </w:rPr>
            </w:pPr>
            <w:r>
              <w:rPr>
                <w:rFonts w:ascii="Arial" w:cs="Arial" w:eastAsia="Arial" w:hAnsi="Arial"/>
                <w:sz w:val="18"/>
                <w:szCs w:val="18"/>
                <w:color w:val="auto"/>
              </w:rPr>
              <w:t>operations</w:t>
            </w:r>
          </w:p>
        </w:tc>
        <w:tc>
          <w:tcPr>
            <w:tcW w:w="3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880" w:type="dxa"/>
            <w:vAlign w:val="bottom"/>
          </w:tcPr>
          <w:p>
            <w:pPr>
              <w:jc w:val="right"/>
              <w:ind w:right="30"/>
              <w:spacing w:after="0" w:line="202" w:lineRule="exact"/>
              <w:rPr>
                <w:sz w:val="20"/>
                <w:szCs w:val="20"/>
                <w:color w:val="auto"/>
              </w:rPr>
            </w:pPr>
            <w:r>
              <w:rPr>
                <w:rFonts w:ascii="Arial" w:cs="Arial" w:eastAsia="Arial" w:hAnsi="Arial"/>
                <w:sz w:val="18"/>
                <w:szCs w:val="18"/>
                <w:color w:val="auto"/>
              </w:rPr>
              <w:t>397</w:t>
            </w:r>
          </w:p>
        </w:tc>
        <w:tc>
          <w:tcPr>
            <w:tcW w:w="76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w:t>
            </w:r>
          </w:p>
        </w:tc>
        <w:tc>
          <w:tcPr>
            <w:tcW w:w="880" w:type="dxa"/>
            <w:vAlign w:val="bottom"/>
          </w:tcPr>
          <w:p>
            <w:pPr>
              <w:jc w:val="right"/>
              <w:ind w:right="30"/>
              <w:spacing w:after="0" w:line="202" w:lineRule="exact"/>
              <w:rPr>
                <w:sz w:val="20"/>
                <w:szCs w:val="20"/>
                <w:color w:val="auto"/>
              </w:rPr>
            </w:pPr>
            <w:r>
              <w:rPr>
                <w:rFonts w:ascii="Arial" w:cs="Arial" w:eastAsia="Arial" w:hAnsi="Arial"/>
                <w:sz w:val="18"/>
                <w:szCs w:val="18"/>
                <w:color w:val="auto"/>
              </w:rPr>
              <w:t>391</w:t>
            </w:r>
          </w:p>
        </w:tc>
        <w:tc>
          <w:tcPr>
            <w:tcW w:w="76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w:t>
            </w:r>
          </w:p>
        </w:tc>
        <w:tc>
          <w:tcPr>
            <w:tcW w:w="880" w:type="dxa"/>
            <w:vAlign w:val="bottom"/>
          </w:tcPr>
          <w:p>
            <w:pPr>
              <w:jc w:val="right"/>
              <w:ind w:right="50"/>
              <w:spacing w:after="0" w:line="202" w:lineRule="exact"/>
              <w:rPr>
                <w:sz w:val="20"/>
                <w:szCs w:val="20"/>
                <w:color w:val="auto"/>
              </w:rPr>
            </w:pPr>
            <w:r>
              <w:rPr>
                <w:rFonts w:ascii="Arial" w:cs="Arial" w:eastAsia="Arial" w:hAnsi="Arial"/>
                <w:sz w:val="18"/>
                <w:szCs w:val="18"/>
                <w:color w:val="auto"/>
              </w:rPr>
              <w:t>385</w:t>
            </w:r>
          </w:p>
        </w:tc>
        <w:tc>
          <w:tcPr>
            <w:tcW w:w="74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w:t>
            </w:r>
          </w:p>
        </w:tc>
        <w:tc>
          <w:tcPr>
            <w:tcW w:w="900" w:type="dxa"/>
            <w:vAlign w:val="bottom"/>
          </w:tcPr>
          <w:p>
            <w:pPr>
              <w:jc w:val="right"/>
              <w:ind w:right="50"/>
              <w:spacing w:after="0" w:line="202" w:lineRule="exact"/>
              <w:rPr>
                <w:sz w:val="20"/>
                <w:szCs w:val="20"/>
                <w:color w:val="auto"/>
              </w:rPr>
            </w:pPr>
            <w:r>
              <w:rPr>
                <w:rFonts w:ascii="Arial" w:cs="Arial" w:eastAsia="Arial" w:hAnsi="Arial"/>
                <w:sz w:val="18"/>
                <w:szCs w:val="18"/>
                <w:color w:val="auto"/>
              </w:rPr>
              <w:t>418</w:t>
            </w:r>
          </w:p>
        </w:tc>
        <w:tc>
          <w:tcPr>
            <w:tcW w:w="74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w:t>
            </w:r>
          </w:p>
        </w:tc>
        <w:tc>
          <w:tcPr>
            <w:tcW w:w="880" w:type="dxa"/>
            <w:vAlign w:val="bottom"/>
          </w:tcPr>
          <w:p>
            <w:pPr>
              <w:jc w:val="right"/>
              <w:ind w:right="30"/>
              <w:spacing w:after="0" w:line="202" w:lineRule="exact"/>
              <w:rPr>
                <w:sz w:val="20"/>
                <w:szCs w:val="20"/>
                <w:color w:val="auto"/>
              </w:rPr>
            </w:pPr>
            <w:r>
              <w:rPr>
                <w:rFonts w:ascii="Arial" w:cs="Arial" w:eastAsia="Arial" w:hAnsi="Arial"/>
                <w:sz w:val="18"/>
                <w:szCs w:val="18"/>
                <w:color w:val="auto"/>
              </w:rPr>
              <w:t>463</w:t>
            </w:r>
          </w:p>
        </w:tc>
        <w:tc>
          <w:tcPr>
            <w:tcW w:w="7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880" w:type="dxa"/>
            <w:vAlign w:val="bottom"/>
          </w:tcPr>
          <w:p>
            <w:pPr>
              <w:jc w:val="right"/>
              <w:ind w:right="30"/>
              <w:spacing w:after="0" w:line="202" w:lineRule="exact"/>
              <w:rPr>
                <w:sz w:val="20"/>
                <w:szCs w:val="20"/>
                <w:color w:val="auto"/>
              </w:rPr>
            </w:pPr>
            <w:r>
              <w:rPr>
                <w:rFonts w:ascii="Arial" w:cs="Arial" w:eastAsia="Arial" w:hAnsi="Arial"/>
                <w:sz w:val="18"/>
                <w:szCs w:val="18"/>
                <w:color w:val="auto"/>
              </w:rPr>
              <w:t>193</w:t>
            </w:r>
          </w:p>
        </w:tc>
        <w:tc>
          <w:tcPr>
            <w:tcW w:w="0" w:type="dxa"/>
            <w:vAlign w:val="bottom"/>
          </w:tcPr>
          <w:p>
            <w:pPr>
              <w:spacing w:after="0"/>
              <w:rPr>
                <w:sz w:val="1"/>
                <w:szCs w:val="1"/>
                <w:color w:val="auto"/>
              </w:rPr>
            </w:pPr>
          </w:p>
        </w:tc>
      </w:tr>
      <w:tr>
        <w:trPr>
          <w:trHeight w:val="203"/>
        </w:trPr>
        <w:tc>
          <w:tcPr>
            <w:tcW w:w="1840" w:type="dxa"/>
            <w:vAlign w:val="bottom"/>
          </w:tcPr>
          <w:p>
            <w:pPr>
              <w:spacing w:after="0" w:line="202" w:lineRule="exact"/>
              <w:rPr>
                <w:sz w:val="20"/>
                <w:szCs w:val="20"/>
                <w:color w:val="auto"/>
              </w:rPr>
            </w:pPr>
            <w:r>
              <w:rPr>
                <w:rFonts w:ascii="Arial" w:cs="Arial" w:eastAsia="Arial" w:hAnsi="Arial"/>
                <w:sz w:val="18"/>
                <w:szCs w:val="18"/>
                <w:color w:val="auto"/>
              </w:rPr>
              <w:t>Add: Total fixed</w:t>
            </w:r>
          </w:p>
        </w:tc>
        <w:tc>
          <w:tcPr>
            <w:tcW w:w="3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840" w:type="dxa"/>
            <w:vAlign w:val="bottom"/>
          </w:tcPr>
          <w:p>
            <w:pPr>
              <w:ind w:left="260"/>
              <w:spacing w:after="0" w:line="202" w:lineRule="exact"/>
              <w:rPr>
                <w:sz w:val="20"/>
                <w:szCs w:val="20"/>
                <w:color w:val="auto"/>
              </w:rPr>
            </w:pPr>
            <w:r>
              <w:rPr>
                <w:rFonts w:ascii="Arial" w:cs="Arial" w:eastAsia="Arial" w:hAnsi="Arial"/>
                <w:sz w:val="18"/>
                <w:szCs w:val="18"/>
                <w:color w:val="auto"/>
              </w:rPr>
              <w:t>charges (from</w:t>
            </w:r>
          </w:p>
        </w:tc>
        <w:tc>
          <w:tcPr>
            <w:tcW w:w="3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840" w:type="dxa"/>
            <w:vAlign w:val="bottom"/>
          </w:tcPr>
          <w:p>
            <w:pPr>
              <w:ind w:left="260"/>
              <w:spacing w:after="0" w:line="202" w:lineRule="exact"/>
              <w:rPr>
                <w:sz w:val="20"/>
                <w:szCs w:val="20"/>
                <w:color w:val="auto"/>
              </w:rPr>
            </w:pPr>
            <w:r>
              <w:rPr>
                <w:rFonts w:ascii="Arial" w:cs="Arial" w:eastAsia="Arial" w:hAnsi="Arial"/>
                <w:sz w:val="18"/>
                <w:szCs w:val="18"/>
                <w:color w:val="auto"/>
              </w:rPr>
              <w:t>above)</w:t>
            </w:r>
          </w:p>
        </w:tc>
        <w:tc>
          <w:tcPr>
            <w:tcW w:w="380" w:type="dxa"/>
            <w:vAlign w:val="bottom"/>
          </w:tcPr>
          <w:p>
            <w:pPr>
              <w:spacing w:after="0"/>
              <w:rPr>
                <w:sz w:val="17"/>
                <w:szCs w:val="17"/>
                <w:color w:val="auto"/>
              </w:rPr>
            </w:pPr>
          </w:p>
        </w:tc>
        <w:tc>
          <w:tcPr>
            <w:tcW w:w="880" w:type="dxa"/>
            <w:vAlign w:val="bottom"/>
          </w:tcPr>
          <w:p>
            <w:pPr>
              <w:jc w:val="right"/>
              <w:ind w:right="30"/>
              <w:spacing w:after="0" w:line="202" w:lineRule="exact"/>
              <w:rPr>
                <w:sz w:val="20"/>
                <w:szCs w:val="20"/>
                <w:color w:val="auto"/>
              </w:rPr>
            </w:pPr>
            <w:r>
              <w:rPr>
                <w:rFonts w:ascii="Arial" w:cs="Arial" w:eastAsia="Arial" w:hAnsi="Arial"/>
                <w:sz w:val="18"/>
                <w:szCs w:val="18"/>
                <w:color w:val="auto"/>
              </w:rPr>
              <w:t>76</w:t>
            </w:r>
          </w:p>
        </w:tc>
        <w:tc>
          <w:tcPr>
            <w:tcW w:w="3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80" w:type="dxa"/>
            <w:vAlign w:val="bottom"/>
          </w:tcPr>
          <w:p>
            <w:pPr>
              <w:jc w:val="right"/>
              <w:ind w:right="30"/>
              <w:spacing w:after="0" w:line="202" w:lineRule="exact"/>
              <w:rPr>
                <w:sz w:val="20"/>
                <w:szCs w:val="20"/>
                <w:color w:val="auto"/>
              </w:rPr>
            </w:pPr>
            <w:r>
              <w:rPr>
                <w:rFonts w:ascii="Arial" w:cs="Arial" w:eastAsia="Arial" w:hAnsi="Arial"/>
                <w:sz w:val="18"/>
                <w:szCs w:val="18"/>
                <w:color w:val="auto"/>
              </w:rPr>
              <w:t>75</w:t>
            </w:r>
          </w:p>
        </w:tc>
        <w:tc>
          <w:tcPr>
            <w:tcW w:w="3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80" w:type="dxa"/>
            <w:vAlign w:val="bottom"/>
          </w:tcPr>
          <w:p>
            <w:pPr>
              <w:jc w:val="right"/>
              <w:ind w:right="50"/>
              <w:spacing w:after="0" w:line="202" w:lineRule="exact"/>
              <w:rPr>
                <w:sz w:val="20"/>
                <w:szCs w:val="20"/>
                <w:color w:val="auto"/>
              </w:rPr>
            </w:pPr>
            <w:r>
              <w:rPr>
                <w:rFonts w:ascii="Arial" w:cs="Arial" w:eastAsia="Arial" w:hAnsi="Arial"/>
                <w:sz w:val="18"/>
                <w:szCs w:val="18"/>
                <w:color w:val="auto"/>
              </w:rPr>
              <w:t>67</w:t>
            </w:r>
          </w:p>
        </w:tc>
        <w:tc>
          <w:tcPr>
            <w:tcW w:w="3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00" w:type="dxa"/>
            <w:vAlign w:val="bottom"/>
          </w:tcPr>
          <w:p>
            <w:pPr>
              <w:jc w:val="right"/>
              <w:ind w:right="50"/>
              <w:spacing w:after="0" w:line="202" w:lineRule="exact"/>
              <w:rPr>
                <w:sz w:val="20"/>
                <w:szCs w:val="20"/>
                <w:color w:val="auto"/>
              </w:rPr>
            </w:pPr>
            <w:r>
              <w:rPr>
                <w:rFonts w:ascii="Arial" w:cs="Arial" w:eastAsia="Arial" w:hAnsi="Arial"/>
                <w:sz w:val="18"/>
                <w:szCs w:val="18"/>
                <w:color w:val="auto"/>
              </w:rPr>
              <w:t>75</w:t>
            </w:r>
          </w:p>
        </w:tc>
        <w:tc>
          <w:tcPr>
            <w:tcW w:w="3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80" w:type="dxa"/>
            <w:vAlign w:val="bottom"/>
          </w:tcPr>
          <w:p>
            <w:pPr>
              <w:jc w:val="right"/>
              <w:ind w:right="30"/>
              <w:spacing w:after="0" w:line="202" w:lineRule="exact"/>
              <w:rPr>
                <w:sz w:val="20"/>
                <w:szCs w:val="20"/>
                <w:color w:val="auto"/>
              </w:rPr>
            </w:pPr>
            <w:r>
              <w:rPr>
                <w:rFonts w:ascii="Arial" w:cs="Arial" w:eastAsia="Arial" w:hAnsi="Arial"/>
                <w:sz w:val="18"/>
                <w:szCs w:val="18"/>
                <w:color w:val="auto"/>
              </w:rPr>
              <w:t>74</w:t>
            </w:r>
          </w:p>
        </w:tc>
        <w:tc>
          <w:tcPr>
            <w:tcW w:w="3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80" w:type="dxa"/>
            <w:vAlign w:val="bottom"/>
          </w:tcPr>
          <w:p>
            <w:pPr>
              <w:jc w:val="right"/>
              <w:ind w:right="30"/>
              <w:spacing w:after="0" w:line="202" w:lineRule="exact"/>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03"/>
        </w:trPr>
        <w:tc>
          <w:tcPr>
            <w:tcW w:w="1840" w:type="dxa"/>
            <w:vAlign w:val="bottom"/>
          </w:tcPr>
          <w:p>
            <w:pPr>
              <w:spacing w:after="0" w:line="202" w:lineRule="exact"/>
              <w:rPr>
                <w:sz w:val="20"/>
                <w:szCs w:val="20"/>
                <w:color w:val="auto"/>
              </w:rPr>
            </w:pPr>
            <w:r>
              <w:rPr>
                <w:rFonts w:ascii="Arial" w:cs="Arial" w:eastAsia="Arial" w:hAnsi="Arial"/>
                <w:sz w:val="18"/>
                <w:szCs w:val="18"/>
                <w:color w:val="auto"/>
              </w:rPr>
              <w:t>Less: Interest</w:t>
            </w:r>
          </w:p>
        </w:tc>
        <w:tc>
          <w:tcPr>
            <w:tcW w:w="380" w:type="dxa"/>
            <w:vAlign w:val="bottom"/>
          </w:tcPr>
          <w:p>
            <w:pPr>
              <w:spacing w:after="0"/>
              <w:rPr>
                <w:sz w:val="17"/>
                <w:szCs w:val="17"/>
                <w:color w:val="auto"/>
              </w:rPr>
            </w:pPr>
          </w:p>
        </w:tc>
        <w:tc>
          <w:tcPr>
            <w:tcW w:w="880" w:type="dxa"/>
            <w:vAlign w:val="bottom"/>
            <w:vMerge w:val="restart"/>
          </w:tcPr>
          <w:p>
            <w:pPr>
              <w:jc w:val="right"/>
              <w:ind w:right="30"/>
              <w:spacing w:after="0"/>
              <w:rPr>
                <w:sz w:val="20"/>
                <w:szCs w:val="20"/>
                <w:color w:val="auto"/>
              </w:rPr>
            </w:pPr>
            <w:r>
              <w:rPr>
                <w:rFonts w:ascii="Arial" w:cs="Arial" w:eastAsia="Arial" w:hAnsi="Arial"/>
                <w:sz w:val="18"/>
                <w:szCs w:val="18"/>
                <w:color w:val="auto"/>
              </w:rPr>
              <w:t>1</w:t>
            </w:r>
          </w:p>
        </w:tc>
        <w:tc>
          <w:tcPr>
            <w:tcW w:w="3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80" w:type="dxa"/>
            <w:vAlign w:val="bottom"/>
            <w:vMerge w:val="restart"/>
          </w:tcPr>
          <w:p>
            <w:pPr>
              <w:jc w:val="right"/>
              <w:ind w:right="30"/>
              <w:spacing w:after="0"/>
              <w:rPr>
                <w:sz w:val="20"/>
                <w:szCs w:val="20"/>
                <w:color w:val="auto"/>
              </w:rPr>
            </w:pPr>
            <w:r>
              <w:rPr>
                <w:rFonts w:ascii="Arial" w:cs="Arial" w:eastAsia="Arial" w:hAnsi="Arial"/>
                <w:sz w:val="18"/>
                <w:szCs w:val="18"/>
                <w:color w:val="auto"/>
              </w:rPr>
              <w:t>1</w:t>
            </w:r>
          </w:p>
        </w:tc>
        <w:tc>
          <w:tcPr>
            <w:tcW w:w="3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80" w:type="dxa"/>
            <w:vAlign w:val="bottom"/>
            <w:vMerge w:val="restart"/>
          </w:tcPr>
          <w:p>
            <w:pPr>
              <w:jc w:val="right"/>
              <w:ind w:right="5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00" w:type="dxa"/>
            <w:vAlign w:val="bottom"/>
            <w:vMerge w:val="restart"/>
          </w:tcPr>
          <w:p>
            <w:pPr>
              <w:jc w:val="right"/>
              <w:ind w:right="50"/>
              <w:spacing w:after="0"/>
              <w:rPr>
                <w:sz w:val="20"/>
                <w:szCs w:val="20"/>
                <w:color w:val="auto"/>
              </w:rPr>
            </w:pPr>
            <w:r>
              <w:rPr>
                <w:rFonts w:ascii="Arial" w:cs="Arial" w:eastAsia="Arial" w:hAnsi="Arial"/>
                <w:sz w:val="18"/>
                <w:szCs w:val="18"/>
                <w:color w:val="auto"/>
              </w:rPr>
              <w:t>1</w:t>
            </w:r>
          </w:p>
        </w:tc>
        <w:tc>
          <w:tcPr>
            <w:tcW w:w="3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80" w:type="dxa"/>
            <w:vAlign w:val="bottom"/>
            <w:vMerge w:val="restart"/>
          </w:tcPr>
          <w:p>
            <w:pPr>
              <w:jc w:val="right"/>
              <w:ind w:right="30"/>
              <w:spacing w:after="0"/>
              <w:rPr>
                <w:sz w:val="20"/>
                <w:szCs w:val="20"/>
                <w:color w:val="auto"/>
              </w:rPr>
            </w:pPr>
            <w:r>
              <w:rPr>
                <w:rFonts w:ascii="Arial" w:cs="Arial" w:eastAsia="Arial" w:hAnsi="Arial"/>
                <w:sz w:val="18"/>
                <w:szCs w:val="18"/>
                <w:color w:val="auto"/>
              </w:rPr>
              <w:t>1</w:t>
            </w:r>
          </w:p>
        </w:tc>
        <w:tc>
          <w:tcPr>
            <w:tcW w:w="3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80" w:type="dxa"/>
            <w:vAlign w:val="bottom"/>
            <w:vMerge w:val="restart"/>
          </w:tcPr>
          <w:p>
            <w:pPr>
              <w:jc w:val="right"/>
              <w:ind w:righ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0"/>
        </w:trPr>
        <w:tc>
          <w:tcPr>
            <w:tcW w:w="1840" w:type="dxa"/>
            <w:vAlign w:val="bottom"/>
          </w:tcPr>
          <w:p>
            <w:pPr>
              <w:ind w:left="260"/>
              <w:spacing w:after="0" w:line="190" w:lineRule="exact"/>
              <w:rPr>
                <w:sz w:val="20"/>
                <w:szCs w:val="20"/>
                <w:color w:val="auto"/>
              </w:rPr>
            </w:pPr>
            <w:r>
              <w:rPr>
                <w:rFonts w:ascii="Arial" w:cs="Arial" w:eastAsia="Arial" w:hAnsi="Arial"/>
                <w:sz w:val="18"/>
                <w:szCs w:val="18"/>
                <w:color w:val="auto"/>
              </w:rPr>
              <w:t>capitalized</w:t>
            </w:r>
          </w:p>
        </w:tc>
        <w:tc>
          <w:tcPr>
            <w:tcW w:w="3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36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36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34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vMerge w:val="continue"/>
          </w:tcPr>
          <w:p>
            <w:pPr>
              <w:spacing w:after="0"/>
              <w:rPr>
                <w:sz w:val="16"/>
                <w:szCs w:val="16"/>
                <w:color w:val="auto"/>
              </w:rPr>
            </w:pPr>
          </w:p>
        </w:tc>
        <w:tc>
          <w:tcPr>
            <w:tcW w:w="34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36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1840" w:type="dxa"/>
            <w:vAlign w:val="bottom"/>
          </w:tcPr>
          <w:p>
            <w:pPr>
              <w:spacing w:after="0" w:line="195" w:lineRule="exact"/>
              <w:rPr>
                <w:sz w:val="20"/>
                <w:szCs w:val="20"/>
                <w:color w:val="auto"/>
              </w:rPr>
            </w:pPr>
            <w:r>
              <w:rPr>
                <w:rFonts w:ascii="Arial" w:cs="Arial" w:eastAsia="Arial" w:hAnsi="Arial"/>
                <w:sz w:val="18"/>
                <w:szCs w:val="18"/>
                <w:color w:val="auto"/>
              </w:rPr>
              <w:t>Total earnings for</w:t>
            </w:r>
          </w:p>
        </w:tc>
        <w:tc>
          <w:tcPr>
            <w:tcW w:w="38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880" w:type="dxa"/>
            <w:vAlign w:val="bottom"/>
            <w:vMerge w:val="restart"/>
          </w:tcPr>
          <w:p>
            <w:pPr>
              <w:jc w:val="right"/>
              <w:ind w:right="30"/>
              <w:spacing w:after="0"/>
              <w:rPr>
                <w:sz w:val="20"/>
                <w:szCs w:val="20"/>
                <w:color w:val="auto"/>
              </w:rPr>
            </w:pPr>
            <w:r>
              <w:rPr>
                <w:rFonts w:ascii="Arial" w:cs="Arial" w:eastAsia="Arial" w:hAnsi="Arial"/>
                <w:sz w:val="18"/>
                <w:szCs w:val="18"/>
                <w:color w:val="auto"/>
              </w:rPr>
              <w:t>472</w:t>
            </w:r>
          </w:p>
        </w:tc>
        <w:tc>
          <w:tcPr>
            <w:tcW w:w="760" w:type="dxa"/>
            <w:vAlign w:val="bottom"/>
            <w:gridSpan w:val="2"/>
            <w:vMerge w:val="restart"/>
          </w:tcPr>
          <w:p>
            <w:pPr>
              <w:jc w:val="right"/>
              <w:ind w:right="40"/>
              <w:spacing w:after="0"/>
              <w:rPr>
                <w:sz w:val="20"/>
                <w:szCs w:val="20"/>
                <w:color w:val="auto"/>
              </w:rPr>
            </w:pPr>
            <w:r>
              <w:rPr>
                <w:rFonts w:ascii="Arial" w:cs="Arial" w:eastAsia="Arial" w:hAnsi="Arial"/>
                <w:sz w:val="18"/>
                <w:szCs w:val="18"/>
                <w:color w:val="auto"/>
              </w:rPr>
              <w:t>$</w:t>
            </w:r>
          </w:p>
        </w:tc>
        <w:tc>
          <w:tcPr>
            <w:tcW w:w="880" w:type="dxa"/>
            <w:vAlign w:val="bottom"/>
            <w:vMerge w:val="restart"/>
          </w:tcPr>
          <w:p>
            <w:pPr>
              <w:jc w:val="right"/>
              <w:ind w:right="30"/>
              <w:spacing w:after="0"/>
              <w:rPr>
                <w:sz w:val="20"/>
                <w:szCs w:val="20"/>
                <w:color w:val="auto"/>
              </w:rPr>
            </w:pPr>
            <w:r>
              <w:rPr>
                <w:rFonts w:ascii="Arial" w:cs="Arial" w:eastAsia="Arial" w:hAnsi="Arial"/>
                <w:sz w:val="18"/>
                <w:szCs w:val="18"/>
                <w:color w:val="auto"/>
              </w:rPr>
              <w:t>465</w:t>
            </w:r>
          </w:p>
        </w:tc>
        <w:tc>
          <w:tcPr>
            <w:tcW w:w="760" w:type="dxa"/>
            <w:vAlign w:val="bottom"/>
            <w:gridSpan w:val="2"/>
            <w:vMerge w:val="restart"/>
          </w:tcPr>
          <w:p>
            <w:pPr>
              <w:jc w:val="right"/>
              <w:ind w:right="60"/>
              <w:spacing w:after="0"/>
              <w:rPr>
                <w:sz w:val="20"/>
                <w:szCs w:val="20"/>
                <w:color w:val="auto"/>
              </w:rPr>
            </w:pPr>
            <w:r>
              <w:rPr>
                <w:rFonts w:ascii="Arial" w:cs="Arial" w:eastAsia="Arial" w:hAnsi="Arial"/>
                <w:sz w:val="18"/>
                <w:szCs w:val="18"/>
                <w:color w:val="auto"/>
              </w:rPr>
              <w:t>$</w:t>
            </w:r>
          </w:p>
        </w:tc>
        <w:tc>
          <w:tcPr>
            <w:tcW w:w="880" w:type="dxa"/>
            <w:vAlign w:val="bottom"/>
            <w:vMerge w:val="restart"/>
          </w:tcPr>
          <w:p>
            <w:pPr>
              <w:jc w:val="right"/>
              <w:ind w:right="50"/>
              <w:spacing w:after="0"/>
              <w:rPr>
                <w:sz w:val="20"/>
                <w:szCs w:val="20"/>
                <w:color w:val="auto"/>
              </w:rPr>
            </w:pPr>
            <w:r>
              <w:rPr>
                <w:rFonts w:ascii="Arial" w:cs="Arial" w:eastAsia="Arial" w:hAnsi="Arial"/>
                <w:sz w:val="18"/>
                <w:szCs w:val="18"/>
                <w:color w:val="auto"/>
              </w:rPr>
              <w:t>452</w:t>
            </w:r>
          </w:p>
        </w:tc>
        <w:tc>
          <w:tcPr>
            <w:tcW w:w="740" w:type="dxa"/>
            <w:vAlign w:val="bottom"/>
            <w:gridSpan w:val="2"/>
            <w:vMerge w:val="restart"/>
          </w:tcPr>
          <w:p>
            <w:pPr>
              <w:jc w:val="right"/>
              <w:ind w:right="40"/>
              <w:spacing w:after="0"/>
              <w:rPr>
                <w:sz w:val="20"/>
                <w:szCs w:val="20"/>
                <w:color w:val="auto"/>
              </w:rPr>
            </w:pPr>
            <w:r>
              <w:rPr>
                <w:rFonts w:ascii="Arial" w:cs="Arial" w:eastAsia="Arial" w:hAnsi="Arial"/>
                <w:sz w:val="18"/>
                <w:szCs w:val="18"/>
                <w:color w:val="auto"/>
              </w:rPr>
              <w:t>$</w:t>
            </w:r>
          </w:p>
        </w:tc>
        <w:tc>
          <w:tcPr>
            <w:tcW w:w="900" w:type="dxa"/>
            <w:vAlign w:val="bottom"/>
            <w:vMerge w:val="restart"/>
          </w:tcPr>
          <w:p>
            <w:pPr>
              <w:jc w:val="right"/>
              <w:ind w:right="50"/>
              <w:spacing w:after="0"/>
              <w:rPr>
                <w:sz w:val="20"/>
                <w:szCs w:val="20"/>
                <w:color w:val="auto"/>
              </w:rPr>
            </w:pPr>
            <w:r>
              <w:rPr>
                <w:rFonts w:ascii="Arial" w:cs="Arial" w:eastAsia="Arial" w:hAnsi="Arial"/>
                <w:sz w:val="18"/>
                <w:szCs w:val="18"/>
                <w:color w:val="auto"/>
              </w:rPr>
              <w:t>492</w:t>
            </w:r>
          </w:p>
        </w:tc>
        <w:tc>
          <w:tcPr>
            <w:tcW w:w="740" w:type="dxa"/>
            <w:vAlign w:val="bottom"/>
            <w:gridSpan w:val="2"/>
            <w:vMerge w:val="restart"/>
          </w:tcPr>
          <w:p>
            <w:pPr>
              <w:jc w:val="right"/>
              <w:ind w:right="40"/>
              <w:spacing w:after="0"/>
              <w:rPr>
                <w:sz w:val="20"/>
                <w:szCs w:val="20"/>
                <w:color w:val="auto"/>
              </w:rPr>
            </w:pPr>
            <w:r>
              <w:rPr>
                <w:rFonts w:ascii="Arial" w:cs="Arial" w:eastAsia="Arial" w:hAnsi="Arial"/>
                <w:sz w:val="18"/>
                <w:szCs w:val="18"/>
                <w:color w:val="auto"/>
              </w:rPr>
              <w:t>$</w:t>
            </w:r>
          </w:p>
        </w:tc>
        <w:tc>
          <w:tcPr>
            <w:tcW w:w="880" w:type="dxa"/>
            <w:vAlign w:val="bottom"/>
            <w:vMerge w:val="restart"/>
          </w:tcPr>
          <w:p>
            <w:pPr>
              <w:jc w:val="right"/>
              <w:ind w:right="30"/>
              <w:spacing w:after="0"/>
              <w:rPr>
                <w:sz w:val="20"/>
                <w:szCs w:val="20"/>
                <w:color w:val="auto"/>
              </w:rPr>
            </w:pPr>
            <w:r>
              <w:rPr>
                <w:rFonts w:ascii="Arial" w:cs="Arial" w:eastAsia="Arial" w:hAnsi="Arial"/>
                <w:sz w:val="18"/>
                <w:szCs w:val="18"/>
                <w:color w:val="auto"/>
              </w:rPr>
              <w:t>536</w:t>
            </w:r>
          </w:p>
        </w:tc>
        <w:tc>
          <w:tcPr>
            <w:tcW w:w="76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880" w:type="dxa"/>
            <w:vAlign w:val="bottom"/>
            <w:vMerge w:val="restart"/>
          </w:tcPr>
          <w:p>
            <w:pPr>
              <w:jc w:val="right"/>
              <w:ind w:right="30"/>
              <w:spacing w:after="0"/>
              <w:rPr>
                <w:sz w:val="20"/>
                <w:szCs w:val="20"/>
                <w:color w:val="auto"/>
              </w:rPr>
            </w:pPr>
            <w:r>
              <w:rPr>
                <w:rFonts w:ascii="Arial" w:cs="Arial" w:eastAsia="Arial" w:hAnsi="Arial"/>
                <w:sz w:val="18"/>
                <w:szCs w:val="18"/>
                <w:color w:val="auto"/>
              </w:rPr>
              <w:t>233</w:t>
            </w:r>
          </w:p>
        </w:tc>
        <w:tc>
          <w:tcPr>
            <w:tcW w:w="0" w:type="dxa"/>
            <w:vAlign w:val="bottom"/>
          </w:tcPr>
          <w:p>
            <w:pPr>
              <w:spacing w:after="0"/>
              <w:rPr>
                <w:sz w:val="1"/>
                <w:szCs w:val="1"/>
                <w:color w:val="auto"/>
              </w:rPr>
            </w:pPr>
          </w:p>
        </w:tc>
      </w:tr>
      <w:tr>
        <w:trPr>
          <w:trHeight w:val="163"/>
        </w:trPr>
        <w:tc>
          <w:tcPr>
            <w:tcW w:w="1840" w:type="dxa"/>
            <w:vAlign w:val="bottom"/>
          </w:tcPr>
          <w:p>
            <w:pPr>
              <w:ind w:left="260"/>
              <w:spacing w:after="0" w:line="143" w:lineRule="exact"/>
              <w:rPr>
                <w:sz w:val="20"/>
                <w:szCs w:val="20"/>
                <w:color w:val="auto"/>
              </w:rPr>
            </w:pPr>
            <w:r>
              <w:rPr>
                <w:rFonts w:ascii="Arial" w:cs="Arial" w:eastAsia="Arial" w:hAnsi="Arial"/>
                <w:sz w:val="16"/>
                <w:szCs w:val="16"/>
                <w:color w:val="auto"/>
              </w:rPr>
              <w:t>purpose of ratio</w:t>
            </w:r>
          </w:p>
        </w:tc>
        <w:tc>
          <w:tcPr>
            <w:tcW w:w="38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900" w:type="dxa"/>
            <w:vAlign w:val="bottom"/>
            <w:vMerge w:val="continue"/>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840" w:type="dxa"/>
            <w:vAlign w:val="bottom"/>
            <w:vMerge w:val="restart"/>
          </w:tcPr>
          <w:p>
            <w:pPr>
              <w:spacing w:after="0"/>
              <w:rPr>
                <w:sz w:val="20"/>
                <w:szCs w:val="20"/>
                <w:color w:val="auto"/>
              </w:rPr>
            </w:pPr>
            <w:r>
              <w:rPr>
                <w:rFonts w:ascii="Arial" w:cs="Arial" w:eastAsia="Arial" w:hAnsi="Arial"/>
                <w:sz w:val="18"/>
                <w:szCs w:val="18"/>
                <w:color w:val="auto"/>
              </w:rPr>
              <w:t>Ratio of earnings to</w:t>
            </w:r>
          </w:p>
        </w:tc>
        <w:tc>
          <w:tcPr>
            <w:tcW w:w="3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1840" w:type="dxa"/>
            <w:vAlign w:val="bottom"/>
            <w:vMerge w:val="continue"/>
          </w:tcPr>
          <w:p>
            <w:pPr>
              <w:spacing w:after="0"/>
              <w:rPr>
                <w:sz w:val="15"/>
                <w:szCs w:val="15"/>
                <w:color w:val="auto"/>
              </w:rPr>
            </w:pPr>
          </w:p>
        </w:tc>
        <w:tc>
          <w:tcPr>
            <w:tcW w:w="3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1840" w:type="dxa"/>
            <w:vAlign w:val="bottom"/>
          </w:tcPr>
          <w:p>
            <w:pPr>
              <w:ind w:left="260"/>
              <w:spacing w:after="0" w:line="202" w:lineRule="exact"/>
              <w:rPr>
                <w:sz w:val="20"/>
                <w:szCs w:val="20"/>
                <w:color w:val="auto"/>
              </w:rPr>
            </w:pPr>
            <w:r>
              <w:rPr>
                <w:rFonts w:ascii="Arial" w:cs="Arial" w:eastAsia="Arial" w:hAnsi="Arial"/>
                <w:sz w:val="18"/>
                <w:szCs w:val="18"/>
                <w:color w:val="auto"/>
              </w:rPr>
              <w:t>combined fixed</w:t>
            </w:r>
          </w:p>
        </w:tc>
        <w:tc>
          <w:tcPr>
            <w:tcW w:w="3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840" w:type="dxa"/>
            <w:vAlign w:val="bottom"/>
          </w:tcPr>
          <w:p>
            <w:pPr>
              <w:ind w:left="260"/>
              <w:spacing w:after="0" w:line="202" w:lineRule="exact"/>
              <w:rPr>
                <w:sz w:val="20"/>
                <w:szCs w:val="20"/>
                <w:color w:val="auto"/>
              </w:rPr>
            </w:pPr>
            <w:r>
              <w:rPr>
                <w:rFonts w:ascii="Arial" w:cs="Arial" w:eastAsia="Arial" w:hAnsi="Arial"/>
                <w:sz w:val="18"/>
                <w:szCs w:val="18"/>
                <w:color w:val="auto"/>
              </w:rPr>
              <w:t>charges and</w:t>
            </w:r>
          </w:p>
        </w:tc>
        <w:tc>
          <w:tcPr>
            <w:tcW w:w="3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840" w:type="dxa"/>
            <w:vAlign w:val="bottom"/>
          </w:tcPr>
          <w:p>
            <w:pPr>
              <w:ind w:left="260"/>
              <w:spacing w:after="0" w:line="202" w:lineRule="exact"/>
              <w:rPr>
                <w:sz w:val="20"/>
                <w:szCs w:val="20"/>
                <w:color w:val="auto"/>
              </w:rPr>
            </w:pPr>
            <w:r>
              <w:rPr>
                <w:rFonts w:ascii="Arial" w:cs="Arial" w:eastAsia="Arial" w:hAnsi="Arial"/>
                <w:sz w:val="18"/>
                <w:szCs w:val="18"/>
                <w:color w:val="auto"/>
              </w:rPr>
              <w:t>preferred stock</w:t>
            </w:r>
          </w:p>
        </w:tc>
        <w:tc>
          <w:tcPr>
            <w:tcW w:w="380" w:type="dxa"/>
            <w:vAlign w:val="bottom"/>
          </w:tcPr>
          <w:p>
            <w:pPr>
              <w:spacing w:after="0"/>
              <w:rPr>
                <w:sz w:val="17"/>
                <w:szCs w:val="17"/>
                <w:color w:val="auto"/>
              </w:rPr>
            </w:pPr>
          </w:p>
        </w:tc>
        <w:tc>
          <w:tcPr>
            <w:tcW w:w="880" w:type="dxa"/>
            <w:vAlign w:val="bottom"/>
            <w:vMerge w:val="restart"/>
          </w:tcPr>
          <w:p>
            <w:pPr>
              <w:jc w:val="right"/>
              <w:ind w:right="30"/>
              <w:spacing w:after="0"/>
              <w:rPr>
                <w:sz w:val="20"/>
                <w:szCs w:val="20"/>
                <w:color w:val="auto"/>
              </w:rPr>
            </w:pPr>
            <w:r>
              <w:rPr>
                <w:rFonts w:ascii="Arial" w:cs="Arial" w:eastAsia="Arial" w:hAnsi="Arial"/>
                <w:sz w:val="18"/>
                <w:szCs w:val="18"/>
                <w:color w:val="auto"/>
              </w:rPr>
              <w:t>6.05</w:t>
            </w:r>
          </w:p>
        </w:tc>
        <w:tc>
          <w:tcPr>
            <w:tcW w:w="3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80" w:type="dxa"/>
            <w:vAlign w:val="bottom"/>
            <w:vMerge w:val="restart"/>
          </w:tcPr>
          <w:p>
            <w:pPr>
              <w:jc w:val="right"/>
              <w:ind w:right="30"/>
              <w:spacing w:after="0"/>
              <w:rPr>
                <w:sz w:val="20"/>
                <w:szCs w:val="20"/>
                <w:color w:val="auto"/>
              </w:rPr>
            </w:pPr>
            <w:r>
              <w:rPr>
                <w:rFonts w:ascii="Arial" w:cs="Arial" w:eastAsia="Arial" w:hAnsi="Arial"/>
                <w:sz w:val="18"/>
                <w:szCs w:val="18"/>
                <w:color w:val="auto"/>
              </w:rPr>
              <w:t>6.04</w:t>
            </w:r>
          </w:p>
        </w:tc>
        <w:tc>
          <w:tcPr>
            <w:tcW w:w="3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80" w:type="dxa"/>
            <w:vAlign w:val="bottom"/>
            <w:vMerge w:val="restart"/>
          </w:tcPr>
          <w:p>
            <w:pPr>
              <w:jc w:val="right"/>
              <w:ind w:right="50"/>
              <w:spacing w:after="0"/>
              <w:rPr>
                <w:sz w:val="20"/>
                <w:szCs w:val="20"/>
                <w:color w:val="auto"/>
              </w:rPr>
            </w:pPr>
            <w:r>
              <w:rPr>
                <w:rFonts w:ascii="Arial" w:cs="Arial" w:eastAsia="Arial" w:hAnsi="Arial"/>
                <w:sz w:val="18"/>
                <w:szCs w:val="18"/>
                <w:color w:val="auto"/>
              </w:rPr>
              <w:t>6.55</w:t>
            </w:r>
          </w:p>
        </w:tc>
        <w:tc>
          <w:tcPr>
            <w:tcW w:w="3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00" w:type="dxa"/>
            <w:vAlign w:val="bottom"/>
            <w:vMerge w:val="restart"/>
          </w:tcPr>
          <w:p>
            <w:pPr>
              <w:jc w:val="right"/>
              <w:ind w:right="50"/>
              <w:spacing w:after="0"/>
              <w:rPr>
                <w:sz w:val="20"/>
                <w:szCs w:val="20"/>
                <w:color w:val="auto"/>
              </w:rPr>
            </w:pPr>
            <w:r>
              <w:rPr>
                <w:rFonts w:ascii="Arial" w:cs="Arial" w:eastAsia="Arial" w:hAnsi="Arial"/>
                <w:sz w:val="18"/>
                <w:szCs w:val="18"/>
                <w:color w:val="auto"/>
              </w:rPr>
              <w:t>6.39</w:t>
            </w:r>
          </w:p>
        </w:tc>
        <w:tc>
          <w:tcPr>
            <w:tcW w:w="3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80" w:type="dxa"/>
            <w:vAlign w:val="bottom"/>
            <w:vMerge w:val="restart"/>
          </w:tcPr>
          <w:p>
            <w:pPr>
              <w:jc w:val="right"/>
              <w:ind w:right="30"/>
              <w:spacing w:after="0"/>
              <w:rPr>
                <w:sz w:val="20"/>
                <w:szCs w:val="20"/>
                <w:color w:val="auto"/>
              </w:rPr>
            </w:pPr>
            <w:r>
              <w:rPr>
                <w:rFonts w:ascii="Arial" w:cs="Arial" w:eastAsia="Arial" w:hAnsi="Arial"/>
                <w:sz w:val="18"/>
                <w:szCs w:val="18"/>
                <w:color w:val="auto"/>
              </w:rPr>
              <w:t>7.05</w:t>
            </w:r>
          </w:p>
        </w:tc>
        <w:tc>
          <w:tcPr>
            <w:tcW w:w="3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80" w:type="dxa"/>
            <w:vAlign w:val="bottom"/>
            <w:vMerge w:val="restart"/>
          </w:tcPr>
          <w:p>
            <w:pPr>
              <w:jc w:val="right"/>
              <w:ind w:right="30"/>
              <w:spacing w:after="0"/>
              <w:rPr>
                <w:sz w:val="20"/>
                <w:szCs w:val="20"/>
                <w:color w:val="auto"/>
              </w:rPr>
            </w:pPr>
            <w:r>
              <w:rPr>
                <w:rFonts w:ascii="Arial" w:cs="Arial" w:eastAsia="Arial" w:hAnsi="Arial"/>
                <w:sz w:val="18"/>
                <w:szCs w:val="18"/>
                <w:color w:val="auto"/>
              </w:rPr>
              <w:t>5.55</w:t>
            </w:r>
          </w:p>
        </w:tc>
        <w:tc>
          <w:tcPr>
            <w:tcW w:w="0" w:type="dxa"/>
            <w:vAlign w:val="bottom"/>
          </w:tcPr>
          <w:p>
            <w:pPr>
              <w:spacing w:after="0"/>
              <w:rPr>
                <w:sz w:val="1"/>
                <w:szCs w:val="1"/>
                <w:color w:val="auto"/>
              </w:rPr>
            </w:pPr>
          </w:p>
        </w:tc>
      </w:tr>
      <w:tr>
        <w:trPr>
          <w:trHeight w:val="163"/>
        </w:trPr>
        <w:tc>
          <w:tcPr>
            <w:tcW w:w="1840" w:type="dxa"/>
            <w:vAlign w:val="bottom"/>
          </w:tcPr>
          <w:p>
            <w:pPr>
              <w:ind w:left="260"/>
              <w:spacing w:after="0" w:line="143" w:lineRule="exact"/>
              <w:rPr>
                <w:sz w:val="20"/>
                <w:szCs w:val="20"/>
                <w:color w:val="auto"/>
              </w:rPr>
            </w:pPr>
            <w:r>
              <w:rPr>
                <w:rFonts w:ascii="Arial" w:cs="Arial" w:eastAsia="Arial" w:hAnsi="Arial"/>
                <w:sz w:val="16"/>
                <w:szCs w:val="16"/>
                <w:color w:val="auto"/>
              </w:rPr>
              <w:t>dividends</w:t>
            </w:r>
          </w:p>
        </w:tc>
        <w:tc>
          <w:tcPr>
            <w:tcW w:w="3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vMerge w:val="continue"/>
          </w:tcPr>
          <w:p>
            <w:pPr>
              <w:spacing w:after="0"/>
              <w:rPr>
                <w:sz w:val="14"/>
                <w:szCs w:val="14"/>
                <w:color w:val="auto"/>
              </w:rPr>
            </w:pPr>
          </w:p>
        </w:tc>
        <w:tc>
          <w:tcPr>
            <w:tcW w:w="360" w:type="dxa"/>
            <w:vAlign w:val="bottom"/>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vMerge w:val="continue"/>
          </w:tcPr>
          <w:p>
            <w:pPr>
              <w:spacing w:after="0"/>
              <w:rPr>
                <w:sz w:val="14"/>
                <w:szCs w:val="14"/>
                <w:color w:val="auto"/>
              </w:rPr>
            </w:pPr>
          </w:p>
        </w:tc>
        <w:tc>
          <w:tcPr>
            <w:tcW w:w="360" w:type="dxa"/>
            <w:vAlign w:val="bottom"/>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vMerge w:val="continue"/>
          </w:tcPr>
          <w:p>
            <w:pPr>
              <w:spacing w:after="0"/>
              <w:rPr>
                <w:sz w:val="14"/>
                <w:szCs w:val="14"/>
                <w:color w:val="auto"/>
              </w:rPr>
            </w:pPr>
          </w:p>
        </w:tc>
        <w:tc>
          <w:tcPr>
            <w:tcW w:w="340" w:type="dxa"/>
            <w:vAlign w:val="bottom"/>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vMerge w:val="continue"/>
          </w:tcPr>
          <w:p>
            <w:pPr>
              <w:spacing w:after="0"/>
              <w:rPr>
                <w:sz w:val="14"/>
                <w:szCs w:val="14"/>
                <w:color w:val="auto"/>
              </w:rPr>
            </w:pPr>
          </w:p>
        </w:tc>
        <w:tc>
          <w:tcPr>
            <w:tcW w:w="340" w:type="dxa"/>
            <w:vAlign w:val="bottom"/>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vMerge w:val="continue"/>
          </w:tcPr>
          <w:p>
            <w:pPr>
              <w:spacing w:after="0"/>
              <w:rPr>
                <w:sz w:val="14"/>
                <w:szCs w:val="14"/>
                <w:color w:val="auto"/>
              </w:rPr>
            </w:pPr>
          </w:p>
        </w:tc>
        <w:tc>
          <w:tcPr>
            <w:tcW w:w="360" w:type="dxa"/>
            <w:vAlign w:val="bottom"/>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840" w:type="dxa"/>
            <w:vAlign w:val="bottom"/>
            <w:vMerge w:val="restart"/>
          </w:tcPr>
          <w:p>
            <w:pPr>
              <w:spacing w:after="0"/>
              <w:rPr>
                <w:sz w:val="20"/>
                <w:szCs w:val="20"/>
                <w:color w:val="auto"/>
              </w:rPr>
            </w:pPr>
            <w:r>
              <w:rPr>
                <w:rFonts w:ascii="Arial" w:cs="Arial" w:eastAsia="Arial" w:hAnsi="Arial"/>
                <w:sz w:val="18"/>
                <w:szCs w:val="18"/>
                <w:color w:val="auto"/>
              </w:rPr>
              <w:t>Ratio of earnings to</w:t>
            </w:r>
          </w:p>
        </w:tc>
        <w:tc>
          <w:tcPr>
            <w:tcW w:w="3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8"/>
        </w:trPr>
        <w:tc>
          <w:tcPr>
            <w:tcW w:w="1840" w:type="dxa"/>
            <w:vAlign w:val="bottom"/>
            <w:vMerge w:val="continue"/>
          </w:tcPr>
          <w:p>
            <w:pPr>
              <w:spacing w:after="0"/>
              <w:rPr>
                <w:sz w:val="24"/>
                <w:szCs w:val="24"/>
                <w:color w:val="auto"/>
              </w:rPr>
            </w:pPr>
          </w:p>
        </w:tc>
        <w:tc>
          <w:tcPr>
            <w:tcW w:w="380" w:type="dxa"/>
            <w:vAlign w:val="bottom"/>
          </w:tcPr>
          <w:p>
            <w:pPr>
              <w:spacing w:after="0"/>
              <w:rPr>
                <w:sz w:val="24"/>
                <w:szCs w:val="24"/>
                <w:color w:val="auto"/>
              </w:rPr>
            </w:pPr>
          </w:p>
        </w:tc>
        <w:tc>
          <w:tcPr>
            <w:tcW w:w="880" w:type="dxa"/>
            <w:vAlign w:val="bottom"/>
            <w:vMerge w:val="restart"/>
          </w:tcPr>
          <w:p>
            <w:pPr>
              <w:jc w:val="right"/>
              <w:ind w:right="30"/>
              <w:spacing w:after="0"/>
              <w:rPr>
                <w:sz w:val="20"/>
                <w:szCs w:val="20"/>
                <w:color w:val="auto"/>
              </w:rPr>
            </w:pPr>
            <w:r>
              <w:rPr>
                <w:rFonts w:ascii="Arial" w:cs="Arial" w:eastAsia="Arial" w:hAnsi="Arial"/>
                <w:sz w:val="18"/>
                <w:szCs w:val="18"/>
                <w:color w:val="auto"/>
              </w:rPr>
              <w:t>6.21</w:t>
            </w:r>
          </w:p>
        </w:tc>
        <w:tc>
          <w:tcPr>
            <w:tcW w:w="3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80" w:type="dxa"/>
            <w:vAlign w:val="bottom"/>
            <w:vMerge w:val="restart"/>
          </w:tcPr>
          <w:p>
            <w:pPr>
              <w:jc w:val="right"/>
              <w:ind w:right="30"/>
              <w:spacing w:after="0"/>
              <w:rPr>
                <w:sz w:val="20"/>
                <w:szCs w:val="20"/>
                <w:color w:val="auto"/>
              </w:rPr>
            </w:pPr>
            <w:r>
              <w:rPr>
                <w:rFonts w:ascii="Arial" w:cs="Arial" w:eastAsia="Arial" w:hAnsi="Arial"/>
                <w:sz w:val="18"/>
                <w:szCs w:val="18"/>
                <w:color w:val="auto"/>
              </w:rPr>
              <w:t>6.20</w:t>
            </w:r>
          </w:p>
        </w:tc>
        <w:tc>
          <w:tcPr>
            <w:tcW w:w="3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80" w:type="dxa"/>
            <w:vAlign w:val="bottom"/>
            <w:vMerge w:val="restart"/>
          </w:tcPr>
          <w:p>
            <w:pPr>
              <w:jc w:val="right"/>
              <w:ind w:right="50"/>
              <w:spacing w:after="0"/>
              <w:rPr>
                <w:sz w:val="20"/>
                <w:szCs w:val="20"/>
                <w:color w:val="auto"/>
              </w:rPr>
            </w:pPr>
            <w:r>
              <w:rPr>
                <w:rFonts w:ascii="Arial" w:cs="Arial" w:eastAsia="Arial" w:hAnsi="Arial"/>
                <w:sz w:val="18"/>
                <w:szCs w:val="18"/>
                <w:color w:val="auto"/>
              </w:rPr>
              <w:t>6.75</w:t>
            </w:r>
          </w:p>
        </w:tc>
        <w:tc>
          <w:tcPr>
            <w:tcW w:w="3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00" w:type="dxa"/>
            <w:vAlign w:val="bottom"/>
            <w:vMerge w:val="restart"/>
          </w:tcPr>
          <w:p>
            <w:pPr>
              <w:jc w:val="right"/>
              <w:ind w:right="50"/>
              <w:spacing w:after="0"/>
              <w:rPr>
                <w:sz w:val="20"/>
                <w:szCs w:val="20"/>
                <w:color w:val="auto"/>
              </w:rPr>
            </w:pPr>
            <w:r>
              <w:rPr>
                <w:rFonts w:ascii="Arial" w:cs="Arial" w:eastAsia="Arial" w:hAnsi="Arial"/>
                <w:sz w:val="18"/>
                <w:szCs w:val="18"/>
                <w:color w:val="auto"/>
              </w:rPr>
              <w:t>6.56</w:t>
            </w:r>
          </w:p>
        </w:tc>
        <w:tc>
          <w:tcPr>
            <w:tcW w:w="3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80" w:type="dxa"/>
            <w:vAlign w:val="bottom"/>
            <w:vMerge w:val="restart"/>
          </w:tcPr>
          <w:p>
            <w:pPr>
              <w:jc w:val="right"/>
              <w:ind w:right="30"/>
              <w:spacing w:after="0"/>
              <w:rPr>
                <w:sz w:val="20"/>
                <w:szCs w:val="20"/>
                <w:color w:val="auto"/>
              </w:rPr>
            </w:pPr>
            <w:r>
              <w:rPr>
                <w:rFonts w:ascii="Arial" w:cs="Arial" w:eastAsia="Arial" w:hAnsi="Arial"/>
                <w:sz w:val="18"/>
                <w:szCs w:val="18"/>
                <w:color w:val="auto"/>
              </w:rPr>
              <w:t>7.24</w:t>
            </w:r>
          </w:p>
        </w:tc>
        <w:tc>
          <w:tcPr>
            <w:tcW w:w="3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80" w:type="dxa"/>
            <w:vAlign w:val="bottom"/>
            <w:vMerge w:val="restart"/>
          </w:tcPr>
          <w:p>
            <w:pPr>
              <w:jc w:val="right"/>
              <w:ind w:right="30"/>
              <w:spacing w:after="0"/>
              <w:rPr>
                <w:sz w:val="20"/>
                <w:szCs w:val="20"/>
                <w:color w:val="auto"/>
              </w:rPr>
            </w:pPr>
            <w:r>
              <w:rPr>
                <w:rFonts w:ascii="Arial" w:cs="Arial" w:eastAsia="Arial" w:hAnsi="Arial"/>
                <w:sz w:val="18"/>
                <w:szCs w:val="18"/>
                <w:color w:val="auto"/>
              </w:rPr>
              <w:t>5.83</w:t>
            </w:r>
          </w:p>
        </w:tc>
        <w:tc>
          <w:tcPr>
            <w:tcW w:w="0" w:type="dxa"/>
            <w:vAlign w:val="bottom"/>
          </w:tcPr>
          <w:p>
            <w:pPr>
              <w:spacing w:after="0"/>
              <w:rPr>
                <w:sz w:val="1"/>
                <w:szCs w:val="1"/>
                <w:color w:val="auto"/>
              </w:rPr>
            </w:pPr>
          </w:p>
        </w:tc>
      </w:tr>
      <w:tr>
        <w:trPr>
          <w:trHeight w:val="163"/>
        </w:trPr>
        <w:tc>
          <w:tcPr>
            <w:tcW w:w="1840" w:type="dxa"/>
            <w:vAlign w:val="bottom"/>
          </w:tcPr>
          <w:p>
            <w:pPr>
              <w:ind w:left="260"/>
              <w:spacing w:after="0" w:line="143" w:lineRule="exact"/>
              <w:rPr>
                <w:sz w:val="20"/>
                <w:szCs w:val="20"/>
                <w:color w:val="auto"/>
              </w:rPr>
            </w:pPr>
            <w:r>
              <w:rPr>
                <w:rFonts w:ascii="Arial" w:cs="Arial" w:eastAsia="Arial" w:hAnsi="Arial"/>
                <w:sz w:val="16"/>
                <w:szCs w:val="16"/>
                <w:color w:val="auto"/>
              </w:rPr>
              <w:t>fixed charges</w:t>
            </w:r>
          </w:p>
        </w:tc>
        <w:tc>
          <w:tcPr>
            <w:tcW w:w="3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vMerge w:val="continue"/>
          </w:tcPr>
          <w:p>
            <w:pPr>
              <w:spacing w:after="0"/>
              <w:rPr>
                <w:sz w:val="14"/>
                <w:szCs w:val="14"/>
                <w:color w:val="auto"/>
              </w:rPr>
            </w:pPr>
          </w:p>
        </w:tc>
        <w:tc>
          <w:tcPr>
            <w:tcW w:w="360" w:type="dxa"/>
            <w:vAlign w:val="bottom"/>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vMerge w:val="continue"/>
          </w:tcPr>
          <w:p>
            <w:pPr>
              <w:spacing w:after="0"/>
              <w:rPr>
                <w:sz w:val="14"/>
                <w:szCs w:val="14"/>
                <w:color w:val="auto"/>
              </w:rPr>
            </w:pPr>
          </w:p>
        </w:tc>
        <w:tc>
          <w:tcPr>
            <w:tcW w:w="360" w:type="dxa"/>
            <w:vAlign w:val="bottom"/>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vMerge w:val="continue"/>
          </w:tcPr>
          <w:p>
            <w:pPr>
              <w:spacing w:after="0"/>
              <w:rPr>
                <w:sz w:val="14"/>
                <w:szCs w:val="14"/>
                <w:color w:val="auto"/>
              </w:rPr>
            </w:pPr>
          </w:p>
        </w:tc>
        <w:tc>
          <w:tcPr>
            <w:tcW w:w="340" w:type="dxa"/>
            <w:vAlign w:val="bottom"/>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vMerge w:val="continue"/>
          </w:tcPr>
          <w:p>
            <w:pPr>
              <w:spacing w:after="0"/>
              <w:rPr>
                <w:sz w:val="14"/>
                <w:szCs w:val="14"/>
                <w:color w:val="auto"/>
              </w:rPr>
            </w:pPr>
          </w:p>
        </w:tc>
        <w:tc>
          <w:tcPr>
            <w:tcW w:w="340" w:type="dxa"/>
            <w:vAlign w:val="bottom"/>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vMerge w:val="continue"/>
          </w:tcPr>
          <w:p>
            <w:pPr>
              <w:spacing w:after="0"/>
              <w:rPr>
                <w:sz w:val="14"/>
                <w:szCs w:val="14"/>
                <w:color w:val="auto"/>
              </w:rPr>
            </w:pPr>
          </w:p>
        </w:tc>
        <w:tc>
          <w:tcPr>
            <w:tcW w:w="360" w:type="dxa"/>
            <w:vAlign w:val="bottom"/>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8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560" w:right="160" w:hanging="518"/>
        <w:spacing w:after="0" w:line="246" w:lineRule="auto"/>
        <w:tabs>
          <w:tab w:leader="none" w:pos="56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In computing this ratio, “Preferred stock dividends” represents the before-tax earnings necessary to pay such dividends, computed at the effective tax rates for the applicable periods.</w:t>
      </w:r>
    </w:p>
    <w:p>
      <w:pPr>
        <w:sectPr>
          <w:pgSz w:w="11900" w:h="16838" w:orient="portrait"/>
          <w:cols w:equalWidth="0" w:num="1">
            <w:col w:w="11280"/>
          </w:cols>
          <w:pgMar w:left="380" w:top="1089" w:right="239" w:bottom="1440" w:gutter="0" w:footer="0" w:header="0"/>
        </w:sectPr>
      </w:pPr>
    </w:p>
    <w:bookmarkStart w:id="80" w:name="page81"/>
    <w:bookmarkEnd w:id="80"/>
    <w:p>
      <w:pPr>
        <w:ind w:left="10120"/>
        <w:spacing w:after="0"/>
        <w:rPr>
          <w:sz w:val="20"/>
          <w:szCs w:val="20"/>
          <w:color w:val="auto"/>
        </w:rPr>
      </w:pPr>
      <w:r>
        <w:rPr>
          <w:rFonts w:ascii="Arial" w:cs="Arial" w:eastAsia="Arial" w:hAnsi="Arial"/>
          <w:sz w:val="21"/>
          <w:szCs w:val="21"/>
          <w:color w:val="auto"/>
        </w:rPr>
        <w:t>EXHIBIT 31.1</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CERTIFICATION</w:t>
      </w:r>
    </w:p>
    <w:p>
      <w:pPr>
        <w:spacing w:after="0" w:line="215" w:lineRule="exact"/>
        <w:rPr>
          <w:sz w:val="20"/>
          <w:szCs w:val="20"/>
          <w:color w:val="auto"/>
        </w:rPr>
      </w:pPr>
    </w:p>
    <w:p>
      <w:pPr>
        <w:spacing w:after="0"/>
        <w:rPr>
          <w:sz w:val="20"/>
          <w:szCs w:val="20"/>
          <w:color w:val="auto"/>
        </w:rPr>
      </w:pPr>
      <w:r>
        <w:rPr>
          <w:rFonts w:ascii="Arial" w:cs="Arial" w:eastAsia="Arial" w:hAnsi="Arial"/>
          <w:sz w:val="22"/>
          <w:szCs w:val="22"/>
          <w:color w:val="auto"/>
        </w:rPr>
        <w:t>I, Debra L. Reed, certify that:</w:t>
      </w:r>
    </w:p>
    <w:p>
      <w:pPr>
        <w:spacing w:after="0" w:line="260" w:lineRule="exact"/>
        <w:rPr>
          <w:sz w:val="20"/>
          <w:szCs w:val="20"/>
          <w:color w:val="auto"/>
        </w:rPr>
      </w:pPr>
    </w:p>
    <w:p>
      <w:pPr>
        <w:ind w:left="340" w:hanging="332"/>
        <w:spacing w:after="0"/>
        <w:tabs>
          <w:tab w:leader="none" w:pos="340" w:val="left"/>
        </w:tabs>
        <w:numPr>
          <w:ilvl w:val="0"/>
          <w:numId w:val="113"/>
        </w:numPr>
        <w:rPr>
          <w:rFonts w:ascii="Arial" w:cs="Arial" w:eastAsia="Arial" w:hAnsi="Arial"/>
          <w:sz w:val="22"/>
          <w:szCs w:val="22"/>
          <w:color w:val="auto"/>
        </w:rPr>
      </w:pPr>
      <w:r>
        <w:rPr>
          <w:rFonts w:ascii="Arial" w:cs="Arial" w:eastAsia="Arial" w:hAnsi="Arial"/>
          <w:sz w:val="22"/>
          <w:szCs w:val="22"/>
          <w:color w:val="auto"/>
        </w:rPr>
        <w:t>I have reviewed this report on Form 10-Q of Sempra Energy;</w:t>
      </w:r>
    </w:p>
    <w:p>
      <w:pPr>
        <w:spacing w:after="0" w:line="260" w:lineRule="exact"/>
        <w:rPr>
          <w:rFonts w:ascii="Arial" w:cs="Arial" w:eastAsia="Arial" w:hAnsi="Arial"/>
          <w:sz w:val="22"/>
          <w:szCs w:val="22"/>
          <w:color w:val="auto"/>
        </w:rPr>
      </w:pPr>
    </w:p>
    <w:p>
      <w:pPr>
        <w:ind w:left="340" w:right="220" w:hanging="332"/>
        <w:spacing w:after="0"/>
        <w:tabs>
          <w:tab w:leader="none" w:pos="340" w:val="left"/>
        </w:tabs>
        <w:numPr>
          <w:ilvl w:val="0"/>
          <w:numId w:val="113"/>
        </w:numPr>
        <w:rPr>
          <w:rFonts w:ascii="Arial" w:cs="Arial" w:eastAsia="Arial" w:hAnsi="Arial"/>
          <w:sz w:val="22"/>
          <w:szCs w:val="22"/>
          <w:color w:val="auto"/>
        </w:rPr>
      </w:pPr>
      <w:r>
        <w:rPr>
          <w:rFonts w:ascii="Arial" w:cs="Arial" w:eastAsia="Arial" w:hAnsi="Arial"/>
          <w:sz w:val="22"/>
          <w:szCs w:val="22"/>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40" w:lineRule="exact"/>
        <w:rPr>
          <w:rFonts w:ascii="Arial" w:cs="Arial" w:eastAsia="Arial" w:hAnsi="Arial"/>
          <w:sz w:val="22"/>
          <w:szCs w:val="22"/>
          <w:color w:val="auto"/>
        </w:rPr>
      </w:pPr>
    </w:p>
    <w:p>
      <w:pPr>
        <w:ind w:left="340" w:right="300" w:hanging="332"/>
        <w:spacing w:after="0"/>
        <w:tabs>
          <w:tab w:leader="none" w:pos="340" w:val="left"/>
        </w:tabs>
        <w:numPr>
          <w:ilvl w:val="0"/>
          <w:numId w:val="113"/>
        </w:numPr>
        <w:rPr>
          <w:rFonts w:ascii="Arial" w:cs="Arial" w:eastAsia="Arial" w:hAnsi="Arial"/>
          <w:sz w:val="22"/>
          <w:szCs w:val="22"/>
          <w:color w:val="auto"/>
        </w:rPr>
      </w:pPr>
      <w:r>
        <w:rPr>
          <w:rFonts w:ascii="Arial" w:cs="Arial" w:eastAsia="Arial" w:hAnsi="Arial"/>
          <w:sz w:val="22"/>
          <w:szCs w:val="22"/>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40" w:lineRule="exact"/>
        <w:rPr>
          <w:rFonts w:ascii="Arial" w:cs="Arial" w:eastAsia="Arial" w:hAnsi="Arial"/>
          <w:sz w:val="22"/>
          <w:szCs w:val="22"/>
          <w:color w:val="auto"/>
        </w:rPr>
      </w:pPr>
    </w:p>
    <w:p>
      <w:pPr>
        <w:ind w:left="340" w:hanging="332"/>
        <w:spacing w:after="0"/>
        <w:tabs>
          <w:tab w:leader="none" w:pos="340" w:val="left"/>
        </w:tabs>
        <w:numPr>
          <w:ilvl w:val="0"/>
          <w:numId w:val="113"/>
        </w:numPr>
        <w:rPr>
          <w:rFonts w:ascii="Arial" w:cs="Arial" w:eastAsia="Arial" w:hAnsi="Arial"/>
          <w:sz w:val="22"/>
          <w:szCs w:val="22"/>
          <w:color w:val="auto"/>
        </w:rPr>
      </w:pPr>
      <w:r>
        <w:rPr>
          <w:rFonts w:ascii="Arial" w:cs="Arial" w:eastAsia="Arial" w:hAnsi="Arial"/>
          <w:sz w:val="22"/>
          <w:szCs w:val="22"/>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40" w:lineRule="exact"/>
        <w:rPr>
          <w:rFonts w:ascii="Arial" w:cs="Arial" w:eastAsia="Arial" w:hAnsi="Arial"/>
          <w:sz w:val="22"/>
          <w:szCs w:val="22"/>
          <w:color w:val="auto"/>
        </w:rPr>
      </w:pPr>
    </w:p>
    <w:p>
      <w:pPr>
        <w:ind w:left="980" w:right="300" w:hanging="324"/>
        <w:spacing w:after="0" w:line="238" w:lineRule="auto"/>
        <w:tabs>
          <w:tab w:leader="none" w:pos="980" w:val="left"/>
        </w:tabs>
        <w:numPr>
          <w:ilvl w:val="1"/>
          <w:numId w:val="113"/>
        </w:numPr>
        <w:rPr>
          <w:rFonts w:ascii="Arial" w:cs="Arial" w:eastAsia="Arial" w:hAnsi="Arial"/>
          <w:sz w:val="22"/>
          <w:szCs w:val="22"/>
          <w:color w:val="auto"/>
        </w:rPr>
      </w:pPr>
      <w:r>
        <w:rPr>
          <w:rFonts w:ascii="Arial" w:cs="Arial" w:eastAsia="Arial" w:hAnsi="Arial"/>
          <w:sz w:val="22"/>
          <w:szCs w:val="22"/>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39" w:lineRule="exact"/>
        <w:rPr>
          <w:rFonts w:ascii="Arial" w:cs="Arial" w:eastAsia="Arial" w:hAnsi="Arial"/>
          <w:sz w:val="22"/>
          <w:szCs w:val="22"/>
          <w:color w:val="auto"/>
        </w:rPr>
      </w:pPr>
    </w:p>
    <w:p>
      <w:pPr>
        <w:ind w:left="980" w:right="200" w:hanging="324"/>
        <w:spacing w:after="0" w:line="297" w:lineRule="auto"/>
        <w:tabs>
          <w:tab w:leader="none" w:pos="980" w:val="left"/>
        </w:tabs>
        <w:numPr>
          <w:ilvl w:val="1"/>
          <w:numId w:val="113"/>
        </w:numPr>
        <w:rPr>
          <w:rFonts w:ascii="Arial" w:cs="Arial" w:eastAsia="Arial" w:hAnsi="Arial"/>
          <w:sz w:val="19"/>
          <w:szCs w:val="19"/>
          <w:color w:val="auto"/>
        </w:rPr>
      </w:pPr>
      <w:r>
        <w:rPr>
          <w:rFonts w:ascii="Arial" w:cs="Arial" w:eastAsia="Arial" w:hAnsi="Arial"/>
          <w:sz w:val="19"/>
          <w:szCs w:val="19"/>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8" w:lineRule="exact"/>
        <w:rPr>
          <w:rFonts w:ascii="Arial" w:cs="Arial" w:eastAsia="Arial" w:hAnsi="Arial"/>
          <w:sz w:val="19"/>
          <w:szCs w:val="19"/>
          <w:color w:val="auto"/>
        </w:rPr>
      </w:pPr>
    </w:p>
    <w:p>
      <w:pPr>
        <w:ind w:left="980" w:right="40" w:hanging="324"/>
        <w:spacing w:after="0"/>
        <w:tabs>
          <w:tab w:leader="none" w:pos="980" w:val="left"/>
        </w:tabs>
        <w:numPr>
          <w:ilvl w:val="1"/>
          <w:numId w:val="113"/>
        </w:numPr>
        <w:rPr>
          <w:rFonts w:ascii="Arial" w:cs="Arial" w:eastAsia="Arial" w:hAnsi="Arial"/>
          <w:sz w:val="22"/>
          <w:szCs w:val="22"/>
          <w:color w:val="auto"/>
        </w:rPr>
      </w:pPr>
      <w:r>
        <w:rPr>
          <w:rFonts w:ascii="Arial" w:cs="Arial" w:eastAsia="Arial" w:hAnsi="Arial"/>
          <w:sz w:val="22"/>
          <w:szCs w:val="22"/>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40" w:lineRule="exact"/>
        <w:rPr>
          <w:rFonts w:ascii="Arial" w:cs="Arial" w:eastAsia="Arial" w:hAnsi="Arial"/>
          <w:sz w:val="22"/>
          <w:szCs w:val="22"/>
          <w:color w:val="auto"/>
        </w:rPr>
      </w:pPr>
    </w:p>
    <w:p>
      <w:pPr>
        <w:ind w:left="980" w:right="200" w:hanging="324"/>
        <w:spacing w:after="0" w:line="238" w:lineRule="auto"/>
        <w:tabs>
          <w:tab w:leader="none" w:pos="980" w:val="left"/>
        </w:tabs>
        <w:numPr>
          <w:ilvl w:val="1"/>
          <w:numId w:val="113"/>
        </w:numPr>
        <w:rPr>
          <w:rFonts w:ascii="Arial" w:cs="Arial" w:eastAsia="Arial" w:hAnsi="Arial"/>
          <w:sz w:val="22"/>
          <w:szCs w:val="22"/>
          <w:color w:val="auto"/>
        </w:rPr>
      </w:pPr>
      <w:r>
        <w:rPr>
          <w:rFonts w:ascii="Arial" w:cs="Arial" w:eastAsia="Arial" w:hAnsi="Arial"/>
          <w:sz w:val="22"/>
          <w:szCs w:val="22"/>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39" w:lineRule="exact"/>
        <w:rPr>
          <w:rFonts w:ascii="Arial" w:cs="Arial" w:eastAsia="Arial" w:hAnsi="Arial"/>
          <w:sz w:val="22"/>
          <w:szCs w:val="22"/>
          <w:color w:val="auto"/>
        </w:rPr>
      </w:pPr>
    </w:p>
    <w:p>
      <w:pPr>
        <w:ind w:left="340" w:right="140" w:hanging="332"/>
        <w:spacing w:after="0"/>
        <w:tabs>
          <w:tab w:leader="none" w:pos="340" w:val="left"/>
        </w:tabs>
        <w:numPr>
          <w:ilvl w:val="0"/>
          <w:numId w:val="113"/>
        </w:numPr>
        <w:rPr>
          <w:rFonts w:ascii="Arial" w:cs="Arial" w:eastAsia="Arial" w:hAnsi="Arial"/>
          <w:sz w:val="22"/>
          <w:szCs w:val="22"/>
          <w:color w:val="auto"/>
        </w:rPr>
      </w:pPr>
      <w:r>
        <w:rPr>
          <w:rFonts w:ascii="Arial" w:cs="Arial" w:eastAsia="Arial" w:hAnsi="Arial"/>
          <w:sz w:val="22"/>
          <w:szCs w:val="22"/>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240" w:lineRule="exact"/>
        <w:rPr>
          <w:rFonts w:ascii="Arial" w:cs="Arial" w:eastAsia="Arial" w:hAnsi="Arial"/>
          <w:sz w:val="22"/>
          <w:szCs w:val="22"/>
          <w:color w:val="auto"/>
        </w:rPr>
      </w:pPr>
    </w:p>
    <w:p>
      <w:pPr>
        <w:ind w:left="980" w:right="80" w:hanging="324"/>
        <w:spacing w:after="0"/>
        <w:tabs>
          <w:tab w:leader="none" w:pos="980" w:val="left"/>
        </w:tabs>
        <w:numPr>
          <w:ilvl w:val="1"/>
          <w:numId w:val="113"/>
        </w:numPr>
        <w:rPr>
          <w:rFonts w:ascii="Arial" w:cs="Arial" w:eastAsia="Arial" w:hAnsi="Arial"/>
          <w:sz w:val="22"/>
          <w:szCs w:val="22"/>
          <w:color w:val="auto"/>
        </w:rPr>
      </w:pPr>
      <w:r>
        <w:rPr>
          <w:rFonts w:ascii="Arial" w:cs="Arial" w:eastAsia="Arial" w:hAnsi="Arial"/>
          <w:sz w:val="22"/>
          <w:szCs w:val="22"/>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40" w:lineRule="exact"/>
        <w:rPr>
          <w:rFonts w:ascii="Arial" w:cs="Arial" w:eastAsia="Arial" w:hAnsi="Arial"/>
          <w:sz w:val="22"/>
          <w:szCs w:val="22"/>
          <w:color w:val="auto"/>
        </w:rPr>
      </w:pPr>
    </w:p>
    <w:p>
      <w:pPr>
        <w:ind w:left="980" w:right="400" w:hanging="324"/>
        <w:spacing w:after="0" w:line="251" w:lineRule="auto"/>
        <w:tabs>
          <w:tab w:leader="none" w:pos="980" w:val="left"/>
        </w:tabs>
        <w:numPr>
          <w:ilvl w:val="1"/>
          <w:numId w:val="113"/>
        </w:numPr>
        <w:rPr>
          <w:rFonts w:ascii="Arial" w:cs="Arial" w:eastAsia="Arial" w:hAnsi="Arial"/>
          <w:sz w:val="22"/>
          <w:szCs w:val="22"/>
          <w:color w:val="auto"/>
        </w:rPr>
      </w:pPr>
      <w:r>
        <w:rPr>
          <w:rFonts w:ascii="Arial" w:cs="Arial" w:eastAsia="Arial" w:hAnsi="Arial"/>
          <w:sz w:val="22"/>
          <w:szCs w:val="22"/>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4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August 9, 2011</w:t>
      </w:r>
    </w:p>
    <w:p>
      <w:pPr>
        <w:spacing w:after="0" w:line="267" w:lineRule="exact"/>
        <w:rPr>
          <w:sz w:val="20"/>
          <w:szCs w:val="20"/>
          <w:color w:val="auto"/>
        </w:rPr>
      </w:pPr>
    </w:p>
    <w:p>
      <w:pPr>
        <w:ind w:left="9940"/>
        <w:spacing w:after="0"/>
        <w:rPr>
          <w:sz w:val="20"/>
          <w:szCs w:val="20"/>
          <w:color w:val="auto"/>
        </w:rPr>
      </w:pPr>
      <w:r>
        <w:rPr>
          <w:rFonts w:ascii="Arial" w:cs="Arial" w:eastAsia="Arial" w:hAnsi="Arial"/>
          <w:sz w:val="18"/>
          <w:szCs w:val="18"/>
          <w:color w:val="auto"/>
        </w:rPr>
        <w:t>/S/ Debra L. Reed</w:t>
      </w:r>
    </w:p>
    <w:p>
      <w:pPr>
        <w:spacing w:after="0" w:line="23" w:lineRule="exact"/>
        <w:rPr>
          <w:sz w:val="20"/>
          <w:szCs w:val="20"/>
          <w:color w:val="auto"/>
        </w:rPr>
      </w:pPr>
    </w:p>
    <w:p>
      <w:pPr>
        <w:ind w:left="10240"/>
        <w:spacing w:after="0"/>
        <w:rPr>
          <w:sz w:val="20"/>
          <w:szCs w:val="20"/>
          <w:color w:val="auto"/>
        </w:rPr>
      </w:pPr>
      <w:r>
        <w:rPr>
          <w:rFonts w:ascii="Arial" w:cs="Arial" w:eastAsia="Arial" w:hAnsi="Arial"/>
          <w:sz w:val="18"/>
          <w:szCs w:val="18"/>
          <w:color w:val="auto"/>
        </w:rPr>
        <w:t>Debra L. Reed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4550410</wp:posOffset>
            </wp:positionH>
            <wp:positionV relativeFrom="paragraph">
              <wp:posOffset>-130810</wp:posOffset>
            </wp:positionV>
            <wp:extent cx="2701290"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2701290" cy="8890"/>
                    </a:xfrm>
                    <a:prstGeom prst="rect">
                      <a:avLst/>
                    </a:prstGeom>
                    <a:noFill/>
                  </pic:spPr>
                </pic:pic>
              </a:graphicData>
            </a:graphic>
          </wp:anchor>
        </w:drawing>
      </w:r>
    </w:p>
    <w:p>
      <w:pPr>
        <w:spacing w:after="0" w:line="3" w:lineRule="exact"/>
        <w:rPr>
          <w:sz w:val="20"/>
          <w:szCs w:val="20"/>
          <w:color w:val="auto"/>
        </w:rPr>
      </w:pPr>
    </w:p>
    <w:p>
      <w:pPr>
        <w:ind w:left="9560"/>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1420"/>
          </w:cols>
          <w:pgMar w:left="240" w:top="118" w:right="239" w:bottom="1440" w:gutter="0" w:footer="0" w:header="0"/>
        </w:sectPr>
      </w:pPr>
    </w:p>
    <w:bookmarkStart w:id="81" w:name="page82"/>
    <w:bookmarkEnd w:id="81"/>
    <w:p>
      <w:pPr>
        <w:ind w:left="10120"/>
        <w:spacing w:after="0"/>
        <w:rPr>
          <w:sz w:val="20"/>
          <w:szCs w:val="20"/>
          <w:color w:val="auto"/>
        </w:rPr>
      </w:pPr>
      <w:r>
        <w:rPr>
          <w:rFonts w:ascii="Arial" w:cs="Arial" w:eastAsia="Arial" w:hAnsi="Arial"/>
          <w:sz w:val="21"/>
          <w:szCs w:val="21"/>
          <w:color w:val="auto"/>
        </w:rPr>
        <w:t>EXHIBIT 31.2</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CERTIFICATION</w:t>
      </w:r>
    </w:p>
    <w:p>
      <w:pPr>
        <w:spacing w:after="0" w:line="215" w:lineRule="exact"/>
        <w:rPr>
          <w:sz w:val="20"/>
          <w:szCs w:val="20"/>
          <w:color w:val="auto"/>
        </w:rPr>
      </w:pPr>
    </w:p>
    <w:p>
      <w:pPr>
        <w:spacing w:after="0"/>
        <w:rPr>
          <w:sz w:val="20"/>
          <w:szCs w:val="20"/>
          <w:color w:val="auto"/>
        </w:rPr>
      </w:pPr>
      <w:r>
        <w:rPr>
          <w:rFonts w:ascii="Arial" w:cs="Arial" w:eastAsia="Arial" w:hAnsi="Arial"/>
          <w:sz w:val="22"/>
          <w:szCs w:val="22"/>
          <w:color w:val="auto"/>
        </w:rPr>
        <w:t>I, Mark A. Snell, certify that:</w:t>
      </w:r>
    </w:p>
    <w:p>
      <w:pPr>
        <w:spacing w:after="0" w:line="260" w:lineRule="exact"/>
        <w:rPr>
          <w:sz w:val="20"/>
          <w:szCs w:val="20"/>
          <w:color w:val="auto"/>
        </w:rPr>
      </w:pPr>
    </w:p>
    <w:p>
      <w:pPr>
        <w:ind w:left="340" w:hanging="332"/>
        <w:spacing w:after="0"/>
        <w:tabs>
          <w:tab w:leader="none" w:pos="340" w:val="left"/>
        </w:tabs>
        <w:numPr>
          <w:ilvl w:val="0"/>
          <w:numId w:val="114"/>
        </w:numPr>
        <w:rPr>
          <w:rFonts w:ascii="Arial" w:cs="Arial" w:eastAsia="Arial" w:hAnsi="Arial"/>
          <w:sz w:val="22"/>
          <w:szCs w:val="22"/>
          <w:color w:val="auto"/>
        </w:rPr>
      </w:pPr>
      <w:r>
        <w:rPr>
          <w:rFonts w:ascii="Arial" w:cs="Arial" w:eastAsia="Arial" w:hAnsi="Arial"/>
          <w:sz w:val="22"/>
          <w:szCs w:val="22"/>
          <w:color w:val="auto"/>
        </w:rPr>
        <w:t>I have reviewed this report on Form 10-Q of Sempra Energy;</w:t>
      </w:r>
    </w:p>
    <w:p>
      <w:pPr>
        <w:spacing w:after="0" w:line="260" w:lineRule="exact"/>
        <w:rPr>
          <w:rFonts w:ascii="Arial" w:cs="Arial" w:eastAsia="Arial" w:hAnsi="Arial"/>
          <w:sz w:val="22"/>
          <w:szCs w:val="22"/>
          <w:color w:val="auto"/>
        </w:rPr>
      </w:pPr>
    </w:p>
    <w:p>
      <w:pPr>
        <w:ind w:left="340" w:right="220" w:hanging="332"/>
        <w:spacing w:after="0"/>
        <w:tabs>
          <w:tab w:leader="none" w:pos="340" w:val="left"/>
        </w:tabs>
        <w:numPr>
          <w:ilvl w:val="0"/>
          <w:numId w:val="114"/>
        </w:numPr>
        <w:rPr>
          <w:rFonts w:ascii="Arial" w:cs="Arial" w:eastAsia="Arial" w:hAnsi="Arial"/>
          <w:sz w:val="22"/>
          <w:szCs w:val="22"/>
          <w:color w:val="auto"/>
        </w:rPr>
      </w:pPr>
      <w:r>
        <w:rPr>
          <w:rFonts w:ascii="Arial" w:cs="Arial" w:eastAsia="Arial" w:hAnsi="Arial"/>
          <w:sz w:val="22"/>
          <w:szCs w:val="22"/>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40" w:lineRule="exact"/>
        <w:rPr>
          <w:rFonts w:ascii="Arial" w:cs="Arial" w:eastAsia="Arial" w:hAnsi="Arial"/>
          <w:sz w:val="22"/>
          <w:szCs w:val="22"/>
          <w:color w:val="auto"/>
        </w:rPr>
      </w:pPr>
    </w:p>
    <w:p>
      <w:pPr>
        <w:ind w:left="340" w:right="300" w:hanging="332"/>
        <w:spacing w:after="0"/>
        <w:tabs>
          <w:tab w:leader="none" w:pos="340" w:val="left"/>
        </w:tabs>
        <w:numPr>
          <w:ilvl w:val="0"/>
          <w:numId w:val="114"/>
        </w:numPr>
        <w:rPr>
          <w:rFonts w:ascii="Arial" w:cs="Arial" w:eastAsia="Arial" w:hAnsi="Arial"/>
          <w:sz w:val="22"/>
          <w:szCs w:val="22"/>
          <w:color w:val="auto"/>
        </w:rPr>
      </w:pPr>
      <w:r>
        <w:rPr>
          <w:rFonts w:ascii="Arial" w:cs="Arial" w:eastAsia="Arial" w:hAnsi="Arial"/>
          <w:sz w:val="22"/>
          <w:szCs w:val="22"/>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40" w:lineRule="exact"/>
        <w:rPr>
          <w:rFonts w:ascii="Arial" w:cs="Arial" w:eastAsia="Arial" w:hAnsi="Arial"/>
          <w:sz w:val="22"/>
          <w:szCs w:val="22"/>
          <w:color w:val="auto"/>
        </w:rPr>
      </w:pPr>
    </w:p>
    <w:p>
      <w:pPr>
        <w:ind w:left="340" w:hanging="332"/>
        <w:spacing w:after="0"/>
        <w:tabs>
          <w:tab w:leader="none" w:pos="340" w:val="left"/>
        </w:tabs>
        <w:numPr>
          <w:ilvl w:val="0"/>
          <w:numId w:val="114"/>
        </w:numPr>
        <w:rPr>
          <w:rFonts w:ascii="Arial" w:cs="Arial" w:eastAsia="Arial" w:hAnsi="Arial"/>
          <w:sz w:val="22"/>
          <w:szCs w:val="22"/>
          <w:color w:val="auto"/>
        </w:rPr>
      </w:pPr>
      <w:r>
        <w:rPr>
          <w:rFonts w:ascii="Arial" w:cs="Arial" w:eastAsia="Arial" w:hAnsi="Arial"/>
          <w:sz w:val="22"/>
          <w:szCs w:val="22"/>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40" w:lineRule="exact"/>
        <w:rPr>
          <w:rFonts w:ascii="Arial" w:cs="Arial" w:eastAsia="Arial" w:hAnsi="Arial"/>
          <w:sz w:val="22"/>
          <w:szCs w:val="22"/>
          <w:color w:val="auto"/>
        </w:rPr>
      </w:pPr>
    </w:p>
    <w:p>
      <w:pPr>
        <w:ind w:left="980" w:right="300" w:hanging="324"/>
        <w:spacing w:after="0" w:line="238" w:lineRule="auto"/>
        <w:tabs>
          <w:tab w:leader="none" w:pos="980" w:val="left"/>
        </w:tabs>
        <w:numPr>
          <w:ilvl w:val="1"/>
          <w:numId w:val="114"/>
        </w:numPr>
        <w:rPr>
          <w:rFonts w:ascii="Arial" w:cs="Arial" w:eastAsia="Arial" w:hAnsi="Arial"/>
          <w:sz w:val="22"/>
          <w:szCs w:val="22"/>
          <w:color w:val="auto"/>
        </w:rPr>
      </w:pPr>
      <w:r>
        <w:rPr>
          <w:rFonts w:ascii="Arial" w:cs="Arial" w:eastAsia="Arial" w:hAnsi="Arial"/>
          <w:sz w:val="22"/>
          <w:szCs w:val="22"/>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39" w:lineRule="exact"/>
        <w:rPr>
          <w:rFonts w:ascii="Arial" w:cs="Arial" w:eastAsia="Arial" w:hAnsi="Arial"/>
          <w:sz w:val="22"/>
          <w:szCs w:val="22"/>
          <w:color w:val="auto"/>
        </w:rPr>
      </w:pPr>
    </w:p>
    <w:p>
      <w:pPr>
        <w:ind w:left="980" w:right="200" w:hanging="324"/>
        <w:spacing w:after="0" w:line="297" w:lineRule="auto"/>
        <w:tabs>
          <w:tab w:leader="none" w:pos="980" w:val="left"/>
        </w:tabs>
        <w:numPr>
          <w:ilvl w:val="1"/>
          <w:numId w:val="114"/>
        </w:numPr>
        <w:rPr>
          <w:rFonts w:ascii="Arial" w:cs="Arial" w:eastAsia="Arial" w:hAnsi="Arial"/>
          <w:sz w:val="19"/>
          <w:szCs w:val="19"/>
          <w:color w:val="auto"/>
        </w:rPr>
      </w:pPr>
      <w:r>
        <w:rPr>
          <w:rFonts w:ascii="Arial" w:cs="Arial" w:eastAsia="Arial" w:hAnsi="Arial"/>
          <w:sz w:val="19"/>
          <w:szCs w:val="19"/>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8" w:lineRule="exact"/>
        <w:rPr>
          <w:rFonts w:ascii="Arial" w:cs="Arial" w:eastAsia="Arial" w:hAnsi="Arial"/>
          <w:sz w:val="19"/>
          <w:szCs w:val="19"/>
          <w:color w:val="auto"/>
        </w:rPr>
      </w:pPr>
    </w:p>
    <w:p>
      <w:pPr>
        <w:ind w:left="980" w:right="40" w:hanging="324"/>
        <w:spacing w:after="0"/>
        <w:tabs>
          <w:tab w:leader="none" w:pos="980" w:val="left"/>
        </w:tabs>
        <w:numPr>
          <w:ilvl w:val="1"/>
          <w:numId w:val="114"/>
        </w:numPr>
        <w:rPr>
          <w:rFonts w:ascii="Arial" w:cs="Arial" w:eastAsia="Arial" w:hAnsi="Arial"/>
          <w:sz w:val="22"/>
          <w:szCs w:val="22"/>
          <w:color w:val="auto"/>
        </w:rPr>
      </w:pPr>
      <w:r>
        <w:rPr>
          <w:rFonts w:ascii="Arial" w:cs="Arial" w:eastAsia="Arial" w:hAnsi="Arial"/>
          <w:sz w:val="22"/>
          <w:szCs w:val="22"/>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40" w:lineRule="exact"/>
        <w:rPr>
          <w:rFonts w:ascii="Arial" w:cs="Arial" w:eastAsia="Arial" w:hAnsi="Arial"/>
          <w:sz w:val="22"/>
          <w:szCs w:val="22"/>
          <w:color w:val="auto"/>
        </w:rPr>
      </w:pPr>
    </w:p>
    <w:p>
      <w:pPr>
        <w:ind w:left="980" w:right="200" w:hanging="324"/>
        <w:spacing w:after="0" w:line="238" w:lineRule="auto"/>
        <w:tabs>
          <w:tab w:leader="none" w:pos="980" w:val="left"/>
        </w:tabs>
        <w:numPr>
          <w:ilvl w:val="1"/>
          <w:numId w:val="114"/>
        </w:numPr>
        <w:rPr>
          <w:rFonts w:ascii="Arial" w:cs="Arial" w:eastAsia="Arial" w:hAnsi="Arial"/>
          <w:sz w:val="22"/>
          <w:szCs w:val="22"/>
          <w:color w:val="auto"/>
        </w:rPr>
      </w:pPr>
      <w:r>
        <w:rPr>
          <w:rFonts w:ascii="Arial" w:cs="Arial" w:eastAsia="Arial" w:hAnsi="Arial"/>
          <w:sz w:val="22"/>
          <w:szCs w:val="22"/>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39" w:lineRule="exact"/>
        <w:rPr>
          <w:rFonts w:ascii="Arial" w:cs="Arial" w:eastAsia="Arial" w:hAnsi="Arial"/>
          <w:sz w:val="22"/>
          <w:szCs w:val="22"/>
          <w:color w:val="auto"/>
        </w:rPr>
      </w:pPr>
    </w:p>
    <w:p>
      <w:pPr>
        <w:ind w:left="340" w:right="140" w:hanging="332"/>
        <w:spacing w:after="0"/>
        <w:tabs>
          <w:tab w:leader="none" w:pos="340" w:val="left"/>
        </w:tabs>
        <w:numPr>
          <w:ilvl w:val="0"/>
          <w:numId w:val="114"/>
        </w:numPr>
        <w:rPr>
          <w:rFonts w:ascii="Arial" w:cs="Arial" w:eastAsia="Arial" w:hAnsi="Arial"/>
          <w:sz w:val="22"/>
          <w:szCs w:val="22"/>
          <w:color w:val="auto"/>
        </w:rPr>
      </w:pPr>
      <w:r>
        <w:rPr>
          <w:rFonts w:ascii="Arial" w:cs="Arial" w:eastAsia="Arial" w:hAnsi="Arial"/>
          <w:sz w:val="22"/>
          <w:szCs w:val="22"/>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240" w:lineRule="exact"/>
        <w:rPr>
          <w:rFonts w:ascii="Arial" w:cs="Arial" w:eastAsia="Arial" w:hAnsi="Arial"/>
          <w:sz w:val="22"/>
          <w:szCs w:val="22"/>
          <w:color w:val="auto"/>
        </w:rPr>
      </w:pPr>
    </w:p>
    <w:p>
      <w:pPr>
        <w:ind w:left="980" w:right="80" w:hanging="324"/>
        <w:spacing w:after="0"/>
        <w:tabs>
          <w:tab w:leader="none" w:pos="980" w:val="left"/>
        </w:tabs>
        <w:numPr>
          <w:ilvl w:val="1"/>
          <w:numId w:val="114"/>
        </w:numPr>
        <w:rPr>
          <w:rFonts w:ascii="Arial" w:cs="Arial" w:eastAsia="Arial" w:hAnsi="Arial"/>
          <w:sz w:val="22"/>
          <w:szCs w:val="22"/>
          <w:color w:val="auto"/>
        </w:rPr>
      </w:pPr>
      <w:r>
        <w:rPr>
          <w:rFonts w:ascii="Arial" w:cs="Arial" w:eastAsia="Arial" w:hAnsi="Arial"/>
          <w:sz w:val="22"/>
          <w:szCs w:val="22"/>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40" w:lineRule="exact"/>
        <w:rPr>
          <w:rFonts w:ascii="Arial" w:cs="Arial" w:eastAsia="Arial" w:hAnsi="Arial"/>
          <w:sz w:val="22"/>
          <w:szCs w:val="22"/>
          <w:color w:val="auto"/>
        </w:rPr>
      </w:pPr>
    </w:p>
    <w:p>
      <w:pPr>
        <w:ind w:left="980" w:right="400" w:hanging="324"/>
        <w:spacing w:after="0" w:line="251" w:lineRule="auto"/>
        <w:tabs>
          <w:tab w:leader="none" w:pos="980" w:val="left"/>
        </w:tabs>
        <w:numPr>
          <w:ilvl w:val="1"/>
          <w:numId w:val="114"/>
        </w:numPr>
        <w:rPr>
          <w:rFonts w:ascii="Arial" w:cs="Arial" w:eastAsia="Arial" w:hAnsi="Arial"/>
          <w:sz w:val="22"/>
          <w:szCs w:val="22"/>
          <w:color w:val="auto"/>
        </w:rPr>
      </w:pPr>
      <w:r>
        <w:rPr>
          <w:rFonts w:ascii="Arial" w:cs="Arial" w:eastAsia="Arial" w:hAnsi="Arial"/>
          <w:sz w:val="22"/>
          <w:szCs w:val="22"/>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4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August 9, 2011</w:t>
      </w:r>
    </w:p>
    <w:p>
      <w:pPr>
        <w:spacing w:after="0" w:line="267" w:lineRule="exact"/>
        <w:rPr>
          <w:sz w:val="20"/>
          <w:szCs w:val="20"/>
          <w:color w:val="auto"/>
        </w:rPr>
      </w:pPr>
    </w:p>
    <w:p>
      <w:pPr>
        <w:ind w:left="9980"/>
        <w:spacing w:after="0"/>
        <w:rPr>
          <w:sz w:val="20"/>
          <w:szCs w:val="20"/>
          <w:color w:val="auto"/>
        </w:rPr>
      </w:pPr>
      <w:r>
        <w:rPr>
          <w:rFonts w:ascii="Arial" w:cs="Arial" w:eastAsia="Arial" w:hAnsi="Arial"/>
          <w:sz w:val="18"/>
          <w:szCs w:val="18"/>
          <w:color w:val="auto"/>
        </w:rPr>
        <w:t>/S/ Mark A. Snell</w:t>
      </w:r>
    </w:p>
    <w:p>
      <w:pPr>
        <w:spacing w:after="0" w:line="23" w:lineRule="exact"/>
        <w:rPr>
          <w:sz w:val="20"/>
          <w:szCs w:val="20"/>
          <w:color w:val="auto"/>
        </w:rPr>
      </w:pPr>
    </w:p>
    <w:p>
      <w:pPr>
        <w:ind w:left="10260"/>
        <w:spacing w:after="0"/>
        <w:rPr>
          <w:sz w:val="20"/>
          <w:szCs w:val="20"/>
          <w:color w:val="auto"/>
        </w:rPr>
      </w:pPr>
      <w:r>
        <w:rPr>
          <w:rFonts w:ascii="Arial" w:cs="Arial" w:eastAsia="Arial" w:hAnsi="Arial"/>
          <w:sz w:val="18"/>
          <w:szCs w:val="18"/>
          <w:color w:val="auto"/>
        </w:rPr>
        <w:t>Mark A. Snell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4601845</wp:posOffset>
            </wp:positionH>
            <wp:positionV relativeFrom="paragraph">
              <wp:posOffset>-130810</wp:posOffset>
            </wp:positionV>
            <wp:extent cx="2649855"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2649855" cy="8890"/>
                    </a:xfrm>
                    <a:prstGeom prst="rect">
                      <a:avLst/>
                    </a:prstGeom>
                    <a:noFill/>
                  </pic:spPr>
                </pic:pic>
              </a:graphicData>
            </a:graphic>
          </wp:anchor>
        </w:drawing>
      </w:r>
    </w:p>
    <w:p>
      <w:pPr>
        <w:spacing w:after="0" w:line="3" w:lineRule="exact"/>
        <w:rPr>
          <w:sz w:val="20"/>
          <w:szCs w:val="20"/>
          <w:color w:val="auto"/>
        </w:rPr>
      </w:pPr>
    </w:p>
    <w:p>
      <w:pPr>
        <w:ind w:left="962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420"/>
          </w:cols>
          <w:pgMar w:left="240" w:top="118" w:right="239" w:bottom="1440" w:gutter="0" w:footer="0" w:header="0"/>
        </w:sectPr>
      </w:pPr>
    </w:p>
    <w:bookmarkStart w:id="82" w:name="page83"/>
    <w:bookmarkEnd w:id="82"/>
    <w:p>
      <w:pPr>
        <w:ind w:left="10120"/>
        <w:spacing w:after="0"/>
        <w:rPr>
          <w:sz w:val="20"/>
          <w:szCs w:val="20"/>
          <w:color w:val="auto"/>
        </w:rPr>
      </w:pPr>
      <w:r>
        <w:rPr>
          <w:rFonts w:ascii="Arial" w:cs="Arial" w:eastAsia="Arial" w:hAnsi="Arial"/>
          <w:sz w:val="21"/>
          <w:szCs w:val="21"/>
          <w:color w:val="auto"/>
        </w:rPr>
        <w:t>EXHIBIT 31.3</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CERTIFICATION</w:t>
      </w:r>
    </w:p>
    <w:p>
      <w:pPr>
        <w:spacing w:after="0" w:line="215" w:lineRule="exact"/>
        <w:rPr>
          <w:sz w:val="20"/>
          <w:szCs w:val="20"/>
          <w:color w:val="auto"/>
        </w:rPr>
      </w:pPr>
    </w:p>
    <w:p>
      <w:pPr>
        <w:spacing w:after="0"/>
        <w:rPr>
          <w:sz w:val="20"/>
          <w:szCs w:val="20"/>
          <w:color w:val="auto"/>
        </w:rPr>
      </w:pPr>
      <w:r>
        <w:rPr>
          <w:rFonts w:ascii="Arial" w:cs="Arial" w:eastAsia="Arial" w:hAnsi="Arial"/>
          <w:sz w:val="22"/>
          <w:szCs w:val="22"/>
          <w:color w:val="auto"/>
        </w:rPr>
        <w:t>I, Jessie J. Knight, Jr., certify that:</w:t>
      </w:r>
    </w:p>
    <w:p>
      <w:pPr>
        <w:spacing w:after="0" w:line="260" w:lineRule="exact"/>
        <w:rPr>
          <w:sz w:val="20"/>
          <w:szCs w:val="20"/>
          <w:color w:val="auto"/>
        </w:rPr>
      </w:pPr>
    </w:p>
    <w:p>
      <w:pPr>
        <w:ind w:left="340" w:hanging="332"/>
        <w:spacing w:after="0"/>
        <w:tabs>
          <w:tab w:leader="none" w:pos="340" w:val="left"/>
        </w:tabs>
        <w:numPr>
          <w:ilvl w:val="0"/>
          <w:numId w:val="115"/>
        </w:numPr>
        <w:rPr>
          <w:rFonts w:ascii="Arial" w:cs="Arial" w:eastAsia="Arial" w:hAnsi="Arial"/>
          <w:sz w:val="22"/>
          <w:szCs w:val="22"/>
          <w:color w:val="auto"/>
        </w:rPr>
      </w:pPr>
      <w:r>
        <w:rPr>
          <w:rFonts w:ascii="Arial" w:cs="Arial" w:eastAsia="Arial" w:hAnsi="Arial"/>
          <w:sz w:val="22"/>
          <w:szCs w:val="22"/>
          <w:color w:val="auto"/>
        </w:rPr>
        <w:t>I have reviewed this report on Form 10-Q of San Diego Gas &amp; Electric Company;</w:t>
      </w:r>
    </w:p>
    <w:p>
      <w:pPr>
        <w:spacing w:after="0" w:line="260" w:lineRule="exact"/>
        <w:rPr>
          <w:rFonts w:ascii="Arial" w:cs="Arial" w:eastAsia="Arial" w:hAnsi="Arial"/>
          <w:sz w:val="22"/>
          <w:szCs w:val="22"/>
          <w:color w:val="auto"/>
        </w:rPr>
      </w:pPr>
    </w:p>
    <w:p>
      <w:pPr>
        <w:ind w:left="340" w:right="220" w:hanging="332"/>
        <w:spacing w:after="0"/>
        <w:tabs>
          <w:tab w:leader="none" w:pos="340" w:val="left"/>
        </w:tabs>
        <w:numPr>
          <w:ilvl w:val="0"/>
          <w:numId w:val="115"/>
        </w:numPr>
        <w:rPr>
          <w:rFonts w:ascii="Arial" w:cs="Arial" w:eastAsia="Arial" w:hAnsi="Arial"/>
          <w:sz w:val="22"/>
          <w:szCs w:val="22"/>
          <w:color w:val="auto"/>
        </w:rPr>
      </w:pPr>
      <w:r>
        <w:rPr>
          <w:rFonts w:ascii="Arial" w:cs="Arial" w:eastAsia="Arial" w:hAnsi="Arial"/>
          <w:sz w:val="22"/>
          <w:szCs w:val="22"/>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40" w:lineRule="exact"/>
        <w:rPr>
          <w:rFonts w:ascii="Arial" w:cs="Arial" w:eastAsia="Arial" w:hAnsi="Arial"/>
          <w:sz w:val="22"/>
          <w:szCs w:val="22"/>
          <w:color w:val="auto"/>
        </w:rPr>
      </w:pPr>
    </w:p>
    <w:p>
      <w:pPr>
        <w:ind w:left="340" w:right="300" w:hanging="332"/>
        <w:spacing w:after="0"/>
        <w:tabs>
          <w:tab w:leader="none" w:pos="340" w:val="left"/>
        </w:tabs>
        <w:numPr>
          <w:ilvl w:val="0"/>
          <w:numId w:val="115"/>
        </w:numPr>
        <w:rPr>
          <w:rFonts w:ascii="Arial" w:cs="Arial" w:eastAsia="Arial" w:hAnsi="Arial"/>
          <w:sz w:val="22"/>
          <w:szCs w:val="22"/>
          <w:color w:val="auto"/>
        </w:rPr>
      </w:pPr>
      <w:r>
        <w:rPr>
          <w:rFonts w:ascii="Arial" w:cs="Arial" w:eastAsia="Arial" w:hAnsi="Arial"/>
          <w:sz w:val="22"/>
          <w:szCs w:val="22"/>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40" w:lineRule="exact"/>
        <w:rPr>
          <w:rFonts w:ascii="Arial" w:cs="Arial" w:eastAsia="Arial" w:hAnsi="Arial"/>
          <w:sz w:val="22"/>
          <w:szCs w:val="22"/>
          <w:color w:val="auto"/>
        </w:rPr>
      </w:pPr>
    </w:p>
    <w:p>
      <w:pPr>
        <w:ind w:left="340" w:hanging="332"/>
        <w:spacing w:after="0"/>
        <w:tabs>
          <w:tab w:leader="none" w:pos="340" w:val="left"/>
        </w:tabs>
        <w:numPr>
          <w:ilvl w:val="0"/>
          <w:numId w:val="115"/>
        </w:numPr>
        <w:rPr>
          <w:rFonts w:ascii="Arial" w:cs="Arial" w:eastAsia="Arial" w:hAnsi="Arial"/>
          <w:sz w:val="22"/>
          <w:szCs w:val="22"/>
          <w:color w:val="auto"/>
        </w:rPr>
      </w:pPr>
      <w:r>
        <w:rPr>
          <w:rFonts w:ascii="Arial" w:cs="Arial" w:eastAsia="Arial" w:hAnsi="Arial"/>
          <w:sz w:val="22"/>
          <w:szCs w:val="22"/>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40" w:lineRule="exact"/>
        <w:rPr>
          <w:rFonts w:ascii="Arial" w:cs="Arial" w:eastAsia="Arial" w:hAnsi="Arial"/>
          <w:sz w:val="22"/>
          <w:szCs w:val="22"/>
          <w:color w:val="auto"/>
        </w:rPr>
      </w:pPr>
    </w:p>
    <w:p>
      <w:pPr>
        <w:ind w:left="980" w:right="300" w:hanging="324"/>
        <w:spacing w:after="0" w:line="238" w:lineRule="auto"/>
        <w:tabs>
          <w:tab w:leader="none" w:pos="980" w:val="left"/>
        </w:tabs>
        <w:numPr>
          <w:ilvl w:val="1"/>
          <w:numId w:val="115"/>
        </w:numPr>
        <w:rPr>
          <w:rFonts w:ascii="Arial" w:cs="Arial" w:eastAsia="Arial" w:hAnsi="Arial"/>
          <w:sz w:val="22"/>
          <w:szCs w:val="22"/>
          <w:color w:val="auto"/>
        </w:rPr>
      </w:pPr>
      <w:r>
        <w:rPr>
          <w:rFonts w:ascii="Arial" w:cs="Arial" w:eastAsia="Arial" w:hAnsi="Arial"/>
          <w:sz w:val="22"/>
          <w:szCs w:val="22"/>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39" w:lineRule="exact"/>
        <w:rPr>
          <w:rFonts w:ascii="Arial" w:cs="Arial" w:eastAsia="Arial" w:hAnsi="Arial"/>
          <w:sz w:val="22"/>
          <w:szCs w:val="22"/>
          <w:color w:val="auto"/>
        </w:rPr>
      </w:pPr>
    </w:p>
    <w:p>
      <w:pPr>
        <w:ind w:left="980" w:right="200" w:hanging="324"/>
        <w:spacing w:after="0" w:line="297" w:lineRule="auto"/>
        <w:tabs>
          <w:tab w:leader="none" w:pos="980" w:val="left"/>
        </w:tabs>
        <w:numPr>
          <w:ilvl w:val="1"/>
          <w:numId w:val="115"/>
        </w:numPr>
        <w:rPr>
          <w:rFonts w:ascii="Arial" w:cs="Arial" w:eastAsia="Arial" w:hAnsi="Arial"/>
          <w:sz w:val="19"/>
          <w:szCs w:val="19"/>
          <w:color w:val="auto"/>
        </w:rPr>
      </w:pPr>
      <w:r>
        <w:rPr>
          <w:rFonts w:ascii="Arial" w:cs="Arial" w:eastAsia="Arial" w:hAnsi="Arial"/>
          <w:sz w:val="19"/>
          <w:szCs w:val="19"/>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8" w:lineRule="exact"/>
        <w:rPr>
          <w:rFonts w:ascii="Arial" w:cs="Arial" w:eastAsia="Arial" w:hAnsi="Arial"/>
          <w:sz w:val="19"/>
          <w:szCs w:val="19"/>
          <w:color w:val="auto"/>
        </w:rPr>
      </w:pPr>
    </w:p>
    <w:p>
      <w:pPr>
        <w:ind w:left="980" w:right="40" w:hanging="324"/>
        <w:spacing w:after="0"/>
        <w:tabs>
          <w:tab w:leader="none" w:pos="980" w:val="left"/>
        </w:tabs>
        <w:numPr>
          <w:ilvl w:val="1"/>
          <w:numId w:val="115"/>
        </w:numPr>
        <w:rPr>
          <w:rFonts w:ascii="Arial" w:cs="Arial" w:eastAsia="Arial" w:hAnsi="Arial"/>
          <w:sz w:val="22"/>
          <w:szCs w:val="22"/>
          <w:color w:val="auto"/>
        </w:rPr>
      </w:pPr>
      <w:r>
        <w:rPr>
          <w:rFonts w:ascii="Arial" w:cs="Arial" w:eastAsia="Arial" w:hAnsi="Arial"/>
          <w:sz w:val="22"/>
          <w:szCs w:val="22"/>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40" w:lineRule="exact"/>
        <w:rPr>
          <w:rFonts w:ascii="Arial" w:cs="Arial" w:eastAsia="Arial" w:hAnsi="Arial"/>
          <w:sz w:val="22"/>
          <w:szCs w:val="22"/>
          <w:color w:val="auto"/>
        </w:rPr>
      </w:pPr>
    </w:p>
    <w:p>
      <w:pPr>
        <w:ind w:left="980" w:right="200" w:hanging="324"/>
        <w:spacing w:after="0" w:line="238" w:lineRule="auto"/>
        <w:tabs>
          <w:tab w:leader="none" w:pos="980" w:val="left"/>
        </w:tabs>
        <w:numPr>
          <w:ilvl w:val="1"/>
          <w:numId w:val="115"/>
        </w:numPr>
        <w:rPr>
          <w:rFonts w:ascii="Arial" w:cs="Arial" w:eastAsia="Arial" w:hAnsi="Arial"/>
          <w:sz w:val="22"/>
          <w:szCs w:val="22"/>
          <w:color w:val="auto"/>
        </w:rPr>
      </w:pPr>
      <w:r>
        <w:rPr>
          <w:rFonts w:ascii="Arial" w:cs="Arial" w:eastAsia="Arial" w:hAnsi="Arial"/>
          <w:sz w:val="22"/>
          <w:szCs w:val="22"/>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39" w:lineRule="exact"/>
        <w:rPr>
          <w:rFonts w:ascii="Arial" w:cs="Arial" w:eastAsia="Arial" w:hAnsi="Arial"/>
          <w:sz w:val="22"/>
          <w:szCs w:val="22"/>
          <w:color w:val="auto"/>
        </w:rPr>
      </w:pPr>
    </w:p>
    <w:p>
      <w:pPr>
        <w:ind w:left="340" w:right="140" w:hanging="332"/>
        <w:spacing w:after="0"/>
        <w:tabs>
          <w:tab w:leader="none" w:pos="340" w:val="left"/>
        </w:tabs>
        <w:numPr>
          <w:ilvl w:val="0"/>
          <w:numId w:val="115"/>
        </w:numPr>
        <w:rPr>
          <w:rFonts w:ascii="Arial" w:cs="Arial" w:eastAsia="Arial" w:hAnsi="Arial"/>
          <w:sz w:val="22"/>
          <w:szCs w:val="22"/>
          <w:color w:val="auto"/>
        </w:rPr>
      </w:pPr>
      <w:r>
        <w:rPr>
          <w:rFonts w:ascii="Arial" w:cs="Arial" w:eastAsia="Arial" w:hAnsi="Arial"/>
          <w:sz w:val="22"/>
          <w:szCs w:val="22"/>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240" w:lineRule="exact"/>
        <w:rPr>
          <w:rFonts w:ascii="Arial" w:cs="Arial" w:eastAsia="Arial" w:hAnsi="Arial"/>
          <w:sz w:val="22"/>
          <w:szCs w:val="22"/>
          <w:color w:val="auto"/>
        </w:rPr>
      </w:pPr>
    </w:p>
    <w:p>
      <w:pPr>
        <w:ind w:left="980" w:right="80" w:hanging="324"/>
        <w:spacing w:after="0"/>
        <w:tabs>
          <w:tab w:leader="none" w:pos="980" w:val="left"/>
        </w:tabs>
        <w:numPr>
          <w:ilvl w:val="1"/>
          <w:numId w:val="115"/>
        </w:numPr>
        <w:rPr>
          <w:rFonts w:ascii="Arial" w:cs="Arial" w:eastAsia="Arial" w:hAnsi="Arial"/>
          <w:sz w:val="22"/>
          <w:szCs w:val="22"/>
          <w:color w:val="auto"/>
        </w:rPr>
      </w:pPr>
      <w:r>
        <w:rPr>
          <w:rFonts w:ascii="Arial" w:cs="Arial" w:eastAsia="Arial" w:hAnsi="Arial"/>
          <w:sz w:val="22"/>
          <w:szCs w:val="22"/>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40" w:lineRule="exact"/>
        <w:rPr>
          <w:rFonts w:ascii="Arial" w:cs="Arial" w:eastAsia="Arial" w:hAnsi="Arial"/>
          <w:sz w:val="22"/>
          <w:szCs w:val="22"/>
          <w:color w:val="auto"/>
        </w:rPr>
      </w:pPr>
    </w:p>
    <w:p>
      <w:pPr>
        <w:ind w:left="980" w:right="400" w:hanging="324"/>
        <w:spacing w:after="0" w:line="251" w:lineRule="auto"/>
        <w:tabs>
          <w:tab w:leader="none" w:pos="980" w:val="left"/>
        </w:tabs>
        <w:numPr>
          <w:ilvl w:val="1"/>
          <w:numId w:val="115"/>
        </w:numPr>
        <w:rPr>
          <w:rFonts w:ascii="Arial" w:cs="Arial" w:eastAsia="Arial" w:hAnsi="Arial"/>
          <w:sz w:val="22"/>
          <w:szCs w:val="22"/>
          <w:color w:val="auto"/>
        </w:rPr>
      </w:pPr>
      <w:r>
        <w:rPr>
          <w:rFonts w:ascii="Arial" w:cs="Arial" w:eastAsia="Arial" w:hAnsi="Arial"/>
          <w:sz w:val="22"/>
          <w:szCs w:val="22"/>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August 9, 2011</w:t>
      </w:r>
    </w:p>
    <w:p>
      <w:pPr>
        <w:spacing w:after="0" w:line="267" w:lineRule="exact"/>
        <w:rPr>
          <w:sz w:val="20"/>
          <w:szCs w:val="20"/>
          <w:color w:val="auto"/>
        </w:rPr>
      </w:pPr>
    </w:p>
    <w:p>
      <w:pPr>
        <w:ind w:left="9620"/>
        <w:spacing w:after="0"/>
        <w:rPr>
          <w:sz w:val="20"/>
          <w:szCs w:val="20"/>
          <w:color w:val="auto"/>
        </w:rPr>
      </w:pPr>
      <w:r>
        <w:rPr>
          <w:rFonts w:ascii="Arial" w:cs="Arial" w:eastAsia="Arial" w:hAnsi="Arial"/>
          <w:sz w:val="17"/>
          <w:szCs w:val="17"/>
          <w:color w:val="auto"/>
        </w:rPr>
        <w:t>/S/ Jessie J. Knight, Jr</w:t>
      </w:r>
      <w:r>
        <w:rPr>
          <w:rFonts w:ascii="Arial" w:cs="Arial" w:eastAsia="Arial" w:hAnsi="Arial"/>
          <w:sz w:val="17"/>
          <w:szCs w:val="17"/>
          <w:i w:val="1"/>
          <w:iCs w:val="1"/>
          <w:color w:val="auto"/>
        </w:rPr>
        <w:t>.</w:t>
      </w:r>
    </w:p>
    <w:p>
      <w:pPr>
        <w:spacing w:after="0" w:line="35" w:lineRule="exact"/>
        <w:rPr>
          <w:sz w:val="20"/>
          <w:szCs w:val="20"/>
          <w:color w:val="auto"/>
        </w:rPr>
      </w:pPr>
    </w:p>
    <w:p>
      <w:pPr>
        <w:ind w:left="9920"/>
        <w:spacing w:after="0"/>
        <w:rPr>
          <w:sz w:val="20"/>
          <w:szCs w:val="20"/>
          <w:color w:val="auto"/>
        </w:rPr>
      </w:pPr>
      <w:r>
        <w:rPr>
          <w:rFonts w:ascii="Arial" w:cs="Arial" w:eastAsia="Arial" w:hAnsi="Arial"/>
          <w:sz w:val="17"/>
          <w:szCs w:val="17"/>
          <w:color w:val="auto"/>
        </w:rPr>
        <w:t>Jessie J. Knight,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4498975</wp:posOffset>
            </wp:positionH>
            <wp:positionV relativeFrom="paragraph">
              <wp:posOffset>-123190</wp:posOffset>
            </wp:positionV>
            <wp:extent cx="2752725"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2752725" cy="8890"/>
                    </a:xfrm>
                    <a:prstGeom prst="rect">
                      <a:avLst/>
                    </a:prstGeom>
                    <a:noFill/>
                  </pic:spPr>
                </pic:pic>
              </a:graphicData>
            </a:graphic>
          </wp:anchor>
        </w:drawing>
      </w:r>
    </w:p>
    <w:p>
      <w:pPr>
        <w:spacing w:after="0" w:line="14" w:lineRule="exact"/>
        <w:rPr>
          <w:sz w:val="20"/>
          <w:szCs w:val="20"/>
          <w:color w:val="auto"/>
        </w:rPr>
      </w:pPr>
    </w:p>
    <w:p>
      <w:pPr>
        <w:ind w:left="9560"/>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1420"/>
          </w:cols>
          <w:pgMar w:left="240" w:top="118" w:right="239" w:bottom="1440" w:gutter="0" w:footer="0" w:header="0"/>
        </w:sectPr>
      </w:pPr>
    </w:p>
    <w:bookmarkStart w:id="83" w:name="page84"/>
    <w:bookmarkEnd w:id="83"/>
    <w:p>
      <w:pPr>
        <w:ind w:left="10120"/>
        <w:spacing w:after="0"/>
        <w:rPr>
          <w:sz w:val="20"/>
          <w:szCs w:val="20"/>
          <w:color w:val="auto"/>
        </w:rPr>
      </w:pPr>
      <w:r>
        <w:rPr>
          <w:rFonts w:ascii="Arial" w:cs="Arial" w:eastAsia="Arial" w:hAnsi="Arial"/>
          <w:sz w:val="21"/>
          <w:szCs w:val="21"/>
          <w:color w:val="auto"/>
        </w:rPr>
        <w:t>EXHIBIT 31.4</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CERTIFICATION</w:t>
      </w:r>
    </w:p>
    <w:p>
      <w:pPr>
        <w:spacing w:after="0" w:line="215" w:lineRule="exact"/>
        <w:rPr>
          <w:sz w:val="20"/>
          <w:szCs w:val="20"/>
          <w:color w:val="auto"/>
        </w:rPr>
      </w:pPr>
    </w:p>
    <w:p>
      <w:pPr>
        <w:spacing w:after="0"/>
        <w:rPr>
          <w:sz w:val="20"/>
          <w:szCs w:val="20"/>
          <w:color w:val="auto"/>
        </w:rPr>
      </w:pPr>
      <w:r>
        <w:rPr>
          <w:rFonts w:ascii="Arial" w:cs="Arial" w:eastAsia="Arial" w:hAnsi="Arial"/>
          <w:sz w:val="22"/>
          <w:szCs w:val="22"/>
          <w:color w:val="auto"/>
        </w:rPr>
        <w:t>I, Robert M. Schlax, certify that:</w:t>
      </w:r>
    </w:p>
    <w:p>
      <w:pPr>
        <w:spacing w:after="0" w:line="260" w:lineRule="exact"/>
        <w:rPr>
          <w:sz w:val="20"/>
          <w:szCs w:val="20"/>
          <w:color w:val="auto"/>
        </w:rPr>
      </w:pPr>
    </w:p>
    <w:p>
      <w:pPr>
        <w:ind w:left="340" w:hanging="332"/>
        <w:spacing w:after="0"/>
        <w:tabs>
          <w:tab w:leader="none" w:pos="340" w:val="left"/>
        </w:tabs>
        <w:numPr>
          <w:ilvl w:val="0"/>
          <w:numId w:val="116"/>
        </w:numPr>
        <w:rPr>
          <w:rFonts w:ascii="Arial" w:cs="Arial" w:eastAsia="Arial" w:hAnsi="Arial"/>
          <w:sz w:val="22"/>
          <w:szCs w:val="22"/>
          <w:color w:val="auto"/>
        </w:rPr>
      </w:pPr>
      <w:r>
        <w:rPr>
          <w:rFonts w:ascii="Arial" w:cs="Arial" w:eastAsia="Arial" w:hAnsi="Arial"/>
          <w:sz w:val="22"/>
          <w:szCs w:val="22"/>
          <w:color w:val="auto"/>
        </w:rPr>
        <w:t>I have reviewed this report on Form 10-Q of San Diego Gas &amp; Electric Company;</w:t>
      </w:r>
    </w:p>
    <w:p>
      <w:pPr>
        <w:spacing w:after="0" w:line="260" w:lineRule="exact"/>
        <w:rPr>
          <w:rFonts w:ascii="Arial" w:cs="Arial" w:eastAsia="Arial" w:hAnsi="Arial"/>
          <w:sz w:val="22"/>
          <w:szCs w:val="22"/>
          <w:color w:val="auto"/>
        </w:rPr>
      </w:pPr>
    </w:p>
    <w:p>
      <w:pPr>
        <w:ind w:left="340" w:right="220" w:hanging="332"/>
        <w:spacing w:after="0"/>
        <w:tabs>
          <w:tab w:leader="none" w:pos="340" w:val="left"/>
        </w:tabs>
        <w:numPr>
          <w:ilvl w:val="0"/>
          <w:numId w:val="116"/>
        </w:numPr>
        <w:rPr>
          <w:rFonts w:ascii="Arial" w:cs="Arial" w:eastAsia="Arial" w:hAnsi="Arial"/>
          <w:sz w:val="22"/>
          <w:szCs w:val="22"/>
          <w:color w:val="auto"/>
        </w:rPr>
      </w:pPr>
      <w:r>
        <w:rPr>
          <w:rFonts w:ascii="Arial" w:cs="Arial" w:eastAsia="Arial" w:hAnsi="Arial"/>
          <w:sz w:val="22"/>
          <w:szCs w:val="22"/>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40" w:lineRule="exact"/>
        <w:rPr>
          <w:rFonts w:ascii="Arial" w:cs="Arial" w:eastAsia="Arial" w:hAnsi="Arial"/>
          <w:sz w:val="22"/>
          <w:szCs w:val="22"/>
          <w:color w:val="auto"/>
        </w:rPr>
      </w:pPr>
    </w:p>
    <w:p>
      <w:pPr>
        <w:ind w:left="340" w:right="300" w:hanging="332"/>
        <w:spacing w:after="0"/>
        <w:tabs>
          <w:tab w:leader="none" w:pos="340" w:val="left"/>
        </w:tabs>
        <w:numPr>
          <w:ilvl w:val="0"/>
          <w:numId w:val="116"/>
        </w:numPr>
        <w:rPr>
          <w:rFonts w:ascii="Arial" w:cs="Arial" w:eastAsia="Arial" w:hAnsi="Arial"/>
          <w:sz w:val="22"/>
          <w:szCs w:val="22"/>
          <w:color w:val="auto"/>
        </w:rPr>
      </w:pPr>
      <w:r>
        <w:rPr>
          <w:rFonts w:ascii="Arial" w:cs="Arial" w:eastAsia="Arial" w:hAnsi="Arial"/>
          <w:sz w:val="22"/>
          <w:szCs w:val="22"/>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40" w:lineRule="exact"/>
        <w:rPr>
          <w:rFonts w:ascii="Arial" w:cs="Arial" w:eastAsia="Arial" w:hAnsi="Arial"/>
          <w:sz w:val="22"/>
          <w:szCs w:val="22"/>
          <w:color w:val="auto"/>
        </w:rPr>
      </w:pPr>
    </w:p>
    <w:p>
      <w:pPr>
        <w:ind w:left="340" w:hanging="332"/>
        <w:spacing w:after="0"/>
        <w:tabs>
          <w:tab w:leader="none" w:pos="340" w:val="left"/>
        </w:tabs>
        <w:numPr>
          <w:ilvl w:val="0"/>
          <w:numId w:val="116"/>
        </w:numPr>
        <w:rPr>
          <w:rFonts w:ascii="Arial" w:cs="Arial" w:eastAsia="Arial" w:hAnsi="Arial"/>
          <w:sz w:val="22"/>
          <w:szCs w:val="22"/>
          <w:color w:val="auto"/>
        </w:rPr>
      </w:pPr>
      <w:r>
        <w:rPr>
          <w:rFonts w:ascii="Arial" w:cs="Arial" w:eastAsia="Arial" w:hAnsi="Arial"/>
          <w:sz w:val="22"/>
          <w:szCs w:val="22"/>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40" w:lineRule="exact"/>
        <w:rPr>
          <w:rFonts w:ascii="Arial" w:cs="Arial" w:eastAsia="Arial" w:hAnsi="Arial"/>
          <w:sz w:val="22"/>
          <w:szCs w:val="22"/>
          <w:color w:val="auto"/>
        </w:rPr>
      </w:pPr>
    </w:p>
    <w:p>
      <w:pPr>
        <w:ind w:left="980" w:right="300" w:hanging="324"/>
        <w:spacing w:after="0" w:line="238" w:lineRule="auto"/>
        <w:tabs>
          <w:tab w:leader="none" w:pos="980" w:val="left"/>
        </w:tabs>
        <w:numPr>
          <w:ilvl w:val="1"/>
          <w:numId w:val="116"/>
        </w:numPr>
        <w:rPr>
          <w:rFonts w:ascii="Arial" w:cs="Arial" w:eastAsia="Arial" w:hAnsi="Arial"/>
          <w:sz w:val="22"/>
          <w:szCs w:val="22"/>
          <w:color w:val="auto"/>
        </w:rPr>
      </w:pPr>
      <w:r>
        <w:rPr>
          <w:rFonts w:ascii="Arial" w:cs="Arial" w:eastAsia="Arial" w:hAnsi="Arial"/>
          <w:sz w:val="22"/>
          <w:szCs w:val="22"/>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39" w:lineRule="exact"/>
        <w:rPr>
          <w:rFonts w:ascii="Arial" w:cs="Arial" w:eastAsia="Arial" w:hAnsi="Arial"/>
          <w:sz w:val="22"/>
          <w:szCs w:val="22"/>
          <w:color w:val="auto"/>
        </w:rPr>
      </w:pPr>
    </w:p>
    <w:p>
      <w:pPr>
        <w:ind w:left="980" w:right="200" w:hanging="324"/>
        <w:spacing w:after="0" w:line="297" w:lineRule="auto"/>
        <w:tabs>
          <w:tab w:leader="none" w:pos="980" w:val="left"/>
        </w:tabs>
        <w:numPr>
          <w:ilvl w:val="1"/>
          <w:numId w:val="116"/>
        </w:numPr>
        <w:rPr>
          <w:rFonts w:ascii="Arial" w:cs="Arial" w:eastAsia="Arial" w:hAnsi="Arial"/>
          <w:sz w:val="19"/>
          <w:szCs w:val="19"/>
          <w:color w:val="auto"/>
        </w:rPr>
      </w:pPr>
      <w:r>
        <w:rPr>
          <w:rFonts w:ascii="Arial" w:cs="Arial" w:eastAsia="Arial" w:hAnsi="Arial"/>
          <w:sz w:val="19"/>
          <w:szCs w:val="19"/>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8" w:lineRule="exact"/>
        <w:rPr>
          <w:rFonts w:ascii="Arial" w:cs="Arial" w:eastAsia="Arial" w:hAnsi="Arial"/>
          <w:sz w:val="19"/>
          <w:szCs w:val="19"/>
          <w:color w:val="auto"/>
        </w:rPr>
      </w:pPr>
    </w:p>
    <w:p>
      <w:pPr>
        <w:ind w:left="980" w:right="40" w:hanging="324"/>
        <w:spacing w:after="0"/>
        <w:tabs>
          <w:tab w:leader="none" w:pos="980" w:val="left"/>
        </w:tabs>
        <w:numPr>
          <w:ilvl w:val="1"/>
          <w:numId w:val="116"/>
        </w:numPr>
        <w:rPr>
          <w:rFonts w:ascii="Arial" w:cs="Arial" w:eastAsia="Arial" w:hAnsi="Arial"/>
          <w:sz w:val="22"/>
          <w:szCs w:val="22"/>
          <w:color w:val="auto"/>
        </w:rPr>
      </w:pPr>
      <w:r>
        <w:rPr>
          <w:rFonts w:ascii="Arial" w:cs="Arial" w:eastAsia="Arial" w:hAnsi="Arial"/>
          <w:sz w:val="22"/>
          <w:szCs w:val="22"/>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40" w:lineRule="exact"/>
        <w:rPr>
          <w:rFonts w:ascii="Arial" w:cs="Arial" w:eastAsia="Arial" w:hAnsi="Arial"/>
          <w:sz w:val="22"/>
          <w:szCs w:val="22"/>
          <w:color w:val="auto"/>
        </w:rPr>
      </w:pPr>
    </w:p>
    <w:p>
      <w:pPr>
        <w:ind w:left="980" w:right="200" w:hanging="324"/>
        <w:spacing w:after="0" w:line="238" w:lineRule="auto"/>
        <w:tabs>
          <w:tab w:leader="none" w:pos="980" w:val="left"/>
        </w:tabs>
        <w:numPr>
          <w:ilvl w:val="1"/>
          <w:numId w:val="116"/>
        </w:numPr>
        <w:rPr>
          <w:rFonts w:ascii="Arial" w:cs="Arial" w:eastAsia="Arial" w:hAnsi="Arial"/>
          <w:sz w:val="22"/>
          <w:szCs w:val="22"/>
          <w:color w:val="auto"/>
        </w:rPr>
      </w:pPr>
      <w:r>
        <w:rPr>
          <w:rFonts w:ascii="Arial" w:cs="Arial" w:eastAsia="Arial" w:hAnsi="Arial"/>
          <w:sz w:val="22"/>
          <w:szCs w:val="22"/>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39" w:lineRule="exact"/>
        <w:rPr>
          <w:rFonts w:ascii="Arial" w:cs="Arial" w:eastAsia="Arial" w:hAnsi="Arial"/>
          <w:sz w:val="22"/>
          <w:szCs w:val="22"/>
          <w:color w:val="auto"/>
        </w:rPr>
      </w:pPr>
    </w:p>
    <w:p>
      <w:pPr>
        <w:ind w:left="340" w:right="140" w:hanging="332"/>
        <w:spacing w:after="0"/>
        <w:tabs>
          <w:tab w:leader="none" w:pos="340" w:val="left"/>
        </w:tabs>
        <w:numPr>
          <w:ilvl w:val="0"/>
          <w:numId w:val="116"/>
        </w:numPr>
        <w:rPr>
          <w:rFonts w:ascii="Arial" w:cs="Arial" w:eastAsia="Arial" w:hAnsi="Arial"/>
          <w:sz w:val="22"/>
          <w:szCs w:val="22"/>
          <w:color w:val="auto"/>
        </w:rPr>
      </w:pPr>
      <w:r>
        <w:rPr>
          <w:rFonts w:ascii="Arial" w:cs="Arial" w:eastAsia="Arial" w:hAnsi="Arial"/>
          <w:sz w:val="22"/>
          <w:szCs w:val="22"/>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240" w:lineRule="exact"/>
        <w:rPr>
          <w:rFonts w:ascii="Arial" w:cs="Arial" w:eastAsia="Arial" w:hAnsi="Arial"/>
          <w:sz w:val="22"/>
          <w:szCs w:val="22"/>
          <w:color w:val="auto"/>
        </w:rPr>
      </w:pPr>
    </w:p>
    <w:p>
      <w:pPr>
        <w:ind w:left="980" w:right="80" w:hanging="324"/>
        <w:spacing w:after="0"/>
        <w:tabs>
          <w:tab w:leader="none" w:pos="980" w:val="left"/>
        </w:tabs>
        <w:numPr>
          <w:ilvl w:val="1"/>
          <w:numId w:val="116"/>
        </w:numPr>
        <w:rPr>
          <w:rFonts w:ascii="Arial" w:cs="Arial" w:eastAsia="Arial" w:hAnsi="Arial"/>
          <w:sz w:val="22"/>
          <w:szCs w:val="22"/>
          <w:color w:val="auto"/>
        </w:rPr>
      </w:pPr>
      <w:r>
        <w:rPr>
          <w:rFonts w:ascii="Arial" w:cs="Arial" w:eastAsia="Arial" w:hAnsi="Arial"/>
          <w:sz w:val="22"/>
          <w:szCs w:val="22"/>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40" w:lineRule="exact"/>
        <w:rPr>
          <w:rFonts w:ascii="Arial" w:cs="Arial" w:eastAsia="Arial" w:hAnsi="Arial"/>
          <w:sz w:val="22"/>
          <w:szCs w:val="22"/>
          <w:color w:val="auto"/>
        </w:rPr>
      </w:pPr>
    </w:p>
    <w:p>
      <w:pPr>
        <w:ind w:left="980" w:right="400" w:hanging="324"/>
        <w:spacing w:after="0" w:line="251" w:lineRule="auto"/>
        <w:tabs>
          <w:tab w:leader="none" w:pos="980" w:val="left"/>
        </w:tabs>
        <w:numPr>
          <w:ilvl w:val="1"/>
          <w:numId w:val="116"/>
        </w:numPr>
        <w:rPr>
          <w:rFonts w:ascii="Arial" w:cs="Arial" w:eastAsia="Arial" w:hAnsi="Arial"/>
          <w:sz w:val="22"/>
          <w:szCs w:val="22"/>
          <w:color w:val="auto"/>
        </w:rPr>
      </w:pPr>
      <w:r>
        <w:rPr>
          <w:rFonts w:ascii="Arial" w:cs="Arial" w:eastAsia="Arial" w:hAnsi="Arial"/>
          <w:sz w:val="22"/>
          <w:szCs w:val="22"/>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August 9, 2011</w:t>
      </w:r>
    </w:p>
    <w:p>
      <w:pPr>
        <w:spacing w:after="0" w:line="267" w:lineRule="exact"/>
        <w:rPr>
          <w:sz w:val="20"/>
          <w:szCs w:val="20"/>
          <w:color w:val="auto"/>
        </w:rPr>
      </w:pPr>
    </w:p>
    <w:p>
      <w:pPr>
        <w:ind w:left="9720"/>
        <w:spacing w:after="0"/>
        <w:rPr>
          <w:sz w:val="20"/>
          <w:szCs w:val="20"/>
          <w:color w:val="auto"/>
        </w:rPr>
      </w:pPr>
      <w:r>
        <w:rPr>
          <w:rFonts w:ascii="Arial" w:cs="Arial" w:eastAsia="Arial" w:hAnsi="Arial"/>
          <w:sz w:val="18"/>
          <w:szCs w:val="18"/>
          <w:color w:val="auto"/>
        </w:rPr>
        <w:t>/S/ Robert M. Schlax</w:t>
      </w:r>
    </w:p>
    <w:p>
      <w:pPr>
        <w:spacing w:after="0" w:line="23" w:lineRule="exact"/>
        <w:rPr>
          <w:sz w:val="20"/>
          <w:szCs w:val="20"/>
          <w:color w:val="auto"/>
        </w:rPr>
      </w:pPr>
    </w:p>
    <w:p>
      <w:pPr>
        <w:ind w:left="10020"/>
        <w:spacing w:after="0"/>
        <w:rPr>
          <w:sz w:val="20"/>
          <w:szCs w:val="20"/>
          <w:color w:val="auto"/>
        </w:rPr>
      </w:pPr>
      <w:r>
        <w:rPr>
          <w:rFonts w:ascii="Arial" w:cs="Arial" w:eastAsia="Arial" w:hAnsi="Arial"/>
          <w:sz w:val="18"/>
          <w:szCs w:val="18"/>
          <w:color w:val="auto"/>
        </w:rPr>
        <w:t>Robert M. Schlax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4653280</wp:posOffset>
            </wp:positionH>
            <wp:positionV relativeFrom="paragraph">
              <wp:posOffset>-130810</wp:posOffset>
            </wp:positionV>
            <wp:extent cx="2598420"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2598420" cy="8890"/>
                    </a:xfrm>
                    <a:prstGeom prst="rect">
                      <a:avLst/>
                    </a:prstGeom>
                    <a:noFill/>
                  </pic:spPr>
                </pic:pic>
              </a:graphicData>
            </a:graphic>
          </wp:anchor>
        </w:drawing>
      </w:r>
    </w:p>
    <w:p>
      <w:pPr>
        <w:spacing w:after="0" w:line="3" w:lineRule="exact"/>
        <w:rPr>
          <w:sz w:val="20"/>
          <w:szCs w:val="20"/>
          <w:color w:val="auto"/>
        </w:rPr>
      </w:pPr>
    </w:p>
    <w:p>
      <w:pPr>
        <w:ind w:left="962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420"/>
          </w:cols>
          <w:pgMar w:left="240" w:top="118" w:right="239" w:bottom="1440" w:gutter="0" w:footer="0" w:header="0"/>
        </w:sectPr>
      </w:pPr>
    </w:p>
    <w:bookmarkStart w:id="84" w:name="page85"/>
    <w:bookmarkEnd w:id="84"/>
    <w:p>
      <w:pPr>
        <w:ind w:left="10120"/>
        <w:spacing w:after="0"/>
        <w:rPr>
          <w:sz w:val="20"/>
          <w:szCs w:val="20"/>
          <w:color w:val="auto"/>
        </w:rPr>
      </w:pPr>
      <w:r>
        <w:rPr>
          <w:rFonts w:ascii="Arial" w:cs="Arial" w:eastAsia="Arial" w:hAnsi="Arial"/>
          <w:sz w:val="21"/>
          <w:szCs w:val="21"/>
          <w:color w:val="auto"/>
        </w:rPr>
        <w:t>EXHIBIT 31.5</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CERTIFICATION</w:t>
      </w:r>
    </w:p>
    <w:p>
      <w:pPr>
        <w:spacing w:after="0" w:line="215" w:lineRule="exact"/>
        <w:rPr>
          <w:sz w:val="20"/>
          <w:szCs w:val="20"/>
          <w:color w:val="auto"/>
        </w:rPr>
      </w:pPr>
    </w:p>
    <w:p>
      <w:pPr>
        <w:spacing w:after="0"/>
        <w:rPr>
          <w:sz w:val="20"/>
          <w:szCs w:val="20"/>
          <w:color w:val="auto"/>
        </w:rPr>
      </w:pPr>
      <w:r>
        <w:rPr>
          <w:rFonts w:ascii="Arial" w:cs="Arial" w:eastAsia="Arial" w:hAnsi="Arial"/>
          <w:sz w:val="22"/>
          <w:szCs w:val="22"/>
          <w:color w:val="auto"/>
        </w:rPr>
        <w:t>I, Michael W. Allman, certify that:</w:t>
      </w:r>
    </w:p>
    <w:p>
      <w:pPr>
        <w:spacing w:after="0" w:line="260" w:lineRule="exact"/>
        <w:rPr>
          <w:sz w:val="20"/>
          <w:szCs w:val="20"/>
          <w:color w:val="auto"/>
        </w:rPr>
      </w:pPr>
    </w:p>
    <w:p>
      <w:pPr>
        <w:ind w:left="340" w:hanging="332"/>
        <w:spacing w:after="0"/>
        <w:tabs>
          <w:tab w:leader="none" w:pos="340" w:val="left"/>
        </w:tabs>
        <w:numPr>
          <w:ilvl w:val="0"/>
          <w:numId w:val="117"/>
        </w:numPr>
        <w:rPr>
          <w:rFonts w:ascii="Arial" w:cs="Arial" w:eastAsia="Arial" w:hAnsi="Arial"/>
          <w:sz w:val="22"/>
          <w:szCs w:val="22"/>
          <w:color w:val="auto"/>
        </w:rPr>
      </w:pPr>
      <w:r>
        <w:rPr>
          <w:rFonts w:ascii="Arial" w:cs="Arial" w:eastAsia="Arial" w:hAnsi="Arial"/>
          <w:sz w:val="22"/>
          <w:szCs w:val="22"/>
          <w:color w:val="auto"/>
        </w:rPr>
        <w:t>I have reviewed this report on Form 10-Q of Southern California Gas Company;</w:t>
      </w:r>
    </w:p>
    <w:p>
      <w:pPr>
        <w:spacing w:after="0" w:line="260" w:lineRule="exact"/>
        <w:rPr>
          <w:rFonts w:ascii="Arial" w:cs="Arial" w:eastAsia="Arial" w:hAnsi="Arial"/>
          <w:sz w:val="22"/>
          <w:szCs w:val="22"/>
          <w:color w:val="auto"/>
        </w:rPr>
      </w:pPr>
    </w:p>
    <w:p>
      <w:pPr>
        <w:ind w:left="340" w:right="220" w:hanging="332"/>
        <w:spacing w:after="0"/>
        <w:tabs>
          <w:tab w:leader="none" w:pos="340" w:val="left"/>
        </w:tabs>
        <w:numPr>
          <w:ilvl w:val="0"/>
          <w:numId w:val="117"/>
        </w:numPr>
        <w:rPr>
          <w:rFonts w:ascii="Arial" w:cs="Arial" w:eastAsia="Arial" w:hAnsi="Arial"/>
          <w:sz w:val="22"/>
          <w:szCs w:val="22"/>
          <w:color w:val="auto"/>
        </w:rPr>
      </w:pPr>
      <w:r>
        <w:rPr>
          <w:rFonts w:ascii="Arial" w:cs="Arial" w:eastAsia="Arial" w:hAnsi="Arial"/>
          <w:sz w:val="22"/>
          <w:szCs w:val="22"/>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40" w:lineRule="exact"/>
        <w:rPr>
          <w:rFonts w:ascii="Arial" w:cs="Arial" w:eastAsia="Arial" w:hAnsi="Arial"/>
          <w:sz w:val="22"/>
          <w:szCs w:val="22"/>
          <w:color w:val="auto"/>
        </w:rPr>
      </w:pPr>
    </w:p>
    <w:p>
      <w:pPr>
        <w:ind w:left="340" w:right="300" w:hanging="332"/>
        <w:spacing w:after="0"/>
        <w:tabs>
          <w:tab w:leader="none" w:pos="340" w:val="left"/>
        </w:tabs>
        <w:numPr>
          <w:ilvl w:val="0"/>
          <w:numId w:val="117"/>
        </w:numPr>
        <w:rPr>
          <w:rFonts w:ascii="Arial" w:cs="Arial" w:eastAsia="Arial" w:hAnsi="Arial"/>
          <w:sz w:val="22"/>
          <w:szCs w:val="22"/>
          <w:color w:val="auto"/>
        </w:rPr>
      </w:pPr>
      <w:r>
        <w:rPr>
          <w:rFonts w:ascii="Arial" w:cs="Arial" w:eastAsia="Arial" w:hAnsi="Arial"/>
          <w:sz w:val="22"/>
          <w:szCs w:val="22"/>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40" w:lineRule="exact"/>
        <w:rPr>
          <w:rFonts w:ascii="Arial" w:cs="Arial" w:eastAsia="Arial" w:hAnsi="Arial"/>
          <w:sz w:val="22"/>
          <w:szCs w:val="22"/>
          <w:color w:val="auto"/>
        </w:rPr>
      </w:pPr>
    </w:p>
    <w:p>
      <w:pPr>
        <w:ind w:left="340" w:hanging="332"/>
        <w:spacing w:after="0"/>
        <w:tabs>
          <w:tab w:leader="none" w:pos="340" w:val="left"/>
        </w:tabs>
        <w:numPr>
          <w:ilvl w:val="0"/>
          <w:numId w:val="117"/>
        </w:numPr>
        <w:rPr>
          <w:rFonts w:ascii="Arial" w:cs="Arial" w:eastAsia="Arial" w:hAnsi="Arial"/>
          <w:sz w:val="22"/>
          <w:szCs w:val="22"/>
          <w:color w:val="auto"/>
        </w:rPr>
      </w:pPr>
      <w:r>
        <w:rPr>
          <w:rFonts w:ascii="Arial" w:cs="Arial" w:eastAsia="Arial" w:hAnsi="Arial"/>
          <w:sz w:val="22"/>
          <w:szCs w:val="22"/>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40" w:lineRule="exact"/>
        <w:rPr>
          <w:rFonts w:ascii="Arial" w:cs="Arial" w:eastAsia="Arial" w:hAnsi="Arial"/>
          <w:sz w:val="22"/>
          <w:szCs w:val="22"/>
          <w:color w:val="auto"/>
        </w:rPr>
      </w:pPr>
    </w:p>
    <w:p>
      <w:pPr>
        <w:ind w:left="980" w:right="300" w:hanging="324"/>
        <w:spacing w:after="0" w:line="238" w:lineRule="auto"/>
        <w:tabs>
          <w:tab w:leader="none" w:pos="980" w:val="left"/>
        </w:tabs>
        <w:numPr>
          <w:ilvl w:val="1"/>
          <w:numId w:val="117"/>
        </w:numPr>
        <w:rPr>
          <w:rFonts w:ascii="Arial" w:cs="Arial" w:eastAsia="Arial" w:hAnsi="Arial"/>
          <w:sz w:val="22"/>
          <w:szCs w:val="22"/>
          <w:color w:val="auto"/>
        </w:rPr>
      </w:pPr>
      <w:r>
        <w:rPr>
          <w:rFonts w:ascii="Arial" w:cs="Arial" w:eastAsia="Arial" w:hAnsi="Arial"/>
          <w:sz w:val="22"/>
          <w:szCs w:val="22"/>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39" w:lineRule="exact"/>
        <w:rPr>
          <w:rFonts w:ascii="Arial" w:cs="Arial" w:eastAsia="Arial" w:hAnsi="Arial"/>
          <w:sz w:val="22"/>
          <w:szCs w:val="22"/>
          <w:color w:val="auto"/>
        </w:rPr>
      </w:pPr>
    </w:p>
    <w:p>
      <w:pPr>
        <w:ind w:left="980" w:right="200" w:hanging="324"/>
        <w:spacing w:after="0" w:line="297" w:lineRule="auto"/>
        <w:tabs>
          <w:tab w:leader="none" w:pos="980" w:val="left"/>
        </w:tabs>
        <w:numPr>
          <w:ilvl w:val="1"/>
          <w:numId w:val="117"/>
        </w:numPr>
        <w:rPr>
          <w:rFonts w:ascii="Arial" w:cs="Arial" w:eastAsia="Arial" w:hAnsi="Arial"/>
          <w:sz w:val="19"/>
          <w:szCs w:val="19"/>
          <w:color w:val="auto"/>
        </w:rPr>
      </w:pPr>
      <w:r>
        <w:rPr>
          <w:rFonts w:ascii="Arial" w:cs="Arial" w:eastAsia="Arial" w:hAnsi="Arial"/>
          <w:sz w:val="19"/>
          <w:szCs w:val="19"/>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8" w:lineRule="exact"/>
        <w:rPr>
          <w:rFonts w:ascii="Arial" w:cs="Arial" w:eastAsia="Arial" w:hAnsi="Arial"/>
          <w:sz w:val="19"/>
          <w:szCs w:val="19"/>
          <w:color w:val="auto"/>
        </w:rPr>
      </w:pPr>
    </w:p>
    <w:p>
      <w:pPr>
        <w:ind w:left="980" w:right="40" w:hanging="324"/>
        <w:spacing w:after="0"/>
        <w:tabs>
          <w:tab w:leader="none" w:pos="980" w:val="left"/>
        </w:tabs>
        <w:numPr>
          <w:ilvl w:val="1"/>
          <w:numId w:val="117"/>
        </w:numPr>
        <w:rPr>
          <w:rFonts w:ascii="Arial" w:cs="Arial" w:eastAsia="Arial" w:hAnsi="Arial"/>
          <w:sz w:val="22"/>
          <w:szCs w:val="22"/>
          <w:color w:val="auto"/>
        </w:rPr>
      </w:pPr>
      <w:r>
        <w:rPr>
          <w:rFonts w:ascii="Arial" w:cs="Arial" w:eastAsia="Arial" w:hAnsi="Arial"/>
          <w:sz w:val="22"/>
          <w:szCs w:val="22"/>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40" w:lineRule="exact"/>
        <w:rPr>
          <w:rFonts w:ascii="Arial" w:cs="Arial" w:eastAsia="Arial" w:hAnsi="Arial"/>
          <w:sz w:val="22"/>
          <w:szCs w:val="22"/>
          <w:color w:val="auto"/>
        </w:rPr>
      </w:pPr>
    </w:p>
    <w:p>
      <w:pPr>
        <w:ind w:left="980" w:right="200" w:hanging="324"/>
        <w:spacing w:after="0" w:line="238" w:lineRule="auto"/>
        <w:tabs>
          <w:tab w:leader="none" w:pos="980" w:val="left"/>
        </w:tabs>
        <w:numPr>
          <w:ilvl w:val="1"/>
          <w:numId w:val="117"/>
        </w:numPr>
        <w:rPr>
          <w:rFonts w:ascii="Arial" w:cs="Arial" w:eastAsia="Arial" w:hAnsi="Arial"/>
          <w:sz w:val="22"/>
          <w:szCs w:val="22"/>
          <w:color w:val="auto"/>
        </w:rPr>
      </w:pPr>
      <w:r>
        <w:rPr>
          <w:rFonts w:ascii="Arial" w:cs="Arial" w:eastAsia="Arial" w:hAnsi="Arial"/>
          <w:sz w:val="22"/>
          <w:szCs w:val="22"/>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39" w:lineRule="exact"/>
        <w:rPr>
          <w:rFonts w:ascii="Arial" w:cs="Arial" w:eastAsia="Arial" w:hAnsi="Arial"/>
          <w:sz w:val="22"/>
          <w:szCs w:val="22"/>
          <w:color w:val="auto"/>
        </w:rPr>
      </w:pPr>
    </w:p>
    <w:p>
      <w:pPr>
        <w:ind w:left="340" w:right="140" w:hanging="332"/>
        <w:spacing w:after="0"/>
        <w:tabs>
          <w:tab w:leader="none" w:pos="340" w:val="left"/>
        </w:tabs>
        <w:numPr>
          <w:ilvl w:val="0"/>
          <w:numId w:val="117"/>
        </w:numPr>
        <w:rPr>
          <w:rFonts w:ascii="Arial" w:cs="Arial" w:eastAsia="Arial" w:hAnsi="Arial"/>
          <w:sz w:val="22"/>
          <w:szCs w:val="22"/>
          <w:color w:val="auto"/>
        </w:rPr>
      </w:pPr>
      <w:r>
        <w:rPr>
          <w:rFonts w:ascii="Arial" w:cs="Arial" w:eastAsia="Arial" w:hAnsi="Arial"/>
          <w:sz w:val="22"/>
          <w:szCs w:val="22"/>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240" w:lineRule="exact"/>
        <w:rPr>
          <w:rFonts w:ascii="Arial" w:cs="Arial" w:eastAsia="Arial" w:hAnsi="Arial"/>
          <w:sz w:val="22"/>
          <w:szCs w:val="22"/>
          <w:color w:val="auto"/>
        </w:rPr>
      </w:pPr>
    </w:p>
    <w:p>
      <w:pPr>
        <w:ind w:left="980" w:right="80" w:hanging="324"/>
        <w:spacing w:after="0"/>
        <w:tabs>
          <w:tab w:leader="none" w:pos="980" w:val="left"/>
        </w:tabs>
        <w:numPr>
          <w:ilvl w:val="1"/>
          <w:numId w:val="117"/>
        </w:numPr>
        <w:rPr>
          <w:rFonts w:ascii="Arial" w:cs="Arial" w:eastAsia="Arial" w:hAnsi="Arial"/>
          <w:sz w:val="22"/>
          <w:szCs w:val="22"/>
          <w:color w:val="auto"/>
        </w:rPr>
      </w:pPr>
      <w:r>
        <w:rPr>
          <w:rFonts w:ascii="Arial" w:cs="Arial" w:eastAsia="Arial" w:hAnsi="Arial"/>
          <w:sz w:val="22"/>
          <w:szCs w:val="22"/>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40" w:lineRule="exact"/>
        <w:rPr>
          <w:rFonts w:ascii="Arial" w:cs="Arial" w:eastAsia="Arial" w:hAnsi="Arial"/>
          <w:sz w:val="22"/>
          <w:szCs w:val="22"/>
          <w:color w:val="auto"/>
        </w:rPr>
      </w:pPr>
    </w:p>
    <w:p>
      <w:pPr>
        <w:ind w:left="980" w:right="400" w:hanging="324"/>
        <w:spacing w:after="0" w:line="251" w:lineRule="auto"/>
        <w:tabs>
          <w:tab w:leader="none" w:pos="980" w:val="left"/>
        </w:tabs>
        <w:numPr>
          <w:ilvl w:val="1"/>
          <w:numId w:val="117"/>
        </w:numPr>
        <w:rPr>
          <w:rFonts w:ascii="Arial" w:cs="Arial" w:eastAsia="Arial" w:hAnsi="Arial"/>
          <w:sz w:val="22"/>
          <w:szCs w:val="22"/>
          <w:color w:val="auto"/>
        </w:rPr>
      </w:pPr>
      <w:r>
        <w:rPr>
          <w:rFonts w:ascii="Arial" w:cs="Arial" w:eastAsia="Arial" w:hAnsi="Arial"/>
          <w:sz w:val="22"/>
          <w:szCs w:val="22"/>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August 9, 2011</w:t>
      </w:r>
    </w:p>
    <w:p>
      <w:pPr>
        <w:spacing w:after="0" w:line="267" w:lineRule="exact"/>
        <w:rPr>
          <w:sz w:val="20"/>
          <w:szCs w:val="20"/>
          <w:color w:val="auto"/>
        </w:rPr>
      </w:pPr>
    </w:p>
    <w:p>
      <w:pPr>
        <w:ind w:left="9580"/>
        <w:spacing w:after="0"/>
        <w:rPr>
          <w:sz w:val="20"/>
          <w:szCs w:val="20"/>
          <w:color w:val="auto"/>
        </w:rPr>
      </w:pPr>
      <w:r>
        <w:rPr>
          <w:rFonts w:ascii="Arial" w:cs="Arial" w:eastAsia="Arial" w:hAnsi="Arial"/>
          <w:sz w:val="18"/>
          <w:szCs w:val="18"/>
          <w:color w:val="auto"/>
        </w:rPr>
        <w:t>/S/ Michael W. Allman</w:t>
      </w:r>
    </w:p>
    <w:p>
      <w:pPr>
        <w:spacing w:after="0" w:line="23" w:lineRule="exact"/>
        <w:rPr>
          <w:sz w:val="20"/>
          <w:szCs w:val="20"/>
          <w:color w:val="auto"/>
        </w:rPr>
      </w:pPr>
    </w:p>
    <w:p>
      <w:pPr>
        <w:ind w:left="9880"/>
        <w:spacing w:after="0"/>
        <w:rPr>
          <w:sz w:val="20"/>
          <w:szCs w:val="20"/>
          <w:color w:val="auto"/>
        </w:rPr>
      </w:pPr>
      <w:r>
        <w:rPr>
          <w:rFonts w:ascii="Arial" w:cs="Arial" w:eastAsia="Arial" w:hAnsi="Arial"/>
          <w:sz w:val="18"/>
          <w:szCs w:val="18"/>
          <w:color w:val="auto"/>
        </w:rPr>
        <w:t>Michael W. Allman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4704715</wp:posOffset>
            </wp:positionH>
            <wp:positionV relativeFrom="paragraph">
              <wp:posOffset>-130810</wp:posOffset>
            </wp:positionV>
            <wp:extent cx="2546985"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2546985" cy="8890"/>
                    </a:xfrm>
                    <a:prstGeom prst="rect">
                      <a:avLst/>
                    </a:prstGeom>
                    <a:noFill/>
                  </pic:spPr>
                </pic:pic>
              </a:graphicData>
            </a:graphic>
          </wp:anchor>
        </w:drawing>
      </w:r>
    </w:p>
    <w:p>
      <w:pPr>
        <w:spacing w:after="0" w:line="3" w:lineRule="exact"/>
        <w:rPr>
          <w:sz w:val="20"/>
          <w:szCs w:val="20"/>
          <w:color w:val="auto"/>
        </w:rPr>
      </w:pPr>
    </w:p>
    <w:p>
      <w:pPr>
        <w:ind w:left="9560"/>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1420"/>
          </w:cols>
          <w:pgMar w:left="240" w:top="118" w:right="239" w:bottom="1440" w:gutter="0" w:footer="0" w:header="0"/>
        </w:sectPr>
      </w:pPr>
    </w:p>
    <w:bookmarkStart w:id="85" w:name="page86"/>
    <w:bookmarkEnd w:id="85"/>
    <w:p>
      <w:pPr>
        <w:ind w:left="10120"/>
        <w:spacing w:after="0"/>
        <w:rPr>
          <w:sz w:val="20"/>
          <w:szCs w:val="20"/>
          <w:color w:val="auto"/>
        </w:rPr>
      </w:pPr>
      <w:r>
        <w:rPr>
          <w:rFonts w:ascii="Arial" w:cs="Arial" w:eastAsia="Arial" w:hAnsi="Arial"/>
          <w:sz w:val="21"/>
          <w:szCs w:val="21"/>
          <w:color w:val="auto"/>
        </w:rPr>
        <w:t>EXHIBIT 31.6</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CERTIFICATION</w:t>
      </w:r>
    </w:p>
    <w:p>
      <w:pPr>
        <w:spacing w:after="0" w:line="215" w:lineRule="exact"/>
        <w:rPr>
          <w:sz w:val="20"/>
          <w:szCs w:val="20"/>
          <w:color w:val="auto"/>
        </w:rPr>
      </w:pPr>
    </w:p>
    <w:p>
      <w:pPr>
        <w:spacing w:after="0"/>
        <w:rPr>
          <w:sz w:val="20"/>
          <w:szCs w:val="20"/>
          <w:color w:val="auto"/>
        </w:rPr>
      </w:pPr>
      <w:r>
        <w:rPr>
          <w:rFonts w:ascii="Arial" w:cs="Arial" w:eastAsia="Arial" w:hAnsi="Arial"/>
          <w:sz w:val="22"/>
          <w:szCs w:val="22"/>
          <w:color w:val="auto"/>
        </w:rPr>
        <w:t>I, Robert M. Schlax, certify that:</w:t>
      </w:r>
    </w:p>
    <w:p>
      <w:pPr>
        <w:spacing w:after="0" w:line="260" w:lineRule="exact"/>
        <w:rPr>
          <w:sz w:val="20"/>
          <w:szCs w:val="20"/>
          <w:color w:val="auto"/>
        </w:rPr>
      </w:pPr>
    </w:p>
    <w:p>
      <w:pPr>
        <w:ind w:left="340" w:hanging="332"/>
        <w:spacing w:after="0"/>
        <w:tabs>
          <w:tab w:leader="none" w:pos="340" w:val="left"/>
        </w:tabs>
        <w:numPr>
          <w:ilvl w:val="0"/>
          <w:numId w:val="118"/>
        </w:numPr>
        <w:rPr>
          <w:rFonts w:ascii="Arial" w:cs="Arial" w:eastAsia="Arial" w:hAnsi="Arial"/>
          <w:sz w:val="22"/>
          <w:szCs w:val="22"/>
          <w:color w:val="auto"/>
        </w:rPr>
      </w:pPr>
      <w:r>
        <w:rPr>
          <w:rFonts w:ascii="Arial" w:cs="Arial" w:eastAsia="Arial" w:hAnsi="Arial"/>
          <w:sz w:val="22"/>
          <w:szCs w:val="22"/>
          <w:color w:val="auto"/>
        </w:rPr>
        <w:t>I have reviewed this report on Form 10-Q of Southern California Gas Company;</w:t>
      </w:r>
    </w:p>
    <w:p>
      <w:pPr>
        <w:spacing w:after="0" w:line="260" w:lineRule="exact"/>
        <w:rPr>
          <w:rFonts w:ascii="Arial" w:cs="Arial" w:eastAsia="Arial" w:hAnsi="Arial"/>
          <w:sz w:val="22"/>
          <w:szCs w:val="22"/>
          <w:color w:val="auto"/>
        </w:rPr>
      </w:pPr>
    </w:p>
    <w:p>
      <w:pPr>
        <w:ind w:left="340" w:right="220" w:hanging="332"/>
        <w:spacing w:after="0"/>
        <w:tabs>
          <w:tab w:leader="none" w:pos="340" w:val="left"/>
        </w:tabs>
        <w:numPr>
          <w:ilvl w:val="0"/>
          <w:numId w:val="118"/>
        </w:numPr>
        <w:rPr>
          <w:rFonts w:ascii="Arial" w:cs="Arial" w:eastAsia="Arial" w:hAnsi="Arial"/>
          <w:sz w:val="22"/>
          <w:szCs w:val="22"/>
          <w:color w:val="auto"/>
        </w:rPr>
      </w:pPr>
      <w:r>
        <w:rPr>
          <w:rFonts w:ascii="Arial" w:cs="Arial" w:eastAsia="Arial" w:hAnsi="Arial"/>
          <w:sz w:val="22"/>
          <w:szCs w:val="22"/>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40" w:lineRule="exact"/>
        <w:rPr>
          <w:rFonts w:ascii="Arial" w:cs="Arial" w:eastAsia="Arial" w:hAnsi="Arial"/>
          <w:sz w:val="22"/>
          <w:szCs w:val="22"/>
          <w:color w:val="auto"/>
        </w:rPr>
      </w:pPr>
    </w:p>
    <w:p>
      <w:pPr>
        <w:ind w:left="340" w:right="300" w:hanging="332"/>
        <w:spacing w:after="0"/>
        <w:tabs>
          <w:tab w:leader="none" w:pos="340" w:val="left"/>
        </w:tabs>
        <w:numPr>
          <w:ilvl w:val="0"/>
          <w:numId w:val="118"/>
        </w:numPr>
        <w:rPr>
          <w:rFonts w:ascii="Arial" w:cs="Arial" w:eastAsia="Arial" w:hAnsi="Arial"/>
          <w:sz w:val="22"/>
          <w:szCs w:val="22"/>
          <w:color w:val="auto"/>
        </w:rPr>
      </w:pPr>
      <w:r>
        <w:rPr>
          <w:rFonts w:ascii="Arial" w:cs="Arial" w:eastAsia="Arial" w:hAnsi="Arial"/>
          <w:sz w:val="22"/>
          <w:szCs w:val="22"/>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40" w:lineRule="exact"/>
        <w:rPr>
          <w:rFonts w:ascii="Arial" w:cs="Arial" w:eastAsia="Arial" w:hAnsi="Arial"/>
          <w:sz w:val="22"/>
          <w:szCs w:val="22"/>
          <w:color w:val="auto"/>
        </w:rPr>
      </w:pPr>
    </w:p>
    <w:p>
      <w:pPr>
        <w:ind w:left="340" w:hanging="332"/>
        <w:spacing w:after="0"/>
        <w:tabs>
          <w:tab w:leader="none" w:pos="340" w:val="left"/>
        </w:tabs>
        <w:numPr>
          <w:ilvl w:val="0"/>
          <w:numId w:val="118"/>
        </w:numPr>
        <w:rPr>
          <w:rFonts w:ascii="Arial" w:cs="Arial" w:eastAsia="Arial" w:hAnsi="Arial"/>
          <w:sz w:val="22"/>
          <w:szCs w:val="22"/>
          <w:color w:val="auto"/>
        </w:rPr>
      </w:pPr>
      <w:r>
        <w:rPr>
          <w:rFonts w:ascii="Arial" w:cs="Arial" w:eastAsia="Arial" w:hAnsi="Arial"/>
          <w:sz w:val="22"/>
          <w:szCs w:val="22"/>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40" w:lineRule="exact"/>
        <w:rPr>
          <w:rFonts w:ascii="Arial" w:cs="Arial" w:eastAsia="Arial" w:hAnsi="Arial"/>
          <w:sz w:val="22"/>
          <w:szCs w:val="22"/>
          <w:color w:val="auto"/>
        </w:rPr>
      </w:pPr>
    </w:p>
    <w:p>
      <w:pPr>
        <w:ind w:left="980" w:right="300" w:hanging="324"/>
        <w:spacing w:after="0" w:line="238" w:lineRule="auto"/>
        <w:tabs>
          <w:tab w:leader="none" w:pos="980" w:val="left"/>
        </w:tabs>
        <w:numPr>
          <w:ilvl w:val="1"/>
          <w:numId w:val="118"/>
        </w:numPr>
        <w:rPr>
          <w:rFonts w:ascii="Arial" w:cs="Arial" w:eastAsia="Arial" w:hAnsi="Arial"/>
          <w:sz w:val="22"/>
          <w:szCs w:val="22"/>
          <w:color w:val="auto"/>
        </w:rPr>
      </w:pPr>
      <w:r>
        <w:rPr>
          <w:rFonts w:ascii="Arial" w:cs="Arial" w:eastAsia="Arial" w:hAnsi="Arial"/>
          <w:sz w:val="22"/>
          <w:szCs w:val="22"/>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39" w:lineRule="exact"/>
        <w:rPr>
          <w:rFonts w:ascii="Arial" w:cs="Arial" w:eastAsia="Arial" w:hAnsi="Arial"/>
          <w:sz w:val="22"/>
          <w:szCs w:val="22"/>
          <w:color w:val="auto"/>
        </w:rPr>
      </w:pPr>
    </w:p>
    <w:p>
      <w:pPr>
        <w:ind w:left="980" w:right="200" w:hanging="324"/>
        <w:spacing w:after="0" w:line="297" w:lineRule="auto"/>
        <w:tabs>
          <w:tab w:leader="none" w:pos="980" w:val="left"/>
        </w:tabs>
        <w:numPr>
          <w:ilvl w:val="1"/>
          <w:numId w:val="118"/>
        </w:numPr>
        <w:rPr>
          <w:rFonts w:ascii="Arial" w:cs="Arial" w:eastAsia="Arial" w:hAnsi="Arial"/>
          <w:sz w:val="19"/>
          <w:szCs w:val="19"/>
          <w:color w:val="auto"/>
        </w:rPr>
      </w:pPr>
      <w:r>
        <w:rPr>
          <w:rFonts w:ascii="Arial" w:cs="Arial" w:eastAsia="Arial" w:hAnsi="Arial"/>
          <w:sz w:val="19"/>
          <w:szCs w:val="19"/>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8" w:lineRule="exact"/>
        <w:rPr>
          <w:rFonts w:ascii="Arial" w:cs="Arial" w:eastAsia="Arial" w:hAnsi="Arial"/>
          <w:sz w:val="19"/>
          <w:szCs w:val="19"/>
          <w:color w:val="auto"/>
        </w:rPr>
      </w:pPr>
    </w:p>
    <w:p>
      <w:pPr>
        <w:ind w:left="980" w:right="40" w:hanging="324"/>
        <w:spacing w:after="0"/>
        <w:tabs>
          <w:tab w:leader="none" w:pos="980" w:val="left"/>
        </w:tabs>
        <w:numPr>
          <w:ilvl w:val="1"/>
          <w:numId w:val="118"/>
        </w:numPr>
        <w:rPr>
          <w:rFonts w:ascii="Arial" w:cs="Arial" w:eastAsia="Arial" w:hAnsi="Arial"/>
          <w:sz w:val="22"/>
          <w:szCs w:val="22"/>
          <w:color w:val="auto"/>
        </w:rPr>
      </w:pPr>
      <w:r>
        <w:rPr>
          <w:rFonts w:ascii="Arial" w:cs="Arial" w:eastAsia="Arial" w:hAnsi="Arial"/>
          <w:sz w:val="22"/>
          <w:szCs w:val="22"/>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40" w:lineRule="exact"/>
        <w:rPr>
          <w:rFonts w:ascii="Arial" w:cs="Arial" w:eastAsia="Arial" w:hAnsi="Arial"/>
          <w:sz w:val="22"/>
          <w:szCs w:val="22"/>
          <w:color w:val="auto"/>
        </w:rPr>
      </w:pPr>
    </w:p>
    <w:p>
      <w:pPr>
        <w:ind w:left="980" w:right="200" w:hanging="324"/>
        <w:spacing w:after="0" w:line="238" w:lineRule="auto"/>
        <w:tabs>
          <w:tab w:leader="none" w:pos="980" w:val="left"/>
        </w:tabs>
        <w:numPr>
          <w:ilvl w:val="1"/>
          <w:numId w:val="118"/>
        </w:numPr>
        <w:rPr>
          <w:rFonts w:ascii="Arial" w:cs="Arial" w:eastAsia="Arial" w:hAnsi="Arial"/>
          <w:sz w:val="22"/>
          <w:szCs w:val="22"/>
          <w:color w:val="auto"/>
        </w:rPr>
      </w:pPr>
      <w:r>
        <w:rPr>
          <w:rFonts w:ascii="Arial" w:cs="Arial" w:eastAsia="Arial" w:hAnsi="Arial"/>
          <w:sz w:val="22"/>
          <w:szCs w:val="22"/>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39" w:lineRule="exact"/>
        <w:rPr>
          <w:rFonts w:ascii="Arial" w:cs="Arial" w:eastAsia="Arial" w:hAnsi="Arial"/>
          <w:sz w:val="22"/>
          <w:szCs w:val="22"/>
          <w:color w:val="auto"/>
        </w:rPr>
      </w:pPr>
    </w:p>
    <w:p>
      <w:pPr>
        <w:ind w:left="340" w:right="140" w:hanging="332"/>
        <w:spacing w:after="0"/>
        <w:tabs>
          <w:tab w:leader="none" w:pos="340" w:val="left"/>
        </w:tabs>
        <w:numPr>
          <w:ilvl w:val="0"/>
          <w:numId w:val="118"/>
        </w:numPr>
        <w:rPr>
          <w:rFonts w:ascii="Arial" w:cs="Arial" w:eastAsia="Arial" w:hAnsi="Arial"/>
          <w:sz w:val="22"/>
          <w:szCs w:val="22"/>
          <w:color w:val="auto"/>
        </w:rPr>
      </w:pPr>
      <w:r>
        <w:rPr>
          <w:rFonts w:ascii="Arial" w:cs="Arial" w:eastAsia="Arial" w:hAnsi="Arial"/>
          <w:sz w:val="22"/>
          <w:szCs w:val="22"/>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240" w:lineRule="exact"/>
        <w:rPr>
          <w:rFonts w:ascii="Arial" w:cs="Arial" w:eastAsia="Arial" w:hAnsi="Arial"/>
          <w:sz w:val="22"/>
          <w:szCs w:val="22"/>
          <w:color w:val="auto"/>
        </w:rPr>
      </w:pPr>
    </w:p>
    <w:p>
      <w:pPr>
        <w:ind w:left="980" w:right="80" w:hanging="324"/>
        <w:spacing w:after="0"/>
        <w:tabs>
          <w:tab w:leader="none" w:pos="980" w:val="left"/>
        </w:tabs>
        <w:numPr>
          <w:ilvl w:val="1"/>
          <w:numId w:val="118"/>
        </w:numPr>
        <w:rPr>
          <w:rFonts w:ascii="Arial" w:cs="Arial" w:eastAsia="Arial" w:hAnsi="Arial"/>
          <w:sz w:val="22"/>
          <w:szCs w:val="22"/>
          <w:color w:val="auto"/>
        </w:rPr>
      </w:pPr>
      <w:r>
        <w:rPr>
          <w:rFonts w:ascii="Arial" w:cs="Arial" w:eastAsia="Arial" w:hAnsi="Arial"/>
          <w:sz w:val="22"/>
          <w:szCs w:val="22"/>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40" w:lineRule="exact"/>
        <w:rPr>
          <w:rFonts w:ascii="Arial" w:cs="Arial" w:eastAsia="Arial" w:hAnsi="Arial"/>
          <w:sz w:val="22"/>
          <w:szCs w:val="22"/>
          <w:color w:val="auto"/>
        </w:rPr>
      </w:pPr>
    </w:p>
    <w:p>
      <w:pPr>
        <w:ind w:left="980" w:right="400" w:hanging="324"/>
        <w:spacing w:after="0" w:line="251" w:lineRule="auto"/>
        <w:tabs>
          <w:tab w:leader="none" w:pos="980" w:val="left"/>
        </w:tabs>
        <w:numPr>
          <w:ilvl w:val="1"/>
          <w:numId w:val="118"/>
        </w:numPr>
        <w:rPr>
          <w:rFonts w:ascii="Arial" w:cs="Arial" w:eastAsia="Arial" w:hAnsi="Arial"/>
          <w:sz w:val="22"/>
          <w:szCs w:val="22"/>
          <w:color w:val="auto"/>
        </w:rPr>
      </w:pPr>
      <w:r>
        <w:rPr>
          <w:rFonts w:ascii="Arial" w:cs="Arial" w:eastAsia="Arial" w:hAnsi="Arial"/>
          <w:sz w:val="22"/>
          <w:szCs w:val="22"/>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August 9, 2011</w:t>
      </w:r>
    </w:p>
    <w:p>
      <w:pPr>
        <w:spacing w:after="0" w:line="267" w:lineRule="exact"/>
        <w:rPr>
          <w:sz w:val="20"/>
          <w:szCs w:val="20"/>
          <w:color w:val="auto"/>
        </w:rPr>
      </w:pPr>
    </w:p>
    <w:p>
      <w:pPr>
        <w:ind w:left="9720"/>
        <w:spacing w:after="0"/>
        <w:rPr>
          <w:sz w:val="20"/>
          <w:szCs w:val="20"/>
          <w:color w:val="auto"/>
        </w:rPr>
      </w:pPr>
      <w:r>
        <w:rPr>
          <w:rFonts w:ascii="Arial" w:cs="Arial" w:eastAsia="Arial" w:hAnsi="Arial"/>
          <w:sz w:val="18"/>
          <w:szCs w:val="18"/>
          <w:color w:val="auto"/>
        </w:rPr>
        <w:t>/S/ Robert M. Schlax</w:t>
      </w:r>
    </w:p>
    <w:p>
      <w:pPr>
        <w:spacing w:after="0" w:line="23" w:lineRule="exact"/>
        <w:rPr>
          <w:sz w:val="20"/>
          <w:szCs w:val="20"/>
          <w:color w:val="auto"/>
        </w:rPr>
      </w:pPr>
    </w:p>
    <w:p>
      <w:pPr>
        <w:ind w:left="10020"/>
        <w:spacing w:after="0"/>
        <w:rPr>
          <w:sz w:val="20"/>
          <w:szCs w:val="20"/>
          <w:color w:val="auto"/>
        </w:rPr>
      </w:pPr>
      <w:r>
        <w:rPr>
          <w:rFonts w:ascii="Arial" w:cs="Arial" w:eastAsia="Arial" w:hAnsi="Arial"/>
          <w:sz w:val="18"/>
          <w:szCs w:val="18"/>
          <w:color w:val="auto"/>
        </w:rPr>
        <w:t>Robert M. Schlax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4807585</wp:posOffset>
            </wp:positionH>
            <wp:positionV relativeFrom="paragraph">
              <wp:posOffset>-130810</wp:posOffset>
            </wp:positionV>
            <wp:extent cx="2444115"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2444115" cy="8890"/>
                    </a:xfrm>
                    <a:prstGeom prst="rect">
                      <a:avLst/>
                    </a:prstGeom>
                    <a:noFill/>
                  </pic:spPr>
                </pic:pic>
              </a:graphicData>
            </a:graphic>
          </wp:anchor>
        </w:drawing>
      </w:r>
    </w:p>
    <w:p>
      <w:pPr>
        <w:spacing w:after="0" w:line="3" w:lineRule="exact"/>
        <w:rPr>
          <w:sz w:val="20"/>
          <w:szCs w:val="20"/>
          <w:color w:val="auto"/>
        </w:rPr>
      </w:pPr>
    </w:p>
    <w:p>
      <w:pPr>
        <w:ind w:left="962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420"/>
          </w:cols>
          <w:pgMar w:left="240" w:top="118" w:right="239" w:bottom="1440" w:gutter="0" w:footer="0" w:header="0"/>
        </w:sectPr>
      </w:pPr>
    </w:p>
    <w:bookmarkStart w:id="86" w:name="page87"/>
    <w:bookmarkEnd w:id="86"/>
    <w:p>
      <w:pPr>
        <w:jc w:val="right"/>
        <w:spacing w:after="0"/>
        <w:rPr>
          <w:sz w:val="20"/>
          <w:szCs w:val="20"/>
          <w:color w:val="auto"/>
        </w:rPr>
      </w:pPr>
      <w:r>
        <w:rPr>
          <w:rFonts w:ascii="Arial" w:cs="Arial" w:eastAsia="Arial" w:hAnsi="Arial"/>
          <w:sz w:val="22"/>
          <w:szCs w:val="22"/>
          <w:color w:val="auto"/>
        </w:rPr>
        <w:t>Exhibit 32.1</w:t>
      </w: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Statement of Chief Executive Officer</w:t>
      </w:r>
    </w:p>
    <w:p>
      <w:pPr>
        <w:spacing w:after="0" w:line="233" w:lineRule="exact"/>
        <w:rPr>
          <w:sz w:val="20"/>
          <w:szCs w:val="20"/>
          <w:color w:val="auto"/>
        </w:rPr>
      </w:pPr>
    </w:p>
    <w:p>
      <w:pPr>
        <w:ind w:right="360"/>
        <w:spacing w:after="0" w:line="251" w:lineRule="auto"/>
        <w:rPr>
          <w:sz w:val="20"/>
          <w:szCs w:val="20"/>
          <w:color w:val="auto"/>
        </w:rPr>
      </w:pPr>
      <w:r>
        <w:rPr>
          <w:rFonts w:ascii="Arial" w:cs="Arial" w:eastAsia="Arial" w:hAnsi="Arial"/>
          <w:sz w:val="22"/>
          <w:szCs w:val="22"/>
          <w:color w:val="auto"/>
        </w:rPr>
        <w:t>Pursuant to 18 U.S.C. Sec 1350, as created by Section 906 of the Sarbanes-Oxley Act of 2002, the undersigned Chief Executive Officer of Sempra Energy (the "Company") certifies that:</w:t>
      </w:r>
    </w:p>
    <w:p>
      <w:pPr>
        <w:spacing w:after="0" w:line="227" w:lineRule="exact"/>
        <w:rPr>
          <w:sz w:val="20"/>
          <w:szCs w:val="20"/>
          <w:color w:val="auto"/>
        </w:rPr>
      </w:pPr>
    </w:p>
    <w:p>
      <w:pPr>
        <w:ind w:left="1300" w:right="440" w:hanging="644"/>
        <w:spacing w:after="0" w:line="258" w:lineRule="auto"/>
        <w:tabs>
          <w:tab w:leader="none" w:pos="1300" w:val="left"/>
        </w:tabs>
        <w:numPr>
          <w:ilvl w:val="0"/>
          <w:numId w:val="119"/>
        </w:numPr>
        <w:rPr>
          <w:rFonts w:ascii="Arial" w:cs="Arial" w:eastAsia="Arial" w:hAnsi="Arial"/>
          <w:sz w:val="21"/>
          <w:szCs w:val="21"/>
          <w:color w:val="auto"/>
        </w:rPr>
      </w:pPr>
      <w:r>
        <w:rPr>
          <w:rFonts w:ascii="Arial" w:cs="Arial" w:eastAsia="Arial" w:hAnsi="Arial"/>
          <w:sz w:val="21"/>
          <w:szCs w:val="21"/>
          <w:color w:val="auto"/>
        </w:rPr>
        <w:t>the Quarterly Report on Form 10-Q of the Company filed with the Securities and Exchange Commission for the quarter ended June 30, 2011 (the "Quarterly Report") fully complies with the requirements of Section 13(a) or Section 15(d), as applicable, of the Securities Exchange Act of 1934, as amended; and</w:t>
      </w:r>
    </w:p>
    <w:p>
      <w:pPr>
        <w:spacing w:after="0" w:line="220" w:lineRule="exact"/>
        <w:rPr>
          <w:rFonts w:ascii="Arial" w:cs="Arial" w:eastAsia="Arial" w:hAnsi="Arial"/>
          <w:sz w:val="21"/>
          <w:szCs w:val="21"/>
          <w:color w:val="auto"/>
        </w:rPr>
      </w:pPr>
    </w:p>
    <w:p>
      <w:pPr>
        <w:ind w:left="1300" w:right="60" w:hanging="644"/>
        <w:spacing w:after="0" w:line="251" w:lineRule="auto"/>
        <w:tabs>
          <w:tab w:leader="none" w:pos="1300" w:val="left"/>
        </w:tabs>
        <w:numPr>
          <w:ilvl w:val="0"/>
          <w:numId w:val="119"/>
        </w:numPr>
        <w:rPr>
          <w:rFonts w:ascii="Arial" w:cs="Arial" w:eastAsia="Arial" w:hAnsi="Arial"/>
          <w:sz w:val="22"/>
          <w:szCs w:val="22"/>
          <w:color w:val="auto"/>
        </w:rPr>
      </w:pPr>
      <w:r>
        <w:rPr>
          <w:rFonts w:ascii="Arial" w:cs="Arial" w:eastAsia="Arial" w:hAnsi="Arial"/>
          <w:sz w:val="22"/>
          <w:szCs w:val="22"/>
          <w:color w:val="auto"/>
        </w:rPr>
        <w:t>the information contained in the Quarterly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Arial" w:cs="Arial" w:eastAsia="Arial" w:hAnsi="Arial"/>
          <w:sz w:val="22"/>
          <w:szCs w:val="22"/>
          <w:color w:val="auto"/>
        </w:rPr>
        <w:t>August 9, 2011</w:t>
      </w:r>
    </w:p>
    <w:p>
      <w:pPr>
        <w:spacing w:after="0" w:line="362" w:lineRule="exact"/>
        <w:rPr>
          <w:sz w:val="20"/>
          <w:szCs w:val="20"/>
          <w:color w:val="auto"/>
        </w:rPr>
      </w:pPr>
    </w:p>
    <w:p>
      <w:pPr>
        <w:ind w:left="9940"/>
        <w:spacing w:after="0"/>
        <w:rPr>
          <w:sz w:val="20"/>
          <w:szCs w:val="20"/>
          <w:color w:val="auto"/>
        </w:rPr>
      </w:pPr>
      <w:r>
        <w:rPr>
          <w:rFonts w:ascii="Arial" w:cs="Arial" w:eastAsia="Arial" w:hAnsi="Arial"/>
          <w:sz w:val="18"/>
          <w:szCs w:val="18"/>
          <w:color w:val="auto"/>
        </w:rPr>
        <w:t>/S/ Debra L. Reed</w:t>
      </w:r>
    </w:p>
    <w:p>
      <w:pPr>
        <w:spacing w:after="0" w:line="23" w:lineRule="exact"/>
        <w:rPr>
          <w:sz w:val="20"/>
          <w:szCs w:val="20"/>
          <w:color w:val="auto"/>
        </w:rPr>
      </w:pPr>
    </w:p>
    <w:p>
      <w:pPr>
        <w:ind w:left="10240"/>
        <w:spacing w:after="0"/>
        <w:rPr>
          <w:sz w:val="20"/>
          <w:szCs w:val="20"/>
          <w:color w:val="auto"/>
        </w:rPr>
      </w:pPr>
      <w:r>
        <w:rPr>
          <w:rFonts w:ascii="Arial" w:cs="Arial" w:eastAsia="Arial" w:hAnsi="Arial"/>
          <w:sz w:val="18"/>
          <w:szCs w:val="18"/>
          <w:color w:val="auto"/>
        </w:rPr>
        <w:t>Debra L. Reed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4859020</wp:posOffset>
            </wp:positionH>
            <wp:positionV relativeFrom="paragraph">
              <wp:posOffset>-130810</wp:posOffset>
            </wp:positionV>
            <wp:extent cx="2392680"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2392680" cy="8890"/>
                    </a:xfrm>
                    <a:prstGeom prst="rect">
                      <a:avLst/>
                    </a:prstGeom>
                    <a:noFill/>
                  </pic:spPr>
                </pic:pic>
              </a:graphicData>
            </a:graphic>
          </wp:anchor>
        </w:drawing>
      </w:r>
    </w:p>
    <w:p>
      <w:pPr>
        <w:spacing w:after="0" w:line="3" w:lineRule="exact"/>
        <w:rPr>
          <w:sz w:val="20"/>
          <w:szCs w:val="20"/>
          <w:color w:val="auto"/>
        </w:rPr>
      </w:pPr>
    </w:p>
    <w:p>
      <w:pPr>
        <w:ind w:left="9560"/>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1420"/>
          </w:cols>
          <w:pgMar w:left="240" w:top="118" w:right="239" w:bottom="1440" w:gutter="0" w:footer="0" w:header="0"/>
        </w:sectPr>
      </w:pPr>
    </w:p>
    <w:bookmarkStart w:id="87" w:name="page88"/>
    <w:bookmarkEnd w:id="87"/>
    <w:p>
      <w:pPr>
        <w:jc w:val="right"/>
        <w:spacing w:after="0"/>
        <w:rPr>
          <w:sz w:val="20"/>
          <w:szCs w:val="20"/>
          <w:color w:val="auto"/>
        </w:rPr>
      </w:pPr>
      <w:r>
        <w:rPr>
          <w:rFonts w:ascii="Arial" w:cs="Arial" w:eastAsia="Arial" w:hAnsi="Arial"/>
          <w:sz w:val="22"/>
          <w:szCs w:val="22"/>
          <w:color w:val="auto"/>
        </w:rPr>
        <w:t>Exhibit 32.2</w:t>
      </w:r>
    </w:p>
    <w:p>
      <w:pPr>
        <w:spacing w:after="0" w:line="23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Statement of Chief Financial Officer</w:t>
      </w:r>
    </w:p>
    <w:p>
      <w:pPr>
        <w:spacing w:after="0" w:line="233" w:lineRule="exact"/>
        <w:rPr>
          <w:sz w:val="20"/>
          <w:szCs w:val="20"/>
          <w:color w:val="auto"/>
        </w:rPr>
      </w:pPr>
    </w:p>
    <w:p>
      <w:pPr>
        <w:ind w:right="420"/>
        <w:spacing w:after="0" w:line="251" w:lineRule="auto"/>
        <w:rPr>
          <w:sz w:val="20"/>
          <w:szCs w:val="20"/>
          <w:color w:val="auto"/>
        </w:rPr>
      </w:pPr>
      <w:r>
        <w:rPr>
          <w:rFonts w:ascii="Arial" w:cs="Arial" w:eastAsia="Arial" w:hAnsi="Arial"/>
          <w:sz w:val="22"/>
          <w:szCs w:val="22"/>
          <w:color w:val="auto"/>
        </w:rPr>
        <w:t>Pursuant to 18 U.S.C. Sec 1350, as created by Section 906 of the Sarbanes-Oxley Act of 2002, the undersigned Chief Financial Officer of Sempra Energy (the "Company") certifies that:</w:t>
      </w:r>
    </w:p>
    <w:p>
      <w:pPr>
        <w:spacing w:after="0" w:line="227" w:lineRule="exact"/>
        <w:rPr>
          <w:sz w:val="20"/>
          <w:szCs w:val="20"/>
          <w:color w:val="auto"/>
        </w:rPr>
      </w:pPr>
    </w:p>
    <w:p>
      <w:pPr>
        <w:ind w:left="1300" w:right="440" w:hanging="644"/>
        <w:spacing w:after="0" w:line="258" w:lineRule="auto"/>
        <w:tabs>
          <w:tab w:leader="none" w:pos="1300" w:val="left"/>
        </w:tabs>
        <w:numPr>
          <w:ilvl w:val="0"/>
          <w:numId w:val="120"/>
        </w:numPr>
        <w:rPr>
          <w:rFonts w:ascii="Arial" w:cs="Arial" w:eastAsia="Arial" w:hAnsi="Arial"/>
          <w:sz w:val="21"/>
          <w:szCs w:val="21"/>
          <w:color w:val="auto"/>
        </w:rPr>
      </w:pPr>
      <w:r>
        <w:rPr>
          <w:rFonts w:ascii="Arial" w:cs="Arial" w:eastAsia="Arial" w:hAnsi="Arial"/>
          <w:sz w:val="21"/>
          <w:szCs w:val="21"/>
          <w:color w:val="auto"/>
        </w:rPr>
        <w:t>the Quarterly Report on Form 10-Q of the Company filed with the Securities and Exchange Commission for the quarter ended June 30, 2011 (the "Quarterly Report") fully complies with the requirements of Section 13(a) or Section 15(d), as applicable, of the Securities Exchange Act of 1934, as amended; and</w:t>
      </w:r>
    </w:p>
    <w:p>
      <w:pPr>
        <w:spacing w:after="0" w:line="220" w:lineRule="exact"/>
        <w:rPr>
          <w:rFonts w:ascii="Arial" w:cs="Arial" w:eastAsia="Arial" w:hAnsi="Arial"/>
          <w:sz w:val="21"/>
          <w:szCs w:val="21"/>
          <w:color w:val="auto"/>
        </w:rPr>
      </w:pPr>
    </w:p>
    <w:p>
      <w:pPr>
        <w:ind w:left="1300" w:right="60" w:hanging="644"/>
        <w:spacing w:after="0" w:line="251" w:lineRule="auto"/>
        <w:tabs>
          <w:tab w:leader="none" w:pos="1300" w:val="left"/>
        </w:tabs>
        <w:numPr>
          <w:ilvl w:val="0"/>
          <w:numId w:val="120"/>
        </w:numPr>
        <w:rPr>
          <w:rFonts w:ascii="Arial" w:cs="Arial" w:eastAsia="Arial" w:hAnsi="Arial"/>
          <w:sz w:val="22"/>
          <w:szCs w:val="22"/>
          <w:color w:val="auto"/>
        </w:rPr>
      </w:pPr>
      <w:r>
        <w:rPr>
          <w:rFonts w:ascii="Arial" w:cs="Arial" w:eastAsia="Arial" w:hAnsi="Arial"/>
          <w:sz w:val="22"/>
          <w:szCs w:val="22"/>
          <w:color w:val="auto"/>
        </w:rPr>
        <w:t>the information contained in the Quarterly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Arial" w:cs="Arial" w:eastAsia="Arial" w:hAnsi="Arial"/>
          <w:sz w:val="22"/>
          <w:szCs w:val="22"/>
          <w:color w:val="auto"/>
        </w:rPr>
        <w:t>August 9, 2011</w:t>
      </w:r>
    </w:p>
    <w:p>
      <w:pPr>
        <w:spacing w:after="0" w:line="362" w:lineRule="exact"/>
        <w:rPr>
          <w:sz w:val="20"/>
          <w:szCs w:val="20"/>
          <w:color w:val="auto"/>
        </w:rPr>
      </w:pPr>
    </w:p>
    <w:p>
      <w:pPr>
        <w:ind w:left="9980"/>
        <w:spacing w:after="0"/>
        <w:rPr>
          <w:sz w:val="20"/>
          <w:szCs w:val="20"/>
          <w:color w:val="auto"/>
        </w:rPr>
      </w:pPr>
      <w:r>
        <w:rPr>
          <w:rFonts w:ascii="Arial" w:cs="Arial" w:eastAsia="Arial" w:hAnsi="Arial"/>
          <w:sz w:val="18"/>
          <w:szCs w:val="18"/>
          <w:color w:val="auto"/>
        </w:rPr>
        <w:t>/S/ Mark A. Snell</w:t>
      </w:r>
    </w:p>
    <w:p>
      <w:pPr>
        <w:spacing w:after="0" w:line="23" w:lineRule="exact"/>
        <w:rPr>
          <w:sz w:val="20"/>
          <w:szCs w:val="20"/>
          <w:color w:val="auto"/>
        </w:rPr>
      </w:pPr>
    </w:p>
    <w:p>
      <w:pPr>
        <w:ind w:left="10260"/>
        <w:spacing w:after="0"/>
        <w:rPr>
          <w:sz w:val="20"/>
          <w:szCs w:val="20"/>
          <w:color w:val="auto"/>
        </w:rPr>
      </w:pPr>
      <w:r>
        <w:rPr>
          <w:rFonts w:ascii="Arial" w:cs="Arial" w:eastAsia="Arial" w:hAnsi="Arial"/>
          <w:sz w:val="18"/>
          <w:szCs w:val="18"/>
          <w:color w:val="auto"/>
        </w:rPr>
        <w:t>Mark A. Snell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4756150</wp:posOffset>
            </wp:positionH>
            <wp:positionV relativeFrom="paragraph">
              <wp:posOffset>-130810</wp:posOffset>
            </wp:positionV>
            <wp:extent cx="2495550"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2495550" cy="8890"/>
                    </a:xfrm>
                    <a:prstGeom prst="rect">
                      <a:avLst/>
                    </a:prstGeom>
                    <a:noFill/>
                  </pic:spPr>
                </pic:pic>
              </a:graphicData>
            </a:graphic>
          </wp:anchor>
        </w:drawing>
      </w:r>
    </w:p>
    <w:p>
      <w:pPr>
        <w:spacing w:after="0" w:line="3" w:lineRule="exact"/>
        <w:rPr>
          <w:sz w:val="20"/>
          <w:szCs w:val="20"/>
          <w:color w:val="auto"/>
        </w:rPr>
      </w:pPr>
    </w:p>
    <w:p>
      <w:pPr>
        <w:ind w:left="962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420"/>
          </w:cols>
          <w:pgMar w:left="240" w:top="118" w:right="239" w:bottom="1440" w:gutter="0" w:footer="0" w:header="0"/>
        </w:sectPr>
      </w:pPr>
    </w:p>
    <w:bookmarkStart w:id="88" w:name="page89"/>
    <w:bookmarkEnd w:id="88"/>
    <w:p>
      <w:pPr>
        <w:jc w:val="right"/>
        <w:spacing w:after="0"/>
        <w:rPr>
          <w:sz w:val="20"/>
          <w:szCs w:val="20"/>
          <w:color w:val="auto"/>
        </w:rPr>
      </w:pPr>
      <w:r>
        <w:rPr>
          <w:rFonts w:ascii="Arial" w:cs="Arial" w:eastAsia="Arial" w:hAnsi="Arial"/>
          <w:sz w:val="22"/>
          <w:szCs w:val="22"/>
          <w:color w:val="auto"/>
        </w:rPr>
        <w:t>Exhibit 32.3</w:t>
      </w:r>
    </w:p>
    <w:p>
      <w:pPr>
        <w:spacing w:after="0" w:line="23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Statement of Chief Executive Officer</w:t>
      </w:r>
    </w:p>
    <w:p>
      <w:pPr>
        <w:spacing w:after="0" w:line="233" w:lineRule="exact"/>
        <w:rPr>
          <w:sz w:val="20"/>
          <w:szCs w:val="20"/>
          <w:color w:val="auto"/>
        </w:rPr>
      </w:pPr>
    </w:p>
    <w:p>
      <w:pPr>
        <w:ind w:right="360"/>
        <w:spacing w:after="0" w:line="251" w:lineRule="auto"/>
        <w:rPr>
          <w:sz w:val="20"/>
          <w:szCs w:val="20"/>
          <w:color w:val="auto"/>
        </w:rPr>
      </w:pPr>
      <w:r>
        <w:rPr>
          <w:rFonts w:ascii="Arial" w:cs="Arial" w:eastAsia="Arial" w:hAnsi="Arial"/>
          <w:sz w:val="22"/>
          <w:szCs w:val="22"/>
          <w:color w:val="auto"/>
        </w:rPr>
        <w:t>Pursuant to 18 U.S.C. Sec 1350, as created by Section 906 of the Sarbanes-Oxley Act of 2002, the undersigned Chief Executive Officer of San Diego Gas &amp; Electric Company (the "Company") certifies that:</w:t>
      </w:r>
    </w:p>
    <w:p>
      <w:pPr>
        <w:spacing w:after="0" w:line="227" w:lineRule="exact"/>
        <w:rPr>
          <w:sz w:val="20"/>
          <w:szCs w:val="20"/>
          <w:color w:val="auto"/>
        </w:rPr>
      </w:pPr>
    </w:p>
    <w:p>
      <w:pPr>
        <w:ind w:left="1300" w:right="440" w:hanging="644"/>
        <w:spacing w:after="0" w:line="258" w:lineRule="auto"/>
        <w:tabs>
          <w:tab w:leader="none" w:pos="1300" w:val="left"/>
        </w:tabs>
        <w:numPr>
          <w:ilvl w:val="0"/>
          <w:numId w:val="121"/>
        </w:numPr>
        <w:rPr>
          <w:rFonts w:ascii="Arial" w:cs="Arial" w:eastAsia="Arial" w:hAnsi="Arial"/>
          <w:sz w:val="21"/>
          <w:szCs w:val="21"/>
          <w:color w:val="auto"/>
        </w:rPr>
      </w:pPr>
      <w:r>
        <w:rPr>
          <w:rFonts w:ascii="Arial" w:cs="Arial" w:eastAsia="Arial" w:hAnsi="Arial"/>
          <w:sz w:val="21"/>
          <w:szCs w:val="21"/>
          <w:color w:val="auto"/>
        </w:rPr>
        <w:t>the Quarterly Report on Form 10-Q of the Company filed with the Securities and Exchange Commission for the quarter ended June 30, 2011 (the "Quarterly Report") fully complies with the requirements of Section 13(a) or Section 15(d), as applicable, of the Securities Exchange Act of 1934, as amended; and</w:t>
      </w:r>
    </w:p>
    <w:p>
      <w:pPr>
        <w:spacing w:after="0" w:line="220" w:lineRule="exact"/>
        <w:rPr>
          <w:rFonts w:ascii="Arial" w:cs="Arial" w:eastAsia="Arial" w:hAnsi="Arial"/>
          <w:sz w:val="21"/>
          <w:szCs w:val="21"/>
          <w:color w:val="auto"/>
        </w:rPr>
      </w:pPr>
    </w:p>
    <w:p>
      <w:pPr>
        <w:ind w:left="1300" w:right="60" w:hanging="644"/>
        <w:spacing w:after="0" w:line="251" w:lineRule="auto"/>
        <w:tabs>
          <w:tab w:leader="none" w:pos="1300" w:val="left"/>
        </w:tabs>
        <w:numPr>
          <w:ilvl w:val="0"/>
          <w:numId w:val="121"/>
        </w:numPr>
        <w:rPr>
          <w:rFonts w:ascii="Arial" w:cs="Arial" w:eastAsia="Arial" w:hAnsi="Arial"/>
          <w:sz w:val="22"/>
          <w:szCs w:val="22"/>
          <w:color w:val="auto"/>
        </w:rPr>
      </w:pPr>
      <w:r>
        <w:rPr>
          <w:rFonts w:ascii="Arial" w:cs="Arial" w:eastAsia="Arial" w:hAnsi="Arial"/>
          <w:sz w:val="22"/>
          <w:szCs w:val="22"/>
          <w:color w:val="auto"/>
        </w:rPr>
        <w:t>the information contained in the Quarterly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Arial" w:cs="Arial" w:eastAsia="Arial" w:hAnsi="Arial"/>
          <w:sz w:val="22"/>
          <w:szCs w:val="22"/>
          <w:color w:val="auto"/>
        </w:rPr>
        <w:t>August 9, 2011</w:t>
      </w:r>
    </w:p>
    <w:p>
      <w:pPr>
        <w:spacing w:after="0" w:line="362" w:lineRule="exact"/>
        <w:rPr>
          <w:sz w:val="20"/>
          <w:szCs w:val="20"/>
          <w:color w:val="auto"/>
        </w:rPr>
      </w:pPr>
    </w:p>
    <w:p>
      <w:pPr>
        <w:ind w:left="9620"/>
        <w:spacing w:after="0"/>
        <w:rPr>
          <w:sz w:val="20"/>
          <w:szCs w:val="20"/>
          <w:color w:val="auto"/>
        </w:rPr>
      </w:pPr>
      <w:r>
        <w:rPr>
          <w:rFonts w:ascii="Arial" w:cs="Arial" w:eastAsia="Arial" w:hAnsi="Arial"/>
          <w:sz w:val="17"/>
          <w:szCs w:val="17"/>
          <w:color w:val="auto"/>
        </w:rPr>
        <w:t>/S/ Jessie J. Knight, Jr.</w:t>
      </w:r>
    </w:p>
    <w:p>
      <w:pPr>
        <w:spacing w:after="0" w:line="35" w:lineRule="exact"/>
        <w:rPr>
          <w:sz w:val="20"/>
          <w:szCs w:val="20"/>
          <w:color w:val="auto"/>
        </w:rPr>
      </w:pPr>
    </w:p>
    <w:p>
      <w:pPr>
        <w:ind w:left="9920"/>
        <w:spacing w:after="0"/>
        <w:rPr>
          <w:sz w:val="20"/>
          <w:szCs w:val="20"/>
          <w:color w:val="auto"/>
        </w:rPr>
      </w:pPr>
      <w:r>
        <w:rPr>
          <w:rFonts w:ascii="Arial" w:cs="Arial" w:eastAsia="Arial" w:hAnsi="Arial"/>
          <w:sz w:val="17"/>
          <w:szCs w:val="17"/>
          <w:color w:val="auto"/>
        </w:rPr>
        <w:t>Jessie J. Knight,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4704715</wp:posOffset>
            </wp:positionH>
            <wp:positionV relativeFrom="paragraph">
              <wp:posOffset>-123190</wp:posOffset>
            </wp:positionV>
            <wp:extent cx="2546985"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2546985" cy="8890"/>
                    </a:xfrm>
                    <a:prstGeom prst="rect">
                      <a:avLst/>
                    </a:prstGeom>
                    <a:noFill/>
                  </pic:spPr>
                </pic:pic>
              </a:graphicData>
            </a:graphic>
          </wp:anchor>
        </w:drawing>
      </w:r>
    </w:p>
    <w:p>
      <w:pPr>
        <w:spacing w:after="0" w:line="14" w:lineRule="exact"/>
        <w:rPr>
          <w:sz w:val="20"/>
          <w:szCs w:val="20"/>
          <w:color w:val="auto"/>
        </w:rPr>
      </w:pPr>
    </w:p>
    <w:p>
      <w:pPr>
        <w:ind w:left="9560"/>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1420"/>
          </w:cols>
          <w:pgMar w:left="240" w:top="118" w:right="239" w:bottom="1440" w:gutter="0" w:footer="0" w:header="0"/>
        </w:sectPr>
      </w:pPr>
    </w:p>
    <w:bookmarkStart w:id="89" w:name="page90"/>
    <w:bookmarkEnd w:id="89"/>
    <w:p>
      <w:pPr>
        <w:jc w:val="right"/>
        <w:spacing w:after="0"/>
        <w:rPr>
          <w:sz w:val="20"/>
          <w:szCs w:val="20"/>
          <w:color w:val="auto"/>
        </w:rPr>
      </w:pPr>
      <w:r>
        <w:rPr>
          <w:rFonts w:ascii="Arial" w:cs="Arial" w:eastAsia="Arial" w:hAnsi="Arial"/>
          <w:sz w:val="22"/>
          <w:szCs w:val="22"/>
          <w:color w:val="auto"/>
        </w:rPr>
        <w:t>Exhibit 32.4</w:t>
      </w:r>
    </w:p>
    <w:p>
      <w:pPr>
        <w:spacing w:after="0" w:line="23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Statement of Chief Financial Officer</w:t>
      </w:r>
    </w:p>
    <w:p>
      <w:pPr>
        <w:spacing w:after="0" w:line="233" w:lineRule="exact"/>
        <w:rPr>
          <w:sz w:val="20"/>
          <w:szCs w:val="20"/>
          <w:color w:val="auto"/>
        </w:rPr>
      </w:pPr>
    </w:p>
    <w:p>
      <w:pPr>
        <w:ind w:right="420"/>
        <w:spacing w:after="0" w:line="251" w:lineRule="auto"/>
        <w:rPr>
          <w:sz w:val="20"/>
          <w:szCs w:val="20"/>
          <w:color w:val="auto"/>
        </w:rPr>
      </w:pPr>
      <w:r>
        <w:rPr>
          <w:rFonts w:ascii="Arial" w:cs="Arial" w:eastAsia="Arial" w:hAnsi="Arial"/>
          <w:sz w:val="22"/>
          <w:szCs w:val="22"/>
          <w:color w:val="auto"/>
        </w:rPr>
        <w:t>Pursuant to 18 U.S.C. Sec 1350, as created by Section 906 of the Sarbanes-Oxley Act of 2002, the undersigned Chief Financial Officer of San Diego Gas &amp; Electric Company (the "Company") certifies that:</w:t>
      </w:r>
    </w:p>
    <w:p>
      <w:pPr>
        <w:spacing w:after="0" w:line="227" w:lineRule="exact"/>
        <w:rPr>
          <w:sz w:val="20"/>
          <w:szCs w:val="20"/>
          <w:color w:val="auto"/>
        </w:rPr>
      </w:pPr>
    </w:p>
    <w:p>
      <w:pPr>
        <w:ind w:left="1300" w:right="440" w:hanging="644"/>
        <w:spacing w:after="0" w:line="258" w:lineRule="auto"/>
        <w:tabs>
          <w:tab w:leader="none" w:pos="1300" w:val="left"/>
        </w:tabs>
        <w:numPr>
          <w:ilvl w:val="0"/>
          <w:numId w:val="122"/>
        </w:numPr>
        <w:rPr>
          <w:rFonts w:ascii="Arial" w:cs="Arial" w:eastAsia="Arial" w:hAnsi="Arial"/>
          <w:sz w:val="21"/>
          <w:szCs w:val="21"/>
          <w:color w:val="auto"/>
        </w:rPr>
      </w:pPr>
      <w:r>
        <w:rPr>
          <w:rFonts w:ascii="Arial" w:cs="Arial" w:eastAsia="Arial" w:hAnsi="Arial"/>
          <w:sz w:val="21"/>
          <w:szCs w:val="21"/>
          <w:color w:val="auto"/>
        </w:rPr>
        <w:t>the Quarterly Report on Form 10-Q of the Company filed with the Securities and Exchange Commission for the quarter ended June 30, 2011 (the "Quarterly Report") fully complies with the requirements of Section 13(a) or Section 15(d), as applicable, of the Securities Exchange Act of 1934, as amended; and</w:t>
      </w:r>
    </w:p>
    <w:p>
      <w:pPr>
        <w:spacing w:after="0" w:line="220" w:lineRule="exact"/>
        <w:rPr>
          <w:rFonts w:ascii="Arial" w:cs="Arial" w:eastAsia="Arial" w:hAnsi="Arial"/>
          <w:sz w:val="21"/>
          <w:szCs w:val="21"/>
          <w:color w:val="auto"/>
        </w:rPr>
      </w:pPr>
    </w:p>
    <w:p>
      <w:pPr>
        <w:ind w:left="1300" w:right="60" w:hanging="644"/>
        <w:spacing w:after="0" w:line="251" w:lineRule="auto"/>
        <w:tabs>
          <w:tab w:leader="none" w:pos="1300" w:val="left"/>
        </w:tabs>
        <w:numPr>
          <w:ilvl w:val="0"/>
          <w:numId w:val="122"/>
        </w:numPr>
        <w:rPr>
          <w:rFonts w:ascii="Arial" w:cs="Arial" w:eastAsia="Arial" w:hAnsi="Arial"/>
          <w:sz w:val="22"/>
          <w:szCs w:val="22"/>
          <w:color w:val="auto"/>
        </w:rPr>
      </w:pPr>
      <w:r>
        <w:rPr>
          <w:rFonts w:ascii="Arial" w:cs="Arial" w:eastAsia="Arial" w:hAnsi="Arial"/>
          <w:sz w:val="22"/>
          <w:szCs w:val="22"/>
          <w:color w:val="auto"/>
        </w:rPr>
        <w:t>the information contained in the Quarterly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Arial" w:cs="Arial" w:eastAsia="Arial" w:hAnsi="Arial"/>
          <w:sz w:val="22"/>
          <w:szCs w:val="22"/>
          <w:color w:val="auto"/>
        </w:rPr>
        <w:t>August 9, 2011</w:t>
      </w:r>
    </w:p>
    <w:p>
      <w:pPr>
        <w:spacing w:after="0" w:line="362" w:lineRule="exact"/>
        <w:rPr>
          <w:sz w:val="20"/>
          <w:szCs w:val="20"/>
          <w:color w:val="auto"/>
        </w:rPr>
      </w:pPr>
    </w:p>
    <w:p>
      <w:pPr>
        <w:ind w:left="9720"/>
        <w:spacing w:after="0"/>
        <w:rPr>
          <w:sz w:val="20"/>
          <w:szCs w:val="20"/>
          <w:color w:val="auto"/>
        </w:rPr>
      </w:pPr>
      <w:r>
        <w:rPr>
          <w:rFonts w:ascii="Arial" w:cs="Arial" w:eastAsia="Arial" w:hAnsi="Arial"/>
          <w:sz w:val="18"/>
          <w:szCs w:val="18"/>
          <w:color w:val="auto"/>
        </w:rPr>
        <w:t>/S/ Robert M. Schlax</w:t>
      </w:r>
    </w:p>
    <w:p>
      <w:pPr>
        <w:spacing w:after="0" w:line="23" w:lineRule="exact"/>
        <w:rPr>
          <w:sz w:val="20"/>
          <w:szCs w:val="20"/>
          <w:color w:val="auto"/>
        </w:rPr>
      </w:pPr>
    </w:p>
    <w:p>
      <w:pPr>
        <w:ind w:left="10020"/>
        <w:spacing w:after="0"/>
        <w:rPr>
          <w:sz w:val="20"/>
          <w:szCs w:val="20"/>
          <w:color w:val="auto"/>
        </w:rPr>
      </w:pPr>
      <w:r>
        <w:rPr>
          <w:rFonts w:ascii="Arial" w:cs="Arial" w:eastAsia="Arial" w:hAnsi="Arial"/>
          <w:sz w:val="18"/>
          <w:szCs w:val="18"/>
          <w:color w:val="auto"/>
        </w:rPr>
        <w:t>Robert M. Schlax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4756150</wp:posOffset>
            </wp:positionH>
            <wp:positionV relativeFrom="paragraph">
              <wp:posOffset>-130810</wp:posOffset>
            </wp:positionV>
            <wp:extent cx="2495550"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2495550" cy="8890"/>
                    </a:xfrm>
                    <a:prstGeom prst="rect">
                      <a:avLst/>
                    </a:prstGeom>
                    <a:noFill/>
                  </pic:spPr>
                </pic:pic>
              </a:graphicData>
            </a:graphic>
          </wp:anchor>
        </w:drawing>
      </w:r>
    </w:p>
    <w:p>
      <w:pPr>
        <w:spacing w:after="0" w:line="3" w:lineRule="exact"/>
        <w:rPr>
          <w:sz w:val="20"/>
          <w:szCs w:val="20"/>
          <w:color w:val="auto"/>
        </w:rPr>
      </w:pPr>
    </w:p>
    <w:p>
      <w:pPr>
        <w:ind w:left="962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420"/>
          </w:cols>
          <w:pgMar w:left="240" w:top="118" w:right="239" w:bottom="1440" w:gutter="0" w:footer="0" w:header="0"/>
        </w:sectPr>
      </w:pPr>
    </w:p>
    <w:bookmarkStart w:id="90" w:name="page91"/>
    <w:bookmarkEnd w:id="90"/>
    <w:p>
      <w:pPr>
        <w:jc w:val="right"/>
        <w:spacing w:after="0"/>
        <w:rPr>
          <w:sz w:val="20"/>
          <w:szCs w:val="20"/>
          <w:color w:val="auto"/>
        </w:rPr>
      </w:pPr>
      <w:r>
        <w:rPr>
          <w:rFonts w:ascii="Arial" w:cs="Arial" w:eastAsia="Arial" w:hAnsi="Arial"/>
          <w:sz w:val="22"/>
          <w:szCs w:val="22"/>
          <w:color w:val="auto"/>
        </w:rPr>
        <w:t>Exhibit 32.5</w:t>
      </w:r>
    </w:p>
    <w:p>
      <w:pPr>
        <w:spacing w:after="0" w:line="23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Statement of Chief Executive Officer</w:t>
      </w:r>
    </w:p>
    <w:p>
      <w:pPr>
        <w:spacing w:after="0" w:line="233" w:lineRule="exact"/>
        <w:rPr>
          <w:sz w:val="20"/>
          <w:szCs w:val="20"/>
          <w:color w:val="auto"/>
        </w:rPr>
      </w:pPr>
    </w:p>
    <w:p>
      <w:pPr>
        <w:ind w:right="360"/>
        <w:spacing w:after="0" w:line="251" w:lineRule="auto"/>
        <w:rPr>
          <w:sz w:val="20"/>
          <w:szCs w:val="20"/>
          <w:color w:val="auto"/>
        </w:rPr>
      </w:pPr>
      <w:r>
        <w:rPr>
          <w:rFonts w:ascii="Arial" w:cs="Arial" w:eastAsia="Arial" w:hAnsi="Arial"/>
          <w:sz w:val="22"/>
          <w:szCs w:val="22"/>
          <w:color w:val="auto"/>
        </w:rPr>
        <w:t>Pursuant to 18 U.S.C. Sec 1350, as created by Section 906 of the Sarbanes-Oxley Act of 2002, the undersigned Chief Executive Officer of Southern California Gas Company (the "Company") certifies that:</w:t>
      </w:r>
    </w:p>
    <w:p>
      <w:pPr>
        <w:spacing w:after="0" w:line="227" w:lineRule="exact"/>
        <w:rPr>
          <w:sz w:val="20"/>
          <w:szCs w:val="20"/>
          <w:color w:val="auto"/>
        </w:rPr>
      </w:pPr>
    </w:p>
    <w:p>
      <w:pPr>
        <w:ind w:left="1300" w:right="440" w:hanging="644"/>
        <w:spacing w:after="0" w:line="258" w:lineRule="auto"/>
        <w:tabs>
          <w:tab w:leader="none" w:pos="1300" w:val="left"/>
        </w:tabs>
        <w:numPr>
          <w:ilvl w:val="0"/>
          <w:numId w:val="123"/>
        </w:numPr>
        <w:rPr>
          <w:rFonts w:ascii="Arial" w:cs="Arial" w:eastAsia="Arial" w:hAnsi="Arial"/>
          <w:sz w:val="21"/>
          <w:szCs w:val="21"/>
          <w:color w:val="auto"/>
        </w:rPr>
      </w:pPr>
      <w:r>
        <w:rPr>
          <w:rFonts w:ascii="Arial" w:cs="Arial" w:eastAsia="Arial" w:hAnsi="Arial"/>
          <w:sz w:val="21"/>
          <w:szCs w:val="21"/>
          <w:color w:val="auto"/>
        </w:rPr>
        <w:t>the Quarterly Report on Form 10-Q of the Company filed with the Securities and Exchange Commission for the quarter ended June 30, 2011 (the "Quarterly Report") fully complies with the requirements of Section 13(a) or Section 15(d), as applicable, of the Securities Exchange Act of 1934, as amended; and</w:t>
      </w:r>
    </w:p>
    <w:p>
      <w:pPr>
        <w:spacing w:after="0" w:line="220" w:lineRule="exact"/>
        <w:rPr>
          <w:rFonts w:ascii="Arial" w:cs="Arial" w:eastAsia="Arial" w:hAnsi="Arial"/>
          <w:sz w:val="21"/>
          <w:szCs w:val="21"/>
          <w:color w:val="auto"/>
        </w:rPr>
      </w:pPr>
    </w:p>
    <w:p>
      <w:pPr>
        <w:ind w:left="1300" w:right="60" w:hanging="644"/>
        <w:spacing w:after="0" w:line="251" w:lineRule="auto"/>
        <w:tabs>
          <w:tab w:leader="none" w:pos="1300" w:val="left"/>
        </w:tabs>
        <w:numPr>
          <w:ilvl w:val="0"/>
          <w:numId w:val="123"/>
        </w:numPr>
        <w:rPr>
          <w:rFonts w:ascii="Arial" w:cs="Arial" w:eastAsia="Arial" w:hAnsi="Arial"/>
          <w:sz w:val="22"/>
          <w:szCs w:val="22"/>
          <w:color w:val="auto"/>
        </w:rPr>
      </w:pPr>
      <w:r>
        <w:rPr>
          <w:rFonts w:ascii="Arial" w:cs="Arial" w:eastAsia="Arial" w:hAnsi="Arial"/>
          <w:sz w:val="22"/>
          <w:szCs w:val="22"/>
          <w:color w:val="auto"/>
        </w:rPr>
        <w:t>the information contained in the Quarterly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Arial" w:cs="Arial" w:eastAsia="Arial" w:hAnsi="Arial"/>
          <w:sz w:val="22"/>
          <w:szCs w:val="22"/>
          <w:color w:val="auto"/>
        </w:rPr>
        <w:t>August 9, 2011</w:t>
      </w:r>
    </w:p>
    <w:p>
      <w:pPr>
        <w:spacing w:after="0" w:line="362" w:lineRule="exact"/>
        <w:rPr>
          <w:sz w:val="20"/>
          <w:szCs w:val="20"/>
          <w:color w:val="auto"/>
        </w:rPr>
      </w:pPr>
    </w:p>
    <w:p>
      <w:pPr>
        <w:ind w:left="9580"/>
        <w:spacing w:after="0"/>
        <w:rPr>
          <w:sz w:val="20"/>
          <w:szCs w:val="20"/>
          <w:color w:val="auto"/>
        </w:rPr>
      </w:pPr>
      <w:r>
        <w:rPr>
          <w:rFonts w:ascii="Arial" w:cs="Arial" w:eastAsia="Arial" w:hAnsi="Arial"/>
          <w:sz w:val="18"/>
          <w:szCs w:val="18"/>
          <w:color w:val="auto"/>
        </w:rPr>
        <w:t>/S/ Michael W. Allman</w:t>
      </w:r>
    </w:p>
    <w:p>
      <w:pPr>
        <w:spacing w:after="0" w:line="23" w:lineRule="exact"/>
        <w:rPr>
          <w:sz w:val="20"/>
          <w:szCs w:val="20"/>
          <w:color w:val="auto"/>
        </w:rPr>
      </w:pPr>
    </w:p>
    <w:p>
      <w:pPr>
        <w:ind w:left="9880"/>
        <w:spacing w:after="0"/>
        <w:rPr>
          <w:sz w:val="20"/>
          <w:szCs w:val="20"/>
          <w:color w:val="auto"/>
        </w:rPr>
      </w:pPr>
      <w:r>
        <w:rPr>
          <w:rFonts w:ascii="Arial" w:cs="Arial" w:eastAsia="Arial" w:hAnsi="Arial"/>
          <w:sz w:val="18"/>
          <w:szCs w:val="18"/>
          <w:color w:val="auto"/>
        </w:rPr>
        <w:t>Michael W. Allman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4807585</wp:posOffset>
            </wp:positionH>
            <wp:positionV relativeFrom="paragraph">
              <wp:posOffset>-130810</wp:posOffset>
            </wp:positionV>
            <wp:extent cx="2444115"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2444115" cy="8890"/>
                    </a:xfrm>
                    <a:prstGeom prst="rect">
                      <a:avLst/>
                    </a:prstGeom>
                    <a:noFill/>
                  </pic:spPr>
                </pic:pic>
              </a:graphicData>
            </a:graphic>
          </wp:anchor>
        </w:drawing>
      </w:r>
    </w:p>
    <w:p>
      <w:pPr>
        <w:spacing w:after="0" w:line="3" w:lineRule="exact"/>
        <w:rPr>
          <w:sz w:val="20"/>
          <w:szCs w:val="20"/>
          <w:color w:val="auto"/>
        </w:rPr>
      </w:pPr>
    </w:p>
    <w:p>
      <w:pPr>
        <w:ind w:left="9560"/>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1420"/>
          </w:cols>
          <w:pgMar w:left="240" w:top="118" w:right="239" w:bottom="1440" w:gutter="0" w:footer="0" w:header="0"/>
        </w:sectPr>
      </w:pPr>
    </w:p>
    <w:bookmarkStart w:id="91" w:name="page92"/>
    <w:bookmarkEnd w:id="91"/>
    <w:p>
      <w:pPr>
        <w:jc w:val="right"/>
        <w:spacing w:after="0"/>
        <w:rPr>
          <w:sz w:val="20"/>
          <w:szCs w:val="20"/>
          <w:color w:val="auto"/>
        </w:rPr>
      </w:pPr>
      <w:r>
        <w:rPr>
          <w:rFonts w:ascii="Arial" w:cs="Arial" w:eastAsia="Arial" w:hAnsi="Arial"/>
          <w:sz w:val="22"/>
          <w:szCs w:val="22"/>
          <w:color w:val="auto"/>
        </w:rPr>
        <w:t>Exhibit 32.6</w:t>
      </w:r>
    </w:p>
    <w:p>
      <w:pPr>
        <w:spacing w:after="0" w:line="23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Statement of Chief Financial Officer</w:t>
      </w:r>
    </w:p>
    <w:p>
      <w:pPr>
        <w:spacing w:after="0" w:line="233" w:lineRule="exact"/>
        <w:rPr>
          <w:sz w:val="20"/>
          <w:szCs w:val="20"/>
          <w:color w:val="auto"/>
        </w:rPr>
      </w:pPr>
    </w:p>
    <w:p>
      <w:pPr>
        <w:ind w:right="420"/>
        <w:spacing w:after="0" w:line="251" w:lineRule="auto"/>
        <w:rPr>
          <w:sz w:val="20"/>
          <w:szCs w:val="20"/>
          <w:color w:val="auto"/>
        </w:rPr>
      </w:pPr>
      <w:r>
        <w:rPr>
          <w:rFonts w:ascii="Arial" w:cs="Arial" w:eastAsia="Arial" w:hAnsi="Arial"/>
          <w:sz w:val="22"/>
          <w:szCs w:val="22"/>
          <w:color w:val="auto"/>
        </w:rPr>
        <w:t>Pursuant to 18 U.S.C. Sec 1350, as created by Section 906 of the Sarbanes-Oxley Act of 2002, the undersigned Chief Financial Officer of Southern California Gas Company (the "Company") certifies that:</w:t>
      </w:r>
    </w:p>
    <w:p>
      <w:pPr>
        <w:spacing w:after="0" w:line="227" w:lineRule="exact"/>
        <w:rPr>
          <w:sz w:val="20"/>
          <w:szCs w:val="20"/>
          <w:color w:val="auto"/>
        </w:rPr>
      </w:pPr>
    </w:p>
    <w:p>
      <w:pPr>
        <w:ind w:left="1300" w:right="440" w:hanging="644"/>
        <w:spacing w:after="0" w:line="258" w:lineRule="auto"/>
        <w:tabs>
          <w:tab w:leader="none" w:pos="1300" w:val="left"/>
        </w:tabs>
        <w:numPr>
          <w:ilvl w:val="0"/>
          <w:numId w:val="124"/>
        </w:numPr>
        <w:rPr>
          <w:rFonts w:ascii="Arial" w:cs="Arial" w:eastAsia="Arial" w:hAnsi="Arial"/>
          <w:sz w:val="21"/>
          <w:szCs w:val="21"/>
          <w:color w:val="auto"/>
        </w:rPr>
      </w:pPr>
      <w:r>
        <w:rPr>
          <w:rFonts w:ascii="Arial" w:cs="Arial" w:eastAsia="Arial" w:hAnsi="Arial"/>
          <w:sz w:val="21"/>
          <w:szCs w:val="21"/>
          <w:color w:val="auto"/>
        </w:rPr>
        <w:t>the Quarterly Report on Form 10-Q of the Company filed with the Securities and Exchange Commission for the quarter ended June 30, 2011 (the "Quarterly Report") fully complies with the requirements of Section 13(a) or Section 15(d), as applicable, of the Securities Exchange Act of 1934, as amended; and</w:t>
      </w:r>
    </w:p>
    <w:p>
      <w:pPr>
        <w:spacing w:after="0" w:line="220" w:lineRule="exact"/>
        <w:rPr>
          <w:rFonts w:ascii="Arial" w:cs="Arial" w:eastAsia="Arial" w:hAnsi="Arial"/>
          <w:sz w:val="21"/>
          <w:szCs w:val="21"/>
          <w:color w:val="auto"/>
        </w:rPr>
      </w:pPr>
    </w:p>
    <w:p>
      <w:pPr>
        <w:ind w:left="1300" w:right="60" w:hanging="644"/>
        <w:spacing w:after="0" w:line="251" w:lineRule="auto"/>
        <w:tabs>
          <w:tab w:leader="none" w:pos="1300" w:val="left"/>
        </w:tabs>
        <w:numPr>
          <w:ilvl w:val="0"/>
          <w:numId w:val="124"/>
        </w:numPr>
        <w:rPr>
          <w:rFonts w:ascii="Arial" w:cs="Arial" w:eastAsia="Arial" w:hAnsi="Arial"/>
          <w:sz w:val="22"/>
          <w:szCs w:val="22"/>
          <w:color w:val="auto"/>
        </w:rPr>
      </w:pPr>
      <w:r>
        <w:rPr>
          <w:rFonts w:ascii="Arial" w:cs="Arial" w:eastAsia="Arial" w:hAnsi="Arial"/>
          <w:sz w:val="22"/>
          <w:szCs w:val="22"/>
          <w:color w:val="auto"/>
        </w:rPr>
        <w:t>the information contained in the Quarterly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Arial" w:cs="Arial" w:eastAsia="Arial" w:hAnsi="Arial"/>
          <w:sz w:val="22"/>
          <w:szCs w:val="22"/>
          <w:color w:val="auto"/>
        </w:rPr>
        <w:t>August 9, 2011</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9720"/>
        <w:spacing w:after="0"/>
        <w:rPr>
          <w:sz w:val="20"/>
          <w:szCs w:val="20"/>
          <w:color w:val="auto"/>
        </w:rPr>
      </w:pPr>
      <w:r>
        <w:rPr>
          <w:rFonts w:ascii="Arial" w:cs="Arial" w:eastAsia="Arial" w:hAnsi="Arial"/>
          <w:sz w:val="18"/>
          <w:szCs w:val="18"/>
          <w:color w:val="auto"/>
        </w:rPr>
        <w:t>/S/ Robert M. Schlax</w:t>
      </w:r>
    </w:p>
    <w:p>
      <w:pPr>
        <w:spacing w:after="0" w:line="23" w:lineRule="exact"/>
        <w:rPr>
          <w:sz w:val="20"/>
          <w:szCs w:val="20"/>
          <w:color w:val="auto"/>
        </w:rPr>
      </w:pPr>
    </w:p>
    <w:p>
      <w:pPr>
        <w:ind w:left="10020"/>
        <w:spacing w:after="0"/>
        <w:rPr>
          <w:sz w:val="20"/>
          <w:szCs w:val="20"/>
          <w:color w:val="auto"/>
        </w:rPr>
      </w:pPr>
      <w:r>
        <w:rPr>
          <w:rFonts w:ascii="Arial" w:cs="Arial" w:eastAsia="Arial" w:hAnsi="Arial"/>
          <w:sz w:val="18"/>
          <w:szCs w:val="18"/>
          <w:color w:val="auto"/>
        </w:rPr>
        <w:t>Robert M. Schlax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4807585</wp:posOffset>
            </wp:positionH>
            <wp:positionV relativeFrom="paragraph">
              <wp:posOffset>-130810</wp:posOffset>
            </wp:positionV>
            <wp:extent cx="2444115"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2444115" cy="8890"/>
                    </a:xfrm>
                    <a:prstGeom prst="rect">
                      <a:avLst/>
                    </a:prstGeom>
                    <a:noFill/>
                  </pic:spPr>
                </pic:pic>
              </a:graphicData>
            </a:graphic>
          </wp:anchor>
        </w:drawing>
      </w:r>
    </w:p>
    <w:p>
      <w:pPr>
        <w:spacing w:after="0" w:line="3" w:lineRule="exact"/>
        <w:rPr>
          <w:sz w:val="20"/>
          <w:szCs w:val="20"/>
          <w:color w:val="auto"/>
        </w:rPr>
      </w:pPr>
    </w:p>
    <w:p>
      <w:pPr>
        <w:ind w:left="9620"/>
        <w:spacing w:after="0"/>
        <w:rPr>
          <w:sz w:val="20"/>
          <w:szCs w:val="20"/>
          <w:color w:val="auto"/>
        </w:rPr>
      </w:pPr>
      <w:r>
        <w:rPr>
          <w:rFonts w:ascii="Arial" w:cs="Arial" w:eastAsia="Arial" w:hAnsi="Arial"/>
          <w:sz w:val="18"/>
          <w:szCs w:val="18"/>
          <w:color w:val="auto"/>
        </w:rPr>
        <w:t>Chief Financial Officer</w:t>
      </w:r>
    </w:p>
    <w:sectPr>
      <w:pgSz w:w="11900" w:h="16838" w:orient="portrait"/>
      <w:cols w:equalWidth="0" w:num="1">
        <w:col w:w="11420"/>
      </w:cols>
      <w:pgMar w:left="240" w:top="118"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A1"/>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E0C57B1"/>
    <w:multiLevelType w:val="hybridMultilevel"/>
    <w:lvl w:ilvl="0">
      <w:lvlJc w:val="left"/>
      <w:lvlText w:val="[%1]"/>
      <w:numFmt w:val="upperLetter"/>
      <w:start w:val="24"/>
    </w:lvl>
  </w:abstractNum>
  <w:abstractNum w:abstractNumId="1">
    <w:nsid w:val="77AE35EB"/>
    <w:multiLevelType w:val="hybridMultilevel"/>
    <w:lvl w:ilvl="0">
      <w:lvlJc w:val="left"/>
      <w:lvlText w:val="["/>
      <w:numFmt w:val="bullet"/>
      <w:start w:val="1"/>
    </w:lvl>
  </w:abstractNum>
  <w:abstractNum w:abstractNumId="2">
    <w:nsid w:val="579BE4F1"/>
    <w:multiLevelType w:val="hybridMultilevel"/>
    <w:lvl w:ilvl="0">
      <w:lvlJc w:val="left"/>
      <w:lvlText w:val="§"/>
      <w:numFmt w:val="bullet"/>
      <w:start w:val="1"/>
    </w:lvl>
  </w:abstractNum>
  <w:abstractNum w:abstractNumId="3">
    <w:nsid w:val="310C50B3"/>
    <w:multiLevelType w:val="hybridMultilevel"/>
    <w:lvl w:ilvl="0">
      <w:lvlJc w:val="left"/>
      <w:lvlText w:val="§"/>
      <w:numFmt w:val="bullet"/>
      <w:start w:val="1"/>
    </w:lvl>
  </w:abstractNum>
  <w:abstractNum w:abstractNumId="4">
    <w:nsid w:val="5FF87E05"/>
    <w:multiLevelType w:val="hybridMultilevel"/>
    <w:lvl w:ilvl="0">
      <w:lvlJc w:val="left"/>
      <w:lvlText w:val="§"/>
      <w:numFmt w:val="bullet"/>
      <w:start w:val="1"/>
    </w:lvl>
  </w:abstractNum>
  <w:abstractNum w:abstractNumId="5">
    <w:nsid w:val="2F305DEF"/>
    <w:multiLevelType w:val="hybridMultilevel"/>
    <w:lvl w:ilvl="0">
      <w:lvlJc w:val="left"/>
      <w:lvlText w:val="(%1)"/>
      <w:numFmt w:val="decimal"/>
      <w:start w:val="1"/>
    </w:lvl>
  </w:abstractNum>
  <w:abstractNum w:abstractNumId="6">
    <w:nsid w:val="25A70BF7"/>
    <w:multiLevelType w:val="hybridMultilevel"/>
    <w:lvl w:ilvl="0">
      <w:lvlJc w:val="left"/>
      <w:lvlText w:val="§"/>
      <w:numFmt w:val="bullet"/>
      <w:start w:val="1"/>
    </w:lvl>
  </w:abstractNum>
  <w:abstractNum w:abstractNumId="7">
    <w:nsid w:val="1DBABF00"/>
    <w:multiLevelType w:val="hybridMultilevel"/>
    <w:lvl w:ilvl="0">
      <w:lvlJc w:val="left"/>
      <w:lvlText w:val="(%1)"/>
      <w:numFmt w:val="decimal"/>
      <w:start w:val="1"/>
    </w:lvl>
  </w:abstractNum>
  <w:abstractNum w:abstractNumId="8">
    <w:nsid w:val="4AD084E9"/>
    <w:multiLevelType w:val="hybridMultilevel"/>
    <w:lvl w:ilvl="0">
      <w:lvlJc w:val="left"/>
      <w:lvlText w:val="§"/>
      <w:numFmt w:val="bullet"/>
      <w:start w:val="1"/>
    </w:lvl>
  </w:abstractNum>
  <w:abstractNum w:abstractNumId="9">
    <w:nsid w:val="1F48EAA1"/>
    <w:multiLevelType w:val="hybridMultilevel"/>
    <w:lvl w:ilvl="0">
      <w:lvlJc w:val="left"/>
      <w:lvlText w:val="(%1)"/>
      <w:numFmt w:val="decimal"/>
      <w:start w:val="1"/>
    </w:lvl>
  </w:abstractNum>
  <w:abstractNum w:abstractNumId="10">
    <w:nsid w:val="1381823A"/>
    <w:multiLevelType w:val="hybridMultilevel"/>
    <w:lvl w:ilvl="0">
      <w:lvlJc w:val="left"/>
      <w:lvlText w:val="(%1)"/>
      <w:numFmt w:val="decimal"/>
      <w:start w:val="1"/>
    </w:lvl>
  </w:abstractNum>
  <w:abstractNum w:abstractNumId="11">
    <w:nsid w:val="5DB70AE5"/>
    <w:multiLevelType w:val="hybridMultilevel"/>
    <w:lvl w:ilvl="0">
      <w:lvlJc w:val="left"/>
      <w:lvlText w:val="(%1)"/>
      <w:numFmt w:val="decimal"/>
      <w:start w:val="1"/>
    </w:lvl>
  </w:abstractNum>
  <w:abstractNum w:abstractNumId="12">
    <w:nsid w:val="100F8FCA"/>
    <w:multiLevelType w:val="hybridMultilevel"/>
    <w:lvl w:ilvl="0">
      <w:lvlJc w:val="left"/>
      <w:lvlText w:val="(%1)"/>
      <w:numFmt w:val="decimal"/>
      <w:start w:val="1"/>
    </w:lvl>
  </w:abstractNum>
  <w:abstractNum w:abstractNumId="13">
    <w:nsid w:val="6590700B"/>
    <w:multiLevelType w:val="hybridMultilevel"/>
    <w:lvl w:ilvl="0">
      <w:lvlJc w:val="left"/>
      <w:lvlText w:val="(%1)"/>
      <w:numFmt w:val="decimal"/>
      <w:start w:val="1"/>
    </w:lvl>
  </w:abstractNum>
  <w:abstractNum w:abstractNumId="14">
    <w:nsid w:val="15014ACB"/>
    <w:multiLevelType w:val="hybridMultilevel"/>
    <w:lvl w:ilvl="0">
      <w:lvlJc w:val="left"/>
      <w:lvlText w:val="§"/>
      <w:numFmt w:val="bullet"/>
      <w:start w:val="1"/>
    </w:lvl>
  </w:abstractNum>
  <w:abstractNum w:abstractNumId="15">
    <w:nsid w:val="5F5E7FD0"/>
    <w:multiLevelType w:val="hybridMultilevel"/>
    <w:lvl w:ilvl="0">
      <w:lvlJc w:val="left"/>
      <w:lvlText w:val="§"/>
      <w:numFmt w:val="bullet"/>
      <w:start w:val="1"/>
    </w:lvl>
  </w:abstractNum>
  <w:abstractNum w:abstractNumId="16">
    <w:nsid w:val="98A3148"/>
    <w:multiLevelType w:val="hybridMultilevel"/>
    <w:lvl w:ilvl="0">
      <w:lvlJc w:val="left"/>
      <w:lvlText w:val="§"/>
      <w:numFmt w:val="bullet"/>
      <w:start w:val="1"/>
    </w:lvl>
  </w:abstractNum>
  <w:abstractNum w:abstractNumId="17">
    <w:nsid w:val="799D0247"/>
    <w:multiLevelType w:val="hybridMultilevel"/>
    <w:lvl w:ilvl="0">
      <w:lvlJc w:val="left"/>
      <w:lvlText w:val="§"/>
      <w:numFmt w:val="bullet"/>
      <w:start w:val="1"/>
    </w:lvl>
  </w:abstractNum>
  <w:abstractNum w:abstractNumId="18">
    <w:nsid w:val="6B94764"/>
    <w:multiLevelType w:val="hybridMultilevel"/>
    <w:lvl w:ilvl="0">
      <w:lvlJc w:val="left"/>
      <w:lvlText w:val="§"/>
      <w:numFmt w:val="bullet"/>
      <w:start w:val="1"/>
    </w:lvl>
  </w:abstractNum>
  <w:abstractNum w:abstractNumId="19">
    <w:nsid w:val="42C296BD"/>
    <w:multiLevelType w:val="hybridMultilevel"/>
    <w:lvl w:ilvl="0">
      <w:lvlJc w:val="left"/>
      <w:lvlText w:val="§"/>
      <w:numFmt w:val="bullet"/>
      <w:start w:val="1"/>
    </w:lvl>
  </w:abstractNum>
  <w:abstractNum w:abstractNumId="20">
    <w:nsid w:val="168E121F"/>
    <w:multiLevelType w:val="hybridMultilevel"/>
    <w:lvl w:ilvl="0">
      <w:lvlJc w:val="left"/>
      <w:lvlText w:val="§"/>
      <w:numFmt w:val="bullet"/>
      <w:start w:val="1"/>
    </w:lvl>
  </w:abstractNum>
  <w:abstractNum w:abstractNumId="21">
    <w:nsid w:val="1EBA5D23"/>
    <w:multiLevelType w:val="hybridMultilevel"/>
    <w:lvl w:ilvl="0">
      <w:lvlJc w:val="left"/>
      <w:lvlText w:val="§"/>
      <w:numFmt w:val="bullet"/>
      <w:start w:val="1"/>
    </w:lvl>
  </w:abstractNum>
  <w:abstractNum w:abstractNumId="22">
    <w:nsid w:val="661E3F1E"/>
    <w:multiLevelType w:val="hybridMultilevel"/>
    <w:lvl w:ilvl="0">
      <w:lvlJc w:val="left"/>
      <w:lvlText w:val="(%1)"/>
      <w:numFmt w:val="decimal"/>
      <w:start w:val="1"/>
    </w:lvl>
  </w:abstractNum>
  <w:abstractNum w:abstractNumId="23">
    <w:nsid w:val="5DC79EA8"/>
    <w:multiLevelType w:val="hybridMultilevel"/>
    <w:lvl w:ilvl="0">
      <w:lvlJc w:val="left"/>
      <w:lvlText w:val="(%1)"/>
      <w:numFmt w:val="decimal"/>
      <w:start w:val="1"/>
    </w:lvl>
  </w:abstractNum>
  <w:abstractNum w:abstractNumId="24">
    <w:nsid w:val="540A471C"/>
    <w:multiLevelType w:val="hybridMultilevel"/>
    <w:lvl w:ilvl="0">
      <w:lvlJc w:val="left"/>
      <w:lvlText w:val="(%1)"/>
      <w:numFmt w:val="decimal"/>
      <w:start w:val="1"/>
    </w:lvl>
  </w:abstractNum>
  <w:abstractNum w:abstractNumId="25">
    <w:nsid w:val="7BD3EE7B"/>
    <w:multiLevelType w:val="hybridMultilevel"/>
    <w:lvl w:ilvl="0">
      <w:lvlJc w:val="left"/>
      <w:lvlText w:val="(%1)"/>
      <w:numFmt w:val="decimal"/>
      <w:start w:val="1"/>
    </w:lvl>
  </w:abstractNum>
  <w:abstractNum w:abstractNumId="26">
    <w:nsid w:val="51D9C564"/>
    <w:multiLevelType w:val="hybridMultilevel"/>
    <w:lvl w:ilvl="0">
      <w:lvlJc w:val="left"/>
      <w:lvlText w:val="(%1)"/>
      <w:numFmt w:val="decimal"/>
      <w:start w:val="1"/>
    </w:lvl>
  </w:abstractNum>
  <w:abstractNum w:abstractNumId="27">
    <w:nsid w:val="613EFDC5"/>
    <w:multiLevelType w:val="hybridMultilevel"/>
    <w:lvl w:ilvl="0">
      <w:lvlJc w:val="left"/>
      <w:lvlText w:val="(%1)"/>
      <w:numFmt w:val="decimal"/>
      <w:start w:val="1"/>
    </w:lvl>
  </w:abstractNum>
  <w:abstractNum w:abstractNumId="28">
    <w:nsid w:val="BF72B14"/>
    <w:multiLevelType w:val="hybridMultilevel"/>
    <w:lvl w:ilvl="0">
      <w:lvlJc w:val="left"/>
      <w:lvlText w:val="(%1)"/>
      <w:numFmt w:val="decimal"/>
      <w:start w:val="1"/>
    </w:lvl>
  </w:abstractNum>
  <w:abstractNum w:abstractNumId="29">
    <w:nsid w:val="11447B73"/>
    <w:multiLevelType w:val="hybridMultilevel"/>
    <w:lvl w:ilvl="0">
      <w:lvlJc w:val="left"/>
      <w:lvlText w:val="(%1)"/>
      <w:numFmt w:val="decimal"/>
      <w:start w:val="1"/>
    </w:lvl>
  </w:abstractNum>
  <w:abstractNum w:abstractNumId="30">
    <w:nsid w:val="42963E5A"/>
    <w:multiLevelType w:val="hybridMultilevel"/>
    <w:lvl w:ilvl="0">
      <w:lvlJc w:val="left"/>
      <w:lvlText w:val="(%1)"/>
      <w:numFmt w:val="decimal"/>
      <w:start w:val="1"/>
    </w:lvl>
  </w:abstractNum>
  <w:abstractNum w:abstractNumId="31">
    <w:nsid w:val="A0382C5"/>
    <w:multiLevelType w:val="hybridMultilevel"/>
    <w:lvl w:ilvl="0">
      <w:lvlJc w:val="left"/>
      <w:lvlText w:val="(%1)"/>
      <w:numFmt w:val="decimal"/>
      <w:start w:val="1"/>
    </w:lvl>
  </w:abstractNum>
  <w:abstractNum w:abstractNumId="32">
    <w:nsid w:val="8F2B15E"/>
    <w:multiLevelType w:val="hybridMultilevel"/>
    <w:lvl w:ilvl="0">
      <w:lvlJc w:val="left"/>
      <w:lvlText w:val="(%1)"/>
      <w:numFmt w:val="decimal"/>
      <w:start w:val="1"/>
    </w:lvl>
  </w:abstractNum>
  <w:abstractNum w:abstractNumId="33">
    <w:nsid w:val="1A32234B"/>
    <w:multiLevelType w:val="hybridMultilevel"/>
    <w:lvl w:ilvl="0">
      <w:lvlJc w:val="left"/>
      <w:lvlText w:val="§"/>
      <w:numFmt w:val="bullet"/>
      <w:start w:val="1"/>
    </w:lvl>
  </w:abstractNum>
  <w:abstractNum w:abstractNumId="34">
    <w:nsid w:val="3B0FD379"/>
    <w:multiLevelType w:val="hybridMultilevel"/>
    <w:lvl w:ilvl="0">
      <w:lvlJc w:val="left"/>
      <w:lvlText w:val="%1."/>
      <w:numFmt w:val="decimal"/>
      <w:start w:val="1"/>
    </w:lvl>
  </w:abstractNum>
  <w:abstractNum w:abstractNumId="35">
    <w:nsid w:val="68EB2F63"/>
    <w:multiLevelType w:val="hybridMultilevel"/>
    <w:lvl w:ilvl="0">
      <w:lvlJc w:val="left"/>
      <w:lvlText w:val="%1."/>
      <w:numFmt w:val="decimal"/>
      <w:start w:val="5"/>
    </w:lvl>
  </w:abstractNum>
  <w:abstractNum w:abstractNumId="36">
    <w:nsid w:val="4962813B"/>
    <w:multiLevelType w:val="hybridMultilevel"/>
    <w:lvl w:ilvl="0">
      <w:lvlJc w:val="left"/>
      <w:lvlText w:val="(%1)"/>
      <w:numFmt w:val="decimal"/>
      <w:start w:val="1"/>
    </w:lvl>
  </w:abstractNum>
  <w:abstractNum w:abstractNumId="37">
    <w:nsid w:val="60B6DF70"/>
    <w:multiLevelType w:val="hybridMultilevel"/>
    <w:lvl w:ilvl="0">
      <w:lvlJc w:val="left"/>
      <w:lvlText w:val="§"/>
      <w:numFmt w:val="bullet"/>
      <w:start w:val="1"/>
    </w:lvl>
  </w:abstractNum>
  <w:abstractNum w:abstractNumId="38">
    <w:nsid w:val="6A5EE64"/>
    <w:multiLevelType w:val="hybridMultilevel"/>
    <w:lvl w:ilvl="0">
      <w:lvlJc w:val="left"/>
      <w:lvlText w:val="§"/>
      <w:numFmt w:val="bullet"/>
      <w:start w:val="1"/>
    </w:lvl>
  </w:abstractNum>
  <w:abstractNum w:abstractNumId="39">
    <w:nsid w:val="14330624"/>
    <w:multiLevelType w:val="hybridMultilevel"/>
    <w:lvl w:ilvl="0">
      <w:lvlJc w:val="left"/>
      <w:lvlText w:val="§"/>
      <w:numFmt w:val="bullet"/>
      <w:start w:val="1"/>
    </w:lvl>
  </w:abstractNum>
  <w:abstractNum w:abstractNumId="40">
    <w:nsid w:val="7FFFCA11"/>
    <w:multiLevelType w:val="hybridMultilevel"/>
    <w:lvl w:ilvl="0">
      <w:lvlJc w:val="left"/>
      <w:lvlText w:val="§"/>
      <w:numFmt w:val="bullet"/>
      <w:start w:val="1"/>
    </w:lvl>
  </w:abstractNum>
  <w:abstractNum w:abstractNumId="41">
    <w:nsid w:val="1A27709E"/>
    <w:multiLevelType w:val="hybridMultilevel"/>
    <w:lvl w:ilvl="0">
      <w:lvlJc w:val="left"/>
      <w:lvlText w:val="§"/>
      <w:numFmt w:val="bullet"/>
      <w:start w:val="1"/>
    </w:lvl>
  </w:abstractNum>
  <w:abstractNum w:abstractNumId="42">
    <w:nsid w:val="71EA1109"/>
    <w:multiLevelType w:val="hybridMultilevel"/>
    <w:lvl w:ilvl="0">
      <w:lvlJc w:val="left"/>
      <w:lvlText w:val="§"/>
      <w:numFmt w:val="bullet"/>
      <w:start w:val="1"/>
    </w:lvl>
  </w:abstractNum>
  <w:abstractNum w:abstractNumId="43">
    <w:nsid w:val="100F59DC"/>
    <w:multiLevelType w:val="hybridMultilevel"/>
    <w:lvl w:ilvl="0">
      <w:lvlJc w:val="left"/>
      <w:lvlText w:val="§"/>
      <w:numFmt w:val="bullet"/>
      <w:start w:val="1"/>
    </w:lvl>
  </w:abstractNum>
  <w:abstractNum w:abstractNumId="44">
    <w:nsid w:val="7FB7E0AA"/>
    <w:multiLevelType w:val="hybridMultilevel"/>
    <w:lvl w:ilvl="0">
      <w:lvlJc w:val="left"/>
      <w:lvlText w:val="(%1)"/>
      <w:numFmt w:val="decimal"/>
      <w:start w:val="1"/>
    </w:lvl>
  </w:abstractNum>
  <w:abstractNum w:abstractNumId="45">
    <w:nsid w:val="6EB5BD4"/>
    <w:multiLevelType w:val="hybridMultilevel"/>
    <w:lvl w:ilvl="0">
      <w:lvlJc w:val="left"/>
      <w:lvlText w:val="§"/>
      <w:numFmt w:val="bullet"/>
      <w:start w:val="1"/>
    </w:lvl>
  </w:abstractNum>
  <w:abstractNum w:abstractNumId="46">
    <w:nsid w:val="6F6DD9AC"/>
    <w:multiLevelType w:val="hybridMultilevel"/>
    <w:lvl w:ilvl="0">
      <w:lvlJc w:val="left"/>
      <w:lvlText w:val="§"/>
      <w:numFmt w:val="bullet"/>
      <w:start w:val="1"/>
    </w:lvl>
  </w:abstractNum>
  <w:abstractNum w:abstractNumId="47">
    <w:nsid w:val="94211F2"/>
    <w:multiLevelType w:val="hybridMultilevel"/>
    <w:lvl w:ilvl="0">
      <w:lvlJc w:val="left"/>
      <w:lvlText w:val="§"/>
      <w:numFmt w:val="bullet"/>
      <w:start w:val="1"/>
    </w:lvl>
  </w:abstractNum>
  <w:abstractNum w:abstractNumId="48">
    <w:nsid w:val="885E1B"/>
    <w:multiLevelType w:val="hybridMultilevel"/>
    <w:lvl w:ilvl="0">
      <w:lvlJc w:val="left"/>
      <w:lvlText w:val="§"/>
      <w:numFmt w:val="bullet"/>
      <w:start w:val="1"/>
    </w:lvl>
  </w:abstractNum>
  <w:abstractNum w:abstractNumId="49">
    <w:nsid w:val="76272110"/>
    <w:multiLevelType w:val="hybridMultilevel"/>
    <w:lvl w:ilvl="0">
      <w:lvlJc w:val="left"/>
      <w:lvlText w:val="§"/>
      <w:numFmt w:val="bullet"/>
      <w:start w:val="1"/>
    </w:lvl>
  </w:abstractNum>
  <w:abstractNum w:abstractNumId="50">
    <w:nsid w:val="4C04A8AF"/>
    <w:multiLevelType w:val="hybridMultilevel"/>
    <w:lvl w:ilvl="0">
      <w:lvlJc w:val="left"/>
      <w:lvlText w:val="§"/>
      <w:numFmt w:val="bullet"/>
      <w:start w:val="1"/>
    </w:lvl>
  </w:abstractNum>
  <w:abstractNum w:abstractNumId="51">
    <w:nsid w:val="1716703B"/>
    <w:multiLevelType w:val="hybridMultilevel"/>
    <w:lvl w:ilvl="0">
      <w:lvlJc w:val="left"/>
      <w:lvlText w:val="§"/>
      <w:numFmt w:val="bullet"/>
      <w:start w:val="1"/>
    </w:lvl>
  </w:abstractNum>
  <w:abstractNum w:abstractNumId="52">
    <w:nsid w:val="14E17E33"/>
    <w:multiLevelType w:val="hybridMultilevel"/>
    <w:lvl w:ilvl="0">
      <w:lvlJc w:val="left"/>
      <w:lvlText w:val="§"/>
      <w:numFmt w:val="bullet"/>
      <w:start w:val="1"/>
    </w:lvl>
  </w:abstractNum>
  <w:abstractNum w:abstractNumId="53">
    <w:nsid w:val="3222E7CD"/>
    <w:multiLevelType w:val="hybridMultilevel"/>
    <w:lvl w:ilvl="0">
      <w:lvlJc w:val="left"/>
      <w:lvlText w:val="§"/>
      <w:numFmt w:val="bullet"/>
      <w:start w:val="1"/>
    </w:lvl>
  </w:abstractNum>
  <w:abstractNum w:abstractNumId="54">
    <w:nsid w:val="74DE0EE3"/>
    <w:multiLevelType w:val="hybridMultilevel"/>
    <w:lvl w:ilvl="0">
      <w:lvlJc w:val="left"/>
      <w:lvlText w:val="§"/>
      <w:numFmt w:val="bullet"/>
      <w:start w:val="1"/>
    </w:lvl>
  </w:abstractNum>
  <w:abstractNum w:abstractNumId="55">
    <w:nsid w:val="68EBC550"/>
    <w:multiLevelType w:val="hybridMultilevel"/>
    <w:lvl w:ilvl="0">
      <w:lvlJc w:val="left"/>
      <w:lvlText w:val="§"/>
      <w:numFmt w:val="bullet"/>
      <w:start w:val="1"/>
    </w:lvl>
  </w:abstractNum>
  <w:abstractNum w:abstractNumId="56">
    <w:nsid w:val="2DF6D648"/>
    <w:multiLevelType w:val="hybridMultilevel"/>
    <w:lvl w:ilvl="0">
      <w:lvlJc w:val="left"/>
      <w:lvlText w:val="§"/>
      <w:numFmt w:val="bullet"/>
      <w:start w:val="1"/>
    </w:lvl>
  </w:abstractNum>
  <w:abstractNum w:abstractNumId="57">
    <w:nsid w:val="46B7D447"/>
    <w:multiLevelType w:val="hybridMultilevel"/>
    <w:lvl w:ilvl="0">
      <w:lvlJc w:val="left"/>
      <w:lvlText w:val="§"/>
      <w:numFmt w:val="bullet"/>
      <w:start w:val="1"/>
    </w:lvl>
  </w:abstractNum>
  <w:abstractNum w:abstractNumId="58">
    <w:nsid w:val="4A2AC315"/>
    <w:multiLevelType w:val="hybridMultilevel"/>
    <w:lvl w:ilvl="0">
      <w:lvlJc w:val="left"/>
      <w:lvlText w:val="§"/>
      <w:numFmt w:val="bullet"/>
      <w:start w:val="1"/>
    </w:lvl>
  </w:abstractNum>
  <w:abstractNum w:abstractNumId="59">
    <w:nsid w:val="39EE015C"/>
    <w:multiLevelType w:val="hybridMultilevel"/>
    <w:lvl w:ilvl="0">
      <w:lvlJc w:val="left"/>
      <w:lvlText w:val="§"/>
      <w:numFmt w:val="bullet"/>
      <w:start w:val="1"/>
    </w:lvl>
  </w:abstractNum>
  <w:abstractNum w:abstractNumId="60">
    <w:nsid w:val="57FC4FBB"/>
    <w:multiLevelType w:val="hybridMultilevel"/>
    <w:lvl w:ilvl="0">
      <w:lvlJc w:val="left"/>
      <w:lvlText w:val="§"/>
      <w:numFmt w:val="bullet"/>
      <w:start w:val="1"/>
    </w:lvl>
  </w:abstractNum>
  <w:abstractNum w:abstractNumId="61">
    <w:nsid w:val="CC1016F"/>
    <w:multiLevelType w:val="hybridMultilevel"/>
    <w:lvl w:ilvl="0">
      <w:lvlJc w:val="left"/>
      <w:lvlText w:val="§"/>
      <w:numFmt w:val="bullet"/>
      <w:start w:val="1"/>
    </w:lvl>
  </w:abstractNum>
  <w:abstractNum w:abstractNumId="62">
    <w:nsid w:val="43F18422"/>
    <w:multiLevelType w:val="hybridMultilevel"/>
    <w:lvl w:ilvl="0">
      <w:lvlJc w:val="left"/>
      <w:lvlText w:val="§"/>
      <w:numFmt w:val="bullet"/>
      <w:start w:val="1"/>
    </w:lvl>
  </w:abstractNum>
  <w:abstractNum w:abstractNumId="63">
    <w:nsid w:val="60EF0119"/>
    <w:multiLevelType w:val="hybridMultilevel"/>
    <w:lvl w:ilvl="0">
      <w:lvlJc w:val="left"/>
      <w:lvlText w:val="§"/>
      <w:numFmt w:val="bullet"/>
      <w:start w:val="1"/>
    </w:lvl>
  </w:abstractNum>
  <w:abstractNum w:abstractNumId="64">
    <w:nsid w:val="26F324BA"/>
    <w:multiLevelType w:val="hybridMultilevel"/>
    <w:lvl w:ilvl="0">
      <w:lvlJc w:val="left"/>
      <w:lvlText w:val="§"/>
      <w:numFmt w:val="bullet"/>
      <w:start w:val="1"/>
    </w:lvl>
  </w:abstractNum>
  <w:abstractNum w:abstractNumId="65">
    <w:nsid w:val="7F01579B"/>
    <w:multiLevelType w:val="hybridMultilevel"/>
    <w:lvl w:ilvl="0">
      <w:lvlJc w:val="left"/>
      <w:lvlText w:val="§"/>
      <w:numFmt w:val="bullet"/>
      <w:start w:val="1"/>
    </w:lvl>
  </w:abstractNum>
  <w:abstractNum w:abstractNumId="66">
    <w:nsid w:val="49DA307D"/>
    <w:multiLevelType w:val="hybridMultilevel"/>
    <w:lvl w:ilvl="0">
      <w:lvlJc w:val="left"/>
      <w:lvlText w:val="§"/>
      <w:numFmt w:val="bullet"/>
      <w:start w:val="1"/>
    </w:lvl>
  </w:abstractNum>
  <w:abstractNum w:abstractNumId="67">
    <w:nsid w:val="7055A5F5"/>
    <w:multiLevelType w:val="hybridMultilevel"/>
    <w:lvl w:ilvl="0">
      <w:lvlJc w:val="left"/>
      <w:lvlText w:val="§"/>
      <w:numFmt w:val="bullet"/>
      <w:start w:val="1"/>
    </w:lvl>
  </w:abstractNum>
  <w:abstractNum w:abstractNumId="68">
    <w:nsid w:val="5FB8370B"/>
    <w:multiLevelType w:val="hybridMultilevel"/>
    <w:lvl w:ilvl="0">
      <w:lvlJc w:val="left"/>
      <w:lvlText w:val="§"/>
      <w:numFmt w:val="bullet"/>
      <w:start w:val="1"/>
    </w:lvl>
  </w:abstractNum>
  <w:abstractNum w:abstractNumId="69">
    <w:nsid w:val="50801EE1"/>
    <w:multiLevelType w:val="hybridMultilevel"/>
    <w:lvl w:ilvl="0">
      <w:lvlJc w:val="left"/>
      <w:lvlText w:val="§"/>
      <w:numFmt w:val="bullet"/>
      <w:start w:val="1"/>
    </w:lvl>
  </w:abstractNum>
  <w:abstractNum w:abstractNumId="70">
    <w:nsid w:val="488AC1A"/>
    <w:multiLevelType w:val="hybridMultilevel"/>
    <w:lvl w:ilvl="0">
      <w:lvlJc w:val="left"/>
      <w:lvlText w:val="(%1)"/>
      <w:numFmt w:val="decimal"/>
      <w:start w:val="1"/>
    </w:lvl>
  </w:abstractNum>
  <w:abstractNum w:abstractNumId="71">
    <w:nsid w:val="5FB8011C"/>
    <w:multiLevelType w:val="hybridMultilevel"/>
    <w:lvl w:ilvl="0">
      <w:lvlJc w:val="left"/>
      <w:lvlText w:val="§"/>
      <w:numFmt w:val="bullet"/>
      <w:start w:val="1"/>
    </w:lvl>
  </w:abstractNum>
  <w:abstractNum w:abstractNumId="72">
    <w:nsid w:val="6AA78F7F"/>
    <w:multiLevelType w:val="hybridMultilevel"/>
    <w:lvl w:ilvl="0">
      <w:lvlJc w:val="left"/>
      <w:lvlText w:val="§"/>
      <w:numFmt w:val="bullet"/>
      <w:start w:val="1"/>
    </w:lvl>
  </w:abstractNum>
  <w:abstractNum w:abstractNumId="73">
    <w:nsid w:val="7672BD23"/>
    <w:multiLevelType w:val="hybridMultilevel"/>
    <w:lvl w:ilvl="0">
      <w:lvlJc w:val="left"/>
      <w:lvlText w:val="§"/>
      <w:numFmt w:val="bullet"/>
      <w:start w:val="1"/>
    </w:lvl>
  </w:abstractNum>
  <w:abstractNum w:abstractNumId="74">
    <w:nsid w:val="6FC75AF8"/>
    <w:multiLevelType w:val="hybridMultilevel"/>
    <w:lvl w:ilvl="0">
      <w:lvlJc w:val="left"/>
      <w:lvlText w:val="§"/>
      <w:numFmt w:val="bullet"/>
      <w:start w:val="1"/>
    </w:lvl>
  </w:abstractNum>
  <w:abstractNum w:abstractNumId="75">
    <w:nsid w:val="6A5F7029"/>
    <w:multiLevelType w:val="hybridMultilevel"/>
    <w:lvl w:ilvl="0">
      <w:lvlJc w:val="left"/>
      <w:lvlText w:val="§"/>
      <w:numFmt w:val="bullet"/>
      <w:start w:val="1"/>
    </w:lvl>
  </w:abstractNum>
  <w:abstractNum w:abstractNumId="76">
    <w:nsid w:val="7D5E18F8"/>
    <w:multiLevelType w:val="hybridMultilevel"/>
    <w:lvl w:ilvl="0">
      <w:lvlJc w:val="left"/>
      <w:lvlText w:val="§"/>
      <w:numFmt w:val="bullet"/>
      <w:start w:val="1"/>
    </w:lvl>
  </w:abstractNum>
  <w:abstractNum w:abstractNumId="77">
    <w:nsid w:val="5F3534A4"/>
    <w:multiLevelType w:val="hybridMultilevel"/>
    <w:lvl w:ilvl="0">
      <w:lvlJc w:val="left"/>
      <w:lvlText w:val="§"/>
      <w:numFmt w:val="bullet"/>
      <w:start w:val="1"/>
    </w:lvl>
  </w:abstractNum>
  <w:abstractNum w:abstractNumId="78">
    <w:nsid w:val="73A1821B"/>
    <w:multiLevelType w:val="hybridMultilevel"/>
    <w:lvl w:ilvl="0">
      <w:lvlJc w:val="left"/>
      <w:lvlText w:val="§"/>
      <w:numFmt w:val="bullet"/>
      <w:start w:val="1"/>
    </w:lvl>
  </w:abstractNum>
  <w:abstractNum w:abstractNumId="79">
    <w:nsid w:val="7DE67713"/>
    <w:multiLevelType w:val="hybridMultilevel"/>
    <w:lvl w:ilvl="0">
      <w:lvlJc w:val="left"/>
      <w:lvlText w:val="§"/>
      <w:numFmt w:val="bullet"/>
      <w:start w:val="1"/>
    </w:lvl>
  </w:abstractNum>
  <w:abstractNum w:abstractNumId="80">
    <w:nsid w:val="555C55B5"/>
    <w:multiLevelType w:val="hybridMultilevel"/>
    <w:lvl w:ilvl="0">
      <w:lvlJc w:val="left"/>
      <w:lvlText w:val="§"/>
      <w:numFmt w:val="bullet"/>
      <w:start w:val="1"/>
    </w:lvl>
  </w:abstractNum>
  <w:abstractNum w:abstractNumId="81">
    <w:nsid w:val="3FA62ACA"/>
    <w:multiLevelType w:val="hybridMultilevel"/>
    <w:lvl w:ilvl="0">
      <w:lvlJc w:val="left"/>
      <w:lvlText w:val="§"/>
      <w:numFmt w:val="bullet"/>
      <w:start w:val="1"/>
    </w:lvl>
  </w:abstractNum>
  <w:abstractNum w:abstractNumId="82">
    <w:nsid w:val="14FCE74E"/>
    <w:multiLevelType w:val="hybridMultilevel"/>
    <w:lvl w:ilvl="0">
      <w:lvlJc w:val="left"/>
      <w:lvlText w:val="§"/>
      <w:numFmt w:val="bullet"/>
      <w:start w:val="1"/>
    </w:lvl>
  </w:abstractNum>
  <w:abstractNum w:abstractNumId="83">
    <w:nsid w:val="6A3DD3E8"/>
    <w:multiLevelType w:val="hybridMultilevel"/>
    <w:lvl w:ilvl="0">
      <w:lvlJc w:val="left"/>
      <w:lvlText w:val="§"/>
      <w:numFmt w:val="bullet"/>
      <w:start w:val="1"/>
    </w:lvl>
  </w:abstractNum>
  <w:abstractNum w:abstractNumId="84">
    <w:nsid w:val="71C91298"/>
    <w:multiLevelType w:val="hybridMultilevel"/>
    <w:lvl w:ilvl="0">
      <w:lvlJc w:val="left"/>
      <w:lvlText w:val="§"/>
      <w:numFmt w:val="bullet"/>
      <w:start w:val="1"/>
    </w:lvl>
  </w:abstractNum>
  <w:abstractNum w:abstractNumId="85">
    <w:nsid w:val="9DAF632"/>
    <w:multiLevelType w:val="hybridMultilevel"/>
    <w:lvl w:ilvl="0">
      <w:lvlJc w:val="left"/>
      <w:lvlText w:val="§"/>
      <w:numFmt w:val="bullet"/>
      <w:start w:val="1"/>
    </w:lvl>
  </w:abstractNum>
  <w:abstractNum w:abstractNumId="86">
    <w:nsid w:val="53299938"/>
    <w:multiLevelType w:val="hybridMultilevel"/>
    <w:lvl w:ilvl="0">
      <w:lvlJc w:val="left"/>
      <w:lvlText w:val="§"/>
      <w:numFmt w:val="bullet"/>
      <w:start w:val="1"/>
    </w:lvl>
  </w:abstractNum>
  <w:abstractNum w:abstractNumId="87">
    <w:nsid w:val="1FBFE8E0"/>
    <w:multiLevelType w:val="hybridMultilevel"/>
    <w:lvl w:ilvl="0">
      <w:lvlJc w:val="left"/>
      <w:lvlText w:val="§"/>
      <w:numFmt w:val="bullet"/>
      <w:start w:val="1"/>
    </w:lvl>
  </w:abstractNum>
  <w:abstractNum w:abstractNumId="88">
    <w:nsid w:val="5092CA79"/>
    <w:multiLevelType w:val="hybridMultilevel"/>
    <w:lvl w:ilvl="0">
      <w:lvlJc w:val="left"/>
      <w:lvlText w:val="§"/>
      <w:numFmt w:val="bullet"/>
      <w:start w:val="1"/>
    </w:lvl>
  </w:abstractNum>
  <w:abstractNum w:abstractNumId="89">
    <w:nsid w:val="1D545C4D"/>
    <w:multiLevelType w:val="hybridMultilevel"/>
    <w:lvl w:ilvl="0">
      <w:lvlJc w:val="left"/>
      <w:lvlText w:val="§"/>
      <w:numFmt w:val="bullet"/>
      <w:start w:val="1"/>
    </w:lvl>
  </w:abstractNum>
  <w:abstractNum w:abstractNumId="90">
    <w:nsid w:val="59ADEA3D"/>
    <w:multiLevelType w:val="hybridMultilevel"/>
    <w:lvl w:ilvl="0">
      <w:lvlJc w:val="left"/>
      <w:lvlText w:val="§"/>
      <w:numFmt w:val="bullet"/>
      <w:start w:val="1"/>
    </w:lvl>
  </w:abstractNum>
  <w:abstractNum w:abstractNumId="91">
    <w:nsid w:val="288F1A34"/>
    <w:multiLevelType w:val="hybridMultilevel"/>
    <w:lvl w:ilvl="0">
      <w:lvlJc w:val="left"/>
      <w:lvlText w:val="§"/>
      <w:numFmt w:val="bullet"/>
      <w:start w:val="1"/>
    </w:lvl>
  </w:abstractNum>
  <w:abstractNum w:abstractNumId="92">
    <w:nsid w:val="2A155DBC"/>
    <w:multiLevelType w:val="hybridMultilevel"/>
    <w:lvl w:ilvl="0">
      <w:lvlJc w:val="left"/>
      <w:lvlText w:val="(%1)"/>
      <w:numFmt w:val="decimal"/>
      <w:start w:val="1"/>
    </w:lvl>
  </w:abstractNum>
  <w:abstractNum w:abstractNumId="93">
    <w:nsid w:val="1D9F6E5F"/>
    <w:multiLevelType w:val="hybridMultilevel"/>
    <w:lvl w:ilvl="0">
      <w:lvlJc w:val="left"/>
      <w:lvlText w:val="§"/>
      <w:numFmt w:val="bullet"/>
      <w:start w:val="1"/>
    </w:lvl>
  </w:abstractNum>
  <w:abstractNum w:abstractNumId="94">
    <w:nsid w:val="97E1B4E"/>
    <w:multiLevelType w:val="hybridMultilevel"/>
    <w:lvl w:ilvl="0">
      <w:lvlJc w:val="left"/>
      <w:lvlText w:val="§"/>
      <w:numFmt w:val="bullet"/>
      <w:start w:val="1"/>
    </w:lvl>
  </w:abstractNum>
  <w:abstractNum w:abstractNumId="95">
    <w:nsid w:val="51088277"/>
    <w:multiLevelType w:val="hybridMultilevel"/>
    <w:lvl w:ilvl="0">
      <w:lvlJc w:val="left"/>
      <w:lvlText w:val="§"/>
      <w:numFmt w:val="bullet"/>
      <w:start w:val="1"/>
    </w:lvl>
  </w:abstractNum>
  <w:abstractNum w:abstractNumId="96">
    <w:nsid w:val="1CA0C5FA"/>
    <w:multiLevelType w:val="hybridMultilevel"/>
    <w:lvl w:ilvl="0">
      <w:lvlJc w:val="left"/>
      <w:lvlText w:val="§"/>
      <w:numFmt w:val="bullet"/>
      <w:start w:val="1"/>
    </w:lvl>
  </w:abstractNum>
  <w:abstractNum w:abstractNumId="97">
    <w:nsid w:val="53584BCB"/>
    <w:multiLevelType w:val="hybridMultilevel"/>
    <w:lvl w:ilvl="0">
      <w:lvlJc w:val="left"/>
      <w:lvlText w:val="§"/>
      <w:numFmt w:val="bullet"/>
      <w:start w:val="1"/>
    </w:lvl>
  </w:abstractNum>
  <w:abstractNum w:abstractNumId="98">
    <w:nsid w:val="415E286C"/>
    <w:multiLevelType w:val="hybridMultilevel"/>
    <w:lvl w:ilvl="0">
      <w:lvlJc w:val="left"/>
      <w:lvlText w:val="§"/>
      <w:numFmt w:val="bullet"/>
      <w:start w:val="1"/>
    </w:lvl>
  </w:abstractNum>
  <w:abstractNum w:abstractNumId="99">
    <w:nsid w:val="7C58FD05"/>
    <w:multiLevelType w:val="hybridMultilevel"/>
    <w:lvl w:ilvl="0">
      <w:lvlJc w:val="left"/>
      <w:lvlText w:val="§"/>
      <w:numFmt w:val="bullet"/>
      <w:start w:val="1"/>
    </w:lvl>
  </w:abstractNum>
  <w:abstractNum w:abstractNumId="100">
    <w:nsid w:val="23D86AAC"/>
    <w:multiLevelType w:val="hybridMultilevel"/>
    <w:lvl w:ilvl="0">
      <w:lvlJc w:val="left"/>
      <w:lvlText w:val="§"/>
      <w:numFmt w:val="bullet"/>
      <w:start w:val="1"/>
    </w:lvl>
  </w:abstractNum>
  <w:abstractNum w:abstractNumId="101">
    <w:nsid w:val="45E6D486"/>
    <w:multiLevelType w:val="hybridMultilevel"/>
    <w:lvl w:ilvl="0">
      <w:lvlJc w:val="left"/>
      <w:lvlText w:val="§"/>
      <w:numFmt w:val="bullet"/>
      <w:start w:val="1"/>
    </w:lvl>
  </w:abstractNum>
  <w:abstractNum w:abstractNumId="102">
    <w:nsid w:val="5C10FE21"/>
    <w:multiLevelType w:val="hybridMultilevel"/>
    <w:lvl w:ilvl="0">
      <w:lvlJc w:val="left"/>
      <w:lvlText w:val="§"/>
      <w:numFmt w:val="bullet"/>
      <w:start w:val="1"/>
    </w:lvl>
  </w:abstractNum>
  <w:abstractNum w:abstractNumId="103">
    <w:nsid w:val="E7FFA2B"/>
    <w:multiLevelType w:val="hybridMultilevel"/>
    <w:lvl w:ilvl="0">
      <w:lvlJc w:val="left"/>
      <w:lvlText w:val="§"/>
      <w:numFmt w:val="bullet"/>
      <w:start w:val="1"/>
    </w:lvl>
  </w:abstractNum>
  <w:abstractNum w:abstractNumId="104">
    <w:nsid w:val="3C5991AA"/>
    <w:multiLevelType w:val="hybridMultilevel"/>
    <w:lvl w:ilvl="0">
      <w:lvlJc w:val="left"/>
      <w:lvlText w:val="§"/>
      <w:numFmt w:val="bullet"/>
      <w:start w:val="1"/>
    </w:lvl>
  </w:abstractNum>
  <w:abstractNum w:abstractNumId="105">
    <w:nsid w:val="4BD8591A"/>
    <w:multiLevelType w:val="hybridMultilevel"/>
    <w:lvl w:ilvl="0">
      <w:lvlJc w:val="left"/>
      <w:lvlText w:val="§"/>
      <w:numFmt w:val="bullet"/>
      <w:start w:val="1"/>
    </w:lvl>
  </w:abstractNum>
  <w:abstractNum w:abstractNumId="106">
    <w:nsid w:val="78DF6A55"/>
    <w:multiLevelType w:val="hybridMultilevel"/>
    <w:lvl w:ilvl="0">
      <w:lvlJc w:val="left"/>
      <w:lvlText w:val="§"/>
      <w:numFmt w:val="bullet"/>
      <w:start w:val="1"/>
    </w:lvl>
  </w:abstractNum>
  <w:abstractNum w:abstractNumId="107">
    <w:nsid w:val="39B7AAA2"/>
    <w:multiLevelType w:val="hybridMultilevel"/>
    <w:lvl w:ilvl="0">
      <w:lvlJc w:val="left"/>
      <w:lvlText w:val="§"/>
      <w:numFmt w:val="bullet"/>
      <w:start w:val="1"/>
    </w:lvl>
  </w:abstractNum>
  <w:abstractNum w:abstractNumId="108">
    <w:nsid w:val="2B0D8DBE"/>
    <w:multiLevelType w:val="hybridMultilevel"/>
    <w:lvl w:ilvl="0">
      <w:lvlJc w:val="left"/>
      <w:lvlText w:val="§"/>
      <w:numFmt w:val="bullet"/>
      <w:start w:val="1"/>
    </w:lvl>
  </w:abstractNum>
  <w:abstractNum w:abstractNumId="109">
    <w:nsid w:val="6C80EC70"/>
    <w:multiLevelType w:val="hybridMultilevel"/>
    <w:lvl w:ilvl="0">
      <w:lvlJc w:val="left"/>
      <w:lvlText w:val="(%1)"/>
      <w:numFmt w:val="decimal"/>
      <w:start w:val="1"/>
    </w:lvl>
  </w:abstractNum>
  <w:abstractNum w:abstractNumId="110">
    <w:nsid w:val="379E21B5"/>
    <w:multiLevelType w:val="hybridMultilevel"/>
    <w:lvl w:ilvl="0">
      <w:lvlJc w:val="left"/>
      <w:lvlText w:val="(%1)"/>
      <w:numFmt w:val="decimal"/>
      <w:start w:val="1"/>
    </w:lvl>
  </w:abstractNum>
  <w:abstractNum w:abstractNumId="111">
    <w:nsid w:val="69E373"/>
    <w:multiLevelType w:val="hybridMultilevel"/>
    <w:lvl w:ilvl="0">
      <w:lvlJc w:val="left"/>
      <w:lvlText w:val="(%1)"/>
      <w:numFmt w:val="decimal"/>
      <w:start w:val="1"/>
    </w:lvl>
  </w:abstractNum>
  <w:abstractNum w:abstractNumId="112">
    <w:nsid w:val="2C27173B"/>
    <w:multiLevelType w:val="hybridMultilevel"/>
    <w:lvl w:ilvl="0">
      <w:lvlJc w:val="left"/>
      <w:lvlText w:val="%1."/>
      <w:numFmt w:val="decimal"/>
      <w:start w:val="1"/>
    </w:lvl>
    <w:lvl w:ilvl="1">
      <w:lvlJc w:val="left"/>
      <w:lvlText w:val="%2)"/>
      <w:numFmt w:val="lowerLetter"/>
      <w:start w:val="1"/>
    </w:lvl>
  </w:abstractNum>
  <w:abstractNum w:abstractNumId="113">
    <w:nsid w:val="4C9B0904"/>
    <w:multiLevelType w:val="hybridMultilevel"/>
    <w:lvl w:ilvl="0">
      <w:lvlJc w:val="left"/>
      <w:lvlText w:val="%1."/>
      <w:numFmt w:val="decimal"/>
      <w:start w:val="1"/>
    </w:lvl>
    <w:lvl w:ilvl="1">
      <w:lvlJc w:val="left"/>
      <w:lvlText w:val="%2)"/>
      <w:numFmt w:val="lowerLetter"/>
      <w:start w:val="1"/>
    </w:lvl>
  </w:abstractNum>
  <w:abstractNum w:abstractNumId="114">
    <w:nsid w:val="6AA7B75C"/>
    <w:multiLevelType w:val="hybridMultilevel"/>
    <w:lvl w:ilvl="0">
      <w:lvlJc w:val="left"/>
      <w:lvlText w:val="%1."/>
      <w:numFmt w:val="decimal"/>
      <w:start w:val="1"/>
    </w:lvl>
    <w:lvl w:ilvl="1">
      <w:lvlJc w:val="left"/>
      <w:lvlText w:val="%2)"/>
      <w:numFmt w:val="lowerLetter"/>
      <w:start w:val="1"/>
    </w:lvl>
  </w:abstractNum>
  <w:abstractNum w:abstractNumId="115">
    <w:nsid w:val="1DF029D3"/>
    <w:multiLevelType w:val="hybridMultilevel"/>
    <w:lvl w:ilvl="0">
      <w:lvlJc w:val="left"/>
      <w:lvlText w:val="%1."/>
      <w:numFmt w:val="decimal"/>
      <w:start w:val="1"/>
    </w:lvl>
    <w:lvl w:ilvl="1">
      <w:lvlJc w:val="left"/>
      <w:lvlText w:val="%2)"/>
      <w:numFmt w:val="lowerLetter"/>
      <w:start w:val="1"/>
    </w:lvl>
  </w:abstractNum>
  <w:abstractNum w:abstractNumId="116">
    <w:nsid w:val="5675FF36"/>
    <w:multiLevelType w:val="hybridMultilevel"/>
    <w:lvl w:ilvl="0">
      <w:lvlJc w:val="left"/>
      <w:lvlText w:val="%1."/>
      <w:numFmt w:val="decimal"/>
      <w:start w:val="1"/>
    </w:lvl>
    <w:lvl w:ilvl="1">
      <w:lvlJc w:val="left"/>
      <w:lvlText w:val="%2)"/>
      <w:numFmt w:val="lowerLetter"/>
      <w:start w:val="1"/>
    </w:lvl>
  </w:abstractNum>
  <w:abstractNum w:abstractNumId="117">
    <w:nsid w:val="3DD15094"/>
    <w:multiLevelType w:val="hybridMultilevel"/>
    <w:lvl w:ilvl="0">
      <w:lvlJc w:val="left"/>
      <w:lvlText w:val="%1."/>
      <w:numFmt w:val="decimal"/>
      <w:start w:val="1"/>
    </w:lvl>
    <w:lvl w:ilvl="1">
      <w:lvlJc w:val="left"/>
      <w:lvlText w:val="%2)"/>
      <w:numFmt w:val="lowerLetter"/>
      <w:start w:val="1"/>
    </w:lvl>
  </w:abstractNum>
  <w:abstractNum w:abstractNumId="118">
    <w:nsid w:val="3DB012B3"/>
    <w:multiLevelType w:val="hybridMultilevel"/>
    <w:lvl w:ilvl="0">
      <w:lvlJc w:val="left"/>
      <w:lvlText w:val="(%1)"/>
      <w:numFmt w:val="lowerRoman"/>
      <w:start w:val="1"/>
    </w:lvl>
  </w:abstractNum>
  <w:abstractNum w:abstractNumId="119">
    <w:nsid w:val="2708C9AF"/>
    <w:multiLevelType w:val="hybridMultilevel"/>
    <w:lvl w:ilvl="0">
      <w:lvlJc w:val="left"/>
      <w:lvlText w:val="(%1)"/>
      <w:numFmt w:val="lowerRoman"/>
      <w:start w:val="1"/>
    </w:lvl>
  </w:abstractNum>
  <w:abstractNum w:abstractNumId="120">
    <w:nsid w:val="5B25ACE2"/>
    <w:multiLevelType w:val="hybridMultilevel"/>
    <w:lvl w:ilvl="0">
      <w:lvlJc w:val="left"/>
      <w:lvlText w:val="(%1)"/>
      <w:numFmt w:val="lowerRoman"/>
      <w:start w:val="1"/>
    </w:lvl>
  </w:abstractNum>
  <w:abstractNum w:abstractNumId="121">
    <w:nsid w:val="175DFCF0"/>
    <w:multiLevelType w:val="hybridMultilevel"/>
    <w:lvl w:ilvl="0">
      <w:lvlJc w:val="left"/>
      <w:lvlText w:val="(%1)"/>
      <w:numFmt w:val="lowerRoman"/>
      <w:start w:val="1"/>
    </w:lvl>
  </w:abstractNum>
  <w:abstractNum w:abstractNumId="122">
    <w:nsid w:val="4F97E3E4"/>
    <w:multiLevelType w:val="hybridMultilevel"/>
    <w:lvl w:ilvl="0">
      <w:lvlJc w:val="left"/>
      <w:lvlText w:val="(%1)"/>
      <w:numFmt w:val="lowerRoman"/>
      <w:start w:val="1"/>
    </w:lvl>
  </w:abstractNum>
  <w:abstractNum w:abstractNumId="123">
    <w:nsid w:val="53B0A9E"/>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jpeg"/><Relationship Id="rId106" Type="http://schemas.openxmlformats.org/officeDocument/2006/relationships/image" Target="media/image99.png"/><Relationship Id="rId107" Type="http://schemas.openxmlformats.org/officeDocument/2006/relationships/image" Target="media/image100.jpe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2019-12-10T03:23:11Z</dcterms:created>
  <dcterms:modified xsi:type="dcterms:W3CDTF">2019-12-10T03:23:11Z</dcterms:modified>
</cp:coreProperties>
</file>